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A9790">
      <w:pPr>
        <w:rPr>
          <w:rFonts w:hint="default" w:ascii="Times New Roman" w:hAnsi="Times New Roman" w:eastAsia="宋体" w:cs="Times New Roman"/>
          <w:color w:val="auto"/>
          <w:sz w:val="36"/>
          <w:szCs w:val="36"/>
          <w:lang w:eastAsia="zh-CN"/>
        </w:rPr>
      </w:pPr>
      <w:r>
        <w:rPr>
          <w:rFonts w:hint="default" w:ascii="Times New Roman" w:hAnsi="Times New Roman" w:eastAsia="宋体" w:cs="Times New Roman"/>
          <w:color w:val="auto"/>
          <w:sz w:val="36"/>
          <w:szCs w:val="36"/>
          <w:lang w:eastAsia="zh-CN"/>
        </w:rPr>
        <w:drawing>
          <wp:anchor distT="0" distB="0" distL="114300" distR="114300" simplePos="0" relativeHeight="251671552" behindDoc="0" locked="0" layoutInCell="1" allowOverlap="1">
            <wp:simplePos x="0" y="0"/>
            <wp:positionH relativeFrom="column">
              <wp:posOffset>0</wp:posOffset>
            </wp:positionH>
            <wp:positionV relativeFrom="page">
              <wp:posOffset>899795</wp:posOffset>
            </wp:positionV>
            <wp:extent cx="5999480" cy="8484870"/>
            <wp:effectExtent l="0" t="0" r="1270" b="11430"/>
            <wp:wrapNone/>
            <wp:docPr id="5" name="图片 5" descr="建设项目环境影响报告表(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建设项目环境影响报告表(1)_01"/>
                    <pic:cNvPicPr>
                      <a:picLocks noChangeAspect="1"/>
                    </pic:cNvPicPr>
                  </pic:nvPicPr>
                  <pic:blipFill>
                    <a:blip r:embed="rId10"/>
                    <a:stretch>
                      <a:fillRect/>
                    </a:stretch>
                  </pic:blipFill>
                  <pic:spPr>
                    <a:xfrm>
                      <a:off x="0" y="0"/>
                      <a:ext cx="5999480" cy="8484870"/>
                    </a:xfrm>
                    <a:prstGeom prst="rect">
                      <a:avLst/>
                    </a:prstGeom>
                  </pic:spPr>
                </pic:pic>
              </a:graphicData>
            </a:graphic>
          </wp:anchor>
        </w:drawing>
      </w:r>
    </w:p>
    <w:p w14:paraId="14417874">
      <w:pPr>
        <w:rPr>
          <w:rFonts w:hint="default" w:ascii="Times New Roman" w:hAnsi="Times New Roman" w:eastAsia="宋体" w:cs="Times New Roman"/>
          <w:color w:val="auto"/>
          <w:sz w:val="36"/>
          <w:szCs w:val="36"/>
          <w:lang w:eastAsia="zh-CN"/>
        </w:rPr>
      </w:pPr>
    </w:p>
    <w:p w14:paraId="3E557D8A">
      <w:pPr>
        <w:rPr>
          <w:rFonts w:hint="eastAsia" w:ascii="Times New Roman" w:hAnsi="Times New Roman" w:eastAsia="宋体" w:cs="Times New Roman"/>
          <w:color w:val="auto"/>
          <w:sz w:val="36"/>
          <w:szCs w:val="36"/>
          <w:lang w:eastAsia="zh-CN"/>
        </w:rPr>
      </w:pPr>
    </w:p>
    <w:p w14:paraId="022D53E5">
      <w:pPr>
        <w:rPr>
          <w:rFonts w:hint="eastAsia" w:ascii="Times New Roman" w:hAnsi="Times New Roman" w:eastAsia="宋体" w:cs="Times New Roman"/>
          <w:color w:val="auto"/>
          <w:sz w:val="36"/>
          <w:szCs w:val="36"/>
          <w:lang w:eastAsia="zh-CN"/>
        </w:rPr>
      </w:pPr>
    </w:p>
    <w:p w14:paraId="355ED578">
      <w:pPr>
        <w:pStyle w:val="16"/>
        <w:rPr>
          <w:rFonts w:hint="eastAsia" w:ascii="Times New Roman" w:hAnsi="Times New Roman" w:eastAsia="宋体"/>
          <w:color w:val="auto"/>
          <w:lang w:eastAsia="zh-CN"/>
        </w:rPr>
      </w:pPr>
    </w:p>
    <w:p w14:paraId="3E5CB287">
      <w:pPr>
        <w:rPr>
          <w:rFonts w:hint="default" w:ascii="Times New Roman" w:hAnsi="Times New Roman" w:eastAsia="宋体" w:cs="Times New Roman"/>
          <w:color w:val="auto"/>
          <w:sz w:val="36"/>
          <w:szCs w:val="36"/>
        </w:rPr>
      </w:pPr>
    </w:p>
    <w:p w14:paraId="787FF4E1">
      <w:pPr>
        <w:widowControl w:val="0"/>
        <w:autoSpaceDE w:val="0"/>
        <w:autoSpaceDN w:val="0"/>
        <w:spacing w:before="0" w:after="0" w:line="240" w:lineRule="auto"/>
        <w:ind w:left="426" w:right="428"/>
        <w:jc w:val="center"/>
        <w:rPr>
          <w:rFonts w:ascii="PMingLiU" w:hAnsi="PMingLiU" w:eastAsia="PMingLiU" w:cs="PMingLiU"/>
          <w:sz w:val="72"/>
          <w:szCs w:val="72"/>
          <w:lang w:val="en-US" w:eastAsia="zh-CN" w:bidi="ar-SA"/>
        </w:rPr>
      </w:pPr>
      <w:r>
        <w:rPr>
          <w:rFonts w:ascii="PMingLiU" w:hAnsi="PMingLiU" w:eastAsia="PMingLiU" w:cs="PMingLiU"/>
          <w:spacing w:val="-1"/>
          <w:sz w:val="72"/>
          <w:szCs w:val="72"/>
          <w:lang w:val="en-US" w:eastAsia="zh-CN" w:bidi="ar-SA"/>
        </w:rPr>
        <w:t>建设项目环境影响报告表</w:t>
      </w:r>
    </w:p>
    <w:p w14:paraId="65F304C4">
      <w:pPr>
        <w:pStyle w:val="21"/>
        <w:bidi w:val="0"/>
        <w:rPr>
          <w:rFonts w:hint="default"/>
        </w:rPr>
      </w:pPr>
    </w:p>
    <w:p w14:paraId="206041C0">
      <w:pPr>
        <w:adjustRightInd w:val="0"/>
        <w:snapToGrid w:val="0"/>
        <w:spacing w:before="192" w:beforeLines="80"/>
        <w:jc w:val="center"/>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14:paraId="7E859694">
      <w:pPr>
        <w:adjustRightInd w:val="0"/>
        <w:snapToGrid w:val="0"/>
        <w:spacing w:line="288" w:lineRule="auto"/>
        <w:jc w:val="center"/>
        <w:outlineLvl w:val="9"/>
        <w:rPr>
          <w:rFonts w:hint="default" w:ascii="Times New Roman" w:hAnsi="Times New Roman" w:eastAsia="宋体" w:cs="Times New Roman"/>
          <w:color w:val="auto"/>
          <w:kern w:val="44"/>
          <w:sz w:val="44"/>
          <w:szCs w:val="44"/>
        </w:rPr>
      </w:pPr>
    </w:p>
    <w:p w14:paraId="72936991">
      <w:pPr>
        <w:jc w:val="center"/>
        <w:rPr>
          <w:rFonts w:hint="default" w:ascii="Times New Roman" w:hAnsi="Times New Roman" w:eastAsia="宋体" w:cs="Times New Roman"/>
          <w:color w:val="auto"/>
          <w:sz w:val="52"/>
          <w:szCs w:val="52"/>
        </w:rPr>
      </w:pPr>
    </w:p>
    <w:p w14:paraId="79CE6619">
      <w:pPr>
        <w:ind w:firstLine="1040"/>
        <w:rPr>
          <w:rFonts w:hint="eastAsia" w:ascii="Times New Roman" w:hAnsi="Times New Roman" w:eastAsia="宋体" w:cs="Times New Roman"/>
          <w:color w:val="auto"/>
          <w:sz w:val="44"/>
          <w:szCs w:val="44"/>
          <w:lang w:val="en-US" w:eastAsia="zh-CN"/>
        </w:rPr>
      </w:pPr>
    </w:p>
    <w:p w14:paraId="57A9AC0F">
      <w:pPr>
        <w:ind w:firstLine="1040"/>
        <w:rPr>
          <w:rFonts w:hint="default" w:ascii="Times New Roman" w:hAnsi="Times New Roman" w:eastAsia="宋体" w:cs="Times New Roman"/>
          <w:color w:val="auto"/>
          <w:sz w:val="44"/>
          <w:szCs w:val="44"/>
        </w:rPr>
      </w:pPr>
    </w:p>
    <w:p w14:paraId="078785D4">
      <w:pPr>
        <w:ind w:firstLine="1040"/>
        <w:rPr>
          <w:rFonts w:hint="default" w:ascii="Times New Roman" w:hAnsi="Times New Roman" w:eastAsia="宋体" w:cs="Times New Roman"/>
          <w:color w:val="auto"/>
          <w:sz w:val="44"/>
          <w:szCs w:val="44"/>
        </w:rPr>
      </w:pPr>
    </w:p>
    <w:p w14:paraId="37BB0662">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textAlignment w:val="auto"/>
        <w:rPr>
          <w:rFonts w:hint="default" w:ascii="Times New Roman" w:hAnsi="Times New Roman" w:eastAsia="宋体" w:cs="Times New Roman"/>
          <w:color w:val="auto"/>
          <w:sz w:val="36"/>
          <w:szCs w:val="36"/>
          <w:lang w:eastAsia="zh-CN"/>
        </w:rPr>
      </w:pPr>
    </w:p>
    <w:p w14:paraId="6AF5D270">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lang w:eastAsia="zh-CN"/>
        </w:rPr>
        <w:t>项目</w:t>
      </w:r>
      <w:r>
        <w:rPr>
          <w:rFonts w:hint="default" w:ascii="Times New Roman" w:hAnsi="Times New Roman" w:eastAsia="宋体" w:cs="Times New Roman"/>
          <w:color w:val="auto"/>
          <w:sz w:val="36"/>
          <w:szCs w:val="36"/>
          <w:u w:val="none"/>
          <w:lang w:eastAsia="zh-CN"/>
        </w:rPr>
        <w:t>名称：</w:t>
      </w:r>
      <w:r>
        <w:rPr>
          <w:rFonts w:hint="eastAsia" w:cs="Times New Roman"/>
          <w:color w:val="auto"/>
          <w:sz w:val="36"/>
          <w:szCs w:val="36"/>
          <w:u w:val="single"/>
          <w:lang w:eastAsia="zh-CN"/>
        </w:rPr>
        <w:t>福州景卓汽车零部件有限公司年加工汽车座椅骨架12万套项目</w:t>
      </w:r>
      <w:r>
        <w:rPr>
          <w:rFonts w:hint="eastAsia" w:ascii="Times New Roman" w:hAnsi="Times New Roman" w:eastAsia="宋体"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p>
    <w:p w14:paraId="63CAA76C">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建设单位（盖章）：</w:t>
      </w:r>
      <w:r>
        <w:rPr>
          <w:rFonts w:hint="eastAsia" w:cs="Times New Roman"/>
          <w:color w:val="auto"/>
          <w:sz w:val="36"/>
          <w:szCs w:val="36"/>
          <w:u w:val="single"/>
          <w:lang w:val="en-US" w:eastAsia="zh-CN"/>
        </w:rPr>
        <w:t>福州景卓汽车零部件有限公司</w:t>
      </w:r>
      <w:r>
        <w:rPr>
          <w:rFonts w:hint="eastAsia" w:ascii="Times New Roman" w:hAnsi="Times New Roman" w:eastAsia="宋体" w:cs="Times New Roman"/>
          <w:color w:val="auto"/>
          <w:sz w:val="36"/>
          <w:szCs w:val="36"/>
          <w:u w:val="single"/>
          <w:lang w:val="en-US" w:eastAsia="zh-CN"/>
        </w:rPr>
        <w:t xml:space="preserve"> </w:t>
      </w:r>
      <w:r>
        <w:rPr>
          <w:rFonts w:hint="eastAsia" w:cs="Times New Roman"/>
          <w:color w:val="auto"/>
          <w:sz w:val="36"/>
          <w:szCs w:val="36"/>
          <w:u w:val="single"/>
          <w:lang w:val="en-US" w:eastAsia="zh-CN"/>
        </w:rPr>
        <w:t xml:space="preserve">  </w:t>
      </w:r>
    </w:p>
    <w:p w14:paraId="715444B7">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eastAsia" w:ascii="Times New Roman" w:hAnsi="Times New Roman" w:eastAsia="宋体" w:cs="Times New Roman"/>
          <w:color w:val="auto"/>
          <w:sz w:val="36"/>
          <w:szCs w:val="36"/>
          <w:u w:val="single"/>
          <w:lang w:val="en-US" w:eastAsia="zh-CN"/>
        </w:rPr>
      </w:pPr>
      <w:r>
        <w:rPr>
          <w:rFonts w:hint="default" w:ascii="Times New Roman" w:hAnsi="Times New Roman" w:eastAsia="宋体" w:cs="Times New Roman"/>
          <w:color w:val="auto"/>
          <w:sz w:val="36"/>
          <w:szCs w:val="36"/>
        </w:rPr>
        <w:t>编制日期：</w:t>
      </w:r>
      <w:r>
        <w:rPr>
          <w:rFonts w:hint="eastAsia" w:ascii="Times New Roman" w:hAnsi="Times New Roman" w:eastAsia="宋体" w:cs="Times New Roman"/>
          <w:color w:val="auto"/>
          <w:sz w:val="36"/>
          <w:szCs w:val="36"/>
          <w:highlight w:val="none"/>
          <w:u w:val="single"/>
          <w:lang w:val="en-US" w:eastAsia="zh-CN"/>
        </w:rPr>
        <w:t xml:space="preserve">               2</w:t>
      </w:r>
      <w:r>
        <w:rPr>
          <w:rFonts w:hint="default" w:ascii="Times New Roman" w:hAnsi="Times New Roman" w:eastAsia="宋体" w:cs="Times New Roman"/>
          <w:color w:val="auto"/>
          <w:sz w:val="36"/>
          <w:szCs w:val="36"/>
          <w:highlight w:val="none"/>
          <w:u w:val="single"/>
          <w:lang w:val="en-US" w:eastAsia="zh-CN"/>
        </w:rPr>
        <w:t>0</w:t>
      </w:r>
      <w:r>
        <w:rPr>
          <w:rFonts w:hint="eastAsia" w:ascii="Times New Roman" w:hAnsi="Times New Roman" w:eastAsia="宋体" w:cs="Times New Roman"/>
          <w:color w:val="auto"/>
          <w:sz w:val="36"/>
          <w:szCs w:val="36"/>
          <w:highlight w:val="none"/>
          <w:u w:val="single"/>
          <w:lang w:val="en-US" w:eastAsia="zh-CN"/>
        </w:rPr>
        <w:t>2</w:t>
      </w:r>
      <w:r>
        <w:rPr>
          <w:rFonts w:hint="eastAsia" w:cs="Times New Roman"/>
          <w:color w:val="auto"/>
          <w:sz w:val="36"/>
          <w:szCs w:val="36"/>
          <w:highlight w:val="none"/>
          <w:u w:val="single"/>
          <w:lang w:val="en-US" w:eastAsia="zh-CN"/>
        </w:rPr>
        <w:t>6</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1</w:t>
      </w:r>
      <w:r>
        <w:rPr>
          <w:rFonts w:hint="default" w:ascii="Times New Roman" w:hAnsi="Times New Roman" w:eastAsia="宋体" w:cs="Times New Roman"/>
          <w:color w:val="auto"/>
          <w:sz w:val="36"/>
          <w:szCs w:val="36"/>
          <w:highlight w:val="none"/>
          <w:u w:val="single"/>
          <w:lang w:val="en-US" w:eastAsia="zh-CN"/>
        </w:rPr>
        <w:t>月</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u w:val="single"/>
        </w:rPr>
        <w:t xml:space="preserve">   </w:t>
      </w:r>
      <w:r>
        <w:rPr>
          <w:rFonts w:hint="eastAsia" w:ascii="Times New Roman" w:hAnsi="Times New Roman" w:eastAsia="宋体" w:cs="Times New Roman"/>
          <w:color w:val="auto"/>
          <w:sz w:val="36"/>
          <w:szCs w:val="36"/>
          <w:u w:val="single"/>
          <w:lang w:val="en-US" w:eastAsia="zh-CN"/>
        </w:rPr>
        <w:t xml:space="preserve"> </w:t>
      </w:r>
    </w:p>
    <w:p w14:paraId="42715357">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0" w:name="_Hlk57884087"/>
    </w:p>
    <w:p w14:paraId="7040D167">
      <w:pPr>
        <w:adjustRightInd w:val="0"/>
        <w:snapToGrid w:val="0"/>
        <w:spacing w:line="288" w:lineRule="auto"/>
        <w:ind w:firstLine="1040"/>
        <w:rPr>
          <w:rFonts w:hint="default" w:ascii="Times New Roman" w:hAnsi="Times New Roman" w:eastAsia="宋体" w:cs="Times New Roman"/>
          <w:color w:val="auto"/>
          <w:sz w:val="36"/>
          <w:szCs w:val="36"/>
        </w:rPr>
      </w:pPr>
    </w:p>
    <w:p w14:paraId="3B737C1C">
      <w:pPr>
        <w:adjustRightInd w:val="0"/>
        <w:snapToGrid w:val="0"/>
        <w:spacing w:line="288" w:lineRule="auto"/>
        <w:ind w:firstLine="1040"/>
        <w:rPr>
          <w:rFonts w:hint="default" w:ascii="Times New Roman" w:hAnsi="Times New Roman" w:eastAsia="宋体" w:cs="Times New Roman"/>
          <w:color w:val="auto"/>
          <w:sz w:val="36"/>
          <w:szCs w:val="36"/>
        </w:rPr>
      </w:pPr>
    </w:p>
    <w:p w14:paraId="301E4DB9">
      <w:pPr>
        <w:pStyle w:val="16"/>
        <w:rPr>
          <w:rFonts w:hint="default" w:ascii="Times New Roman" w:hAnsi="Times New Roman" w:eastAsia="宋体"/>
          <w:color w:val="auto"/>
        </w:rPr>
      </w:pPr>
    </w:p>
    <w:p w14:paraId="03B63F16">
      <w:pPr>
        <w:adjustRightInd w:val="0"/>
        <w:snapToGrid w:val="0"/>
        <w:spacing w:line="288" w:lineRule="auto"/>
        <w:ind w:firstLine="1040"/>
        <w:rPr>
          <w:rFonts w:hint="default" w:ascii="Times New Roman" w:hAnsi="Times New Roman" w:eastAsia="宋体" w:cs="Times New Roman"/>
          <w:color w:val="auto"/>
          <w:sz w:val="36"/>
          <w:szCs w:val="36"/>
        </w:rPr>
      </w:pPr>
    </w:p>
    <w:bookmarkEnd w:id="0"/>
    <w:p w14:paraId="12FCED0D">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7CCE83ED">
      <w:pPr>
        <w:adjustRightInd w:val="0"/>
        <w:snapToGrid w:val="0"/>
        <w:spacing w:line="288" w:lineRule="auto"/>
        <w:jc w:val="both"/>
        <w:rPr>
          <w:rFonts w:hint="eastAsia" w:ascii="Times New Roman" w:hAnsi="Times New Roman" w:eastAsia="宋体" w:cs="Times New Roman"/>
          <w:color w:val="auto"/>
          <w:sz w:val="36"/>
          <w:szCs w:val="36"/>
          <w:lang w:eastAsia="zh-CN"/>
        </w:rPr>
      </w:pPr>
    </w:p>
    <w:p w14:paraId="2187CDF1">
      <w:pPr>
        <w:rPr>
          <w:rFonts w:ascii="Times New Roman" w:hAnsi="Times New Roman" w:eastAsia="宋体" w:cs="Times New Roman"/>
          <w:b/>
          <w:color w:val="auto"/>
          <w:highlight w:val="none"/>
        </w:rPr>
      </w:pPr>
      <w:bookmarkStart w:id="1" w:name="_Toc26120"/>
      <w:bookmarkStart w:id="2" w:name="_Toc15935"/>
      <w:bookmarkStart w:id="3" w:name="_Toc3548"/>
      <w:bookmarkStart w:id="4" w:name="_Toc8499"/>
      <w:bookmarkStart w:id="5" w:name="_Toc19820"/>
      <w:r>
        <w:rPr>
          <w:rFonts w:ascii="Times New Roman" w:hAnsi="Times New Roman" w:eastAsia="宋体" w:cs="Times New Roman"/>
          <w:b/>
          <w:color w:val="auto"/>
          <w:highlight w:val="none"/>
        </w:rPr>
        <w:br w:type="page"/>
      </w:r>
    </w:p>
    <w:p w14:paraId="063CFC97">
      <w:r>
        <w:br w:type="page"/>
      </w:r>
    </w:p>
    <w:p w14:paraId="09B40902">
      <w:pPr>
        <w:sectPr>
          <w:footerReference r:id="rId3" w:type="default"/>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p>
    <w:bookmarkEnd w:id="1"/>
    <w:bookmarkEnd w:id="2"/>
    <w:bookmarkEnd w:id="3"/>
    <w:bookmarkEnd w:id="4"/>
    <w:bookmarkEnd w:id="5"/>
    <w:p w14:paraId="23558576">
      <w:pPr>
        <w:pStyle w:val="2"/>
        <w:tabs>
          <w:tab w:val="left" w:pos="0"/>
          <w:tab w:val="clear" w:pos="420"/>
        </w:tabs>
        <w:bidi w:val="0"/>
        <w:spacing w:before="0" w:after="0" w:line="360" w:lineRule="auto"/>
        <w:ind w:left="432" w:leftChars="0" w:hanging="432" w:firstLineChars="0"/>
        <w:rPr>
          <w:rFonts w:ascii="Times New Roman" w:hAnsi="Times New Roman" w:eastAsia="宋体" w:cs="Times New Roman"/>
          <w:b/>
          <w:color w:val="auto"/>
          <w:highlight w:val="none"/>
        </w:rPr>
      </w:pPr>
      <w:bookmarkStart w:id="6" w:name="_Toc24754"/>
      <w:bookmarkStart w:id="7" w:name="_Toc18851"/>
      <w:bookmarkStart w:id="8" w:name="_Toc2799"/>
      <w:bookmarkStart w:id="9" w:name="_Toc24216"/>
      <w:bookmarkStart w:id="10" w:name="_Toc21337"/>
      <w:r>
        <w:rPr>
          <w:rFonts w:hint="eastAsia" w:ascii="Times New Roman" w:hAnsi="Times New Roman" w:eastAsia="宋体" w:cs="Times New Roman"/>
          <w:b/>
          <w:color w:val="auto"/>
          <w:highlight w:val="none"/>
        </w:rPr>
        <w:t>建设项目基本情况</w:t>
      </w:r>
    </w:p>
    <w:tbl>
      <w:tblPr>
        <w:tblStyle w:val="3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91"/>
        <w:gridCol w:w="2688"/>
        <w:gridCol w:w="1765"/>
        <w:gridCol w:w="3226"/>
      </w:tblGrid>
      <w:tr w14:paraId="72D60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381D45DE">
            <w:pPr>
              <w:adjustRightInd w:val="0"/>
              <w:snapToGrid w:val="0"/>
              <w:jc w:val="center"/>
              <w:rPr>
                <w:color w:val="auto"/>
                <w:highlight w:val="none"/>
              </w:rPr>
            </w:pPr>
            <w:r>
              <w:rPr>
                <w:rFonts w:hint="eastAsia"/>
                <w:color w:val="auto"/>
                <w:highlight w:val="none"/>
              </w:rPr>
              <w:t>项目名称</w:t>
            </w:r>
          </w:p>
        </w:tc>
        <w:tc>
          <w:tcPr>
            <w:tcW w:w="7498" w:type="dxa"/>
            <w:gridSpan w:val="3"/>
            <w:vAlign w:val="center"/>
          </w:tcPr>
          <w:p w14:paraId="1BED7199">
            <w:pPr>
              <w:adjustRightInd w:val="0"/>
              <w:snapToGrid w:val="0"/>
              <w:jc w:val="center"/>
              <w:rPr>
                <w:rFonts w:hint="default" w:eastAsia="宋体"/>
                <w:color w:val="auto"/>
                <w:szCs w:val="21"/>
                <w:highlight w:val="none"/>
                <w:lang w:val="en-US" w:eastAsia="zh-CN"/>
              </w:rPr>
            </w:pPr>
            <w:bookmarkStart w:id="90" w:name="_GoBack"/>
            <w:r>
              <w:rPr>
                <w:rFonts w:hint="eastAsia"/>
                <w:color w:val="auto"/>
                <w:szCs w:val="21"/>
                <w:highlight w:val="none"/>
                <w:lang w:eastAsia="zh-CN"/>
              </w:rPr>
              <w:t>福州景卓汽车零部件有限公司年加工汽车座椅骨架12万套项目</w:t>
            </w:r>
            <w:bookmarkEnd w:id="90"/>
          </w:p>
        </w:tc>
      </w:tr>
      <w:tr w14:paraId="02F57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2EA7C468">
            <w:pPr>
              <w:adjustRightInd w:val="0"/>
              <w:snapToGrid w:val="0"/>
              <w:jc w:val="center"/>
              <w:rPr>
                <w:color w:val="auto"/>
                <w:szCs w:val="21"/>
                <w:highlight w:val="none"/>
              </w:rPr>
            </w:pPr>
            <w:r>
              <w:rPr>
                <w:color w:val="auto"/>
                <w:szCs w:val="21"/>
                <w:highlight w:val="none"/>
              </w:rPr>
              <w:t>项目代码</w:t>
            </w:r>
          </w:p>
        </w:tc>
        <w:tc>
          <w:tcPr>
            <w:tcW w:w="7498" w:type="dxa"/>
            <w:gridSpan w:val="3"/>
            <w:vAlign w:val="center"/>
          </w:tcPr>
          <w:p w14:paraId="5DBD705F">
            <w:pPr>
              <w:adjustRightInd w:val="0"/>
              <w:snapToGrid w:val="0"/>
              <w:jc w:val="center"/>
              <w:rPr>
                <w:rFonts w:hint="default" w:eastAsia="宋体"/>
                <w:color w:val="auto"/>
                <w:szCs w:val="21"/>
                <w:highlight w:val="none"/>
                <w:lang w:val="en-US" w:eastAsia="zh-CN"/>
              </w:rPr>
            </w:pPr>
            <w:r>
              <w:rPr>
                <w:rFonts w:hint="default" w:eastAsia="宋体"/>
                <w:color w:val="auto"/>
                <w:szCs w:val="21"/>
                <w:highlight w:val="none"/>
                <w:shd w:val="clear"/>
                <w:lang w:val="en-US" w:eastAsia="zh-CN"/>
              </w:rPr>
              <w:t>2507-350181-04-01-203769</w:t>
            </w:r>
          </w:p>
        </w:tc>
      </w:tr>
      <w:tr w14:paraId="57368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0E315B06">
            <w:pPr>
              <w:adjustRightInd w:val="0"/>
              <w:snapToGrid w:val="0"/>
              <w:jc w:val="center"/>
              <w:rPr>
                <w:color w:val="auto"/>
                <w:szCs w:val="21"/>
                <w:highlight w:val="none"/>
              </w:rPr>
            </w:pPr>
            <w:r>
              <w:rPr>
                <w:color w:val="auto"/>
                <w:szCs w:val="21"/>
                <w:highlight w:val="none"/>
              </w:rPr>
              <w:t>建设单位联系人</w:t>
            </w:r>
          </w:p>
        </w:tc>
        <w:tc>
          <w:tcPr>
            <w:tcW w:w="2744" w:type="dxa"/>
            <w:vAlign w:val="center"/>
          </w:tcPr>
          <w:p w14:paraId="08BF6E06">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景**</w:t>
            </w:r>
          </w:p>
        </w:tc>
        <w:tc>
          <w:tcPr>
            <w:tcW w:w="1742" w:type="dxa"/>
            <w:vAlign w:val="center"/>
          </w:tcPr>
          <w:p w14:paraId="41299BB3">
            <w:pPr>
              <w:adjustRightInd w:val="0"/>
              <w:snapToGrid w:val="0"/>
              <w:jc w:val="center"/>
              <w:rPr>
                <w:color w:val="auto"/>
                <w:szCs w:val="21"/>
                <w:highlight w:val="none"/>
              </w:rPr>
            </w:pPr>
            <w:r>
              <w:rPr>
                <w:color w:val="auto"/>
                <w:szCs w:val="21"/>
                <w:highlight w:val="none"/>
              </w:rPr>
              <w:t>联系方式</w:t>
            </w:r>
          </w:p>
        </w:tc>
        <w:tc>
          <w:tcPr>
            <w:tcW w:w="3012" w:type="dxa"/>
            <w:vAlign w:val="center"/>
          </w:tcPr>
          <w:p w14:paraId="345A14E3">
            <w:pPr>
              <w:adjustRightInd w:val="0"/>
              <w:snapToGrid w:val="0"/>
              <w:jc w:val="center"/>
              <w:rPr>
                <w:rFonts w:hint="default" w:eastAsia="宋体"/>
                <w:color w:val="auto"/>
                <w:szCs w:val="21"/>
                <w:highlight w:val="none"/>
                <w:lang w:val="en-US" w:eastAsia="zh-CN"/>
              </w:rPr>
            </w:pPr>
            <w:r>
              <w:rPr>
                <w:rFonts w:hint="eastAsia"/>
              </w:rPr>
              <w:t>133</w:t>
            </w:r>
            <w:r>
              <w:rPr>
                <w:rFonts w:hint="eastAsia"/>
                <w:lang w:val="en-US" w:eastAsia="zh-CN"/>
              </w:rPr>
              <w:t>*********</w:t>
            </w:r>
          </w:p>
        </w:tc>
      </w:tr>
      <w:tr w14:paraId="00C96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3A76C839">
            <w:pPr>
              <w:adjustRightInd w:val="0"/>
              <w:snapToGrid w:val="0"/>
              <w:jc w:val="center"/>
              <w:rPr>
                <w:color w:val="auto"/>
                <w:szCs w:val="21"/>
                <w:highlight w:val="none"/>
              </w:rPr>
            </w:pPr>
            <w:r>
              <w:rPr>
                <w:color w:val="auto"/>
                <w:szCs w:val="21"/>
                <w:highlight w:val="none"/>
              </w:rPr>
              <w:t>建设地点</w:t>
            </w:r>
          </w:p>
        </w:tc>
        <w:tc>
          <w:tcPr>
            <w:tcW w:w="7498" w:type="dxa"/>
            <w:gridSpan w:val="3"/>
            <w:vAlign w:val="center"/>
          </w:tcPr>
          <w:p w14:paraId="00079E5B">
            <w:pPr>
              <w:adjustRightInd w:val="0"/>
              <w:snapToGrid w:val="0"/>
              <w:jc w:val="center"/>
              <w:rPr>
                <w:rFonts w:hint="default"/>
                <w:color w:val="auto"/>
                <w:szCs w:val="21"/>
                <w:highlight w:val="none"/>
                <w:lang w:val="en-US"/>
              </w:rPr>
            </w:pPr>
            <w:r>
              <w:rPr>
                <w:rFonts w:hint="eastAsia"/>
                <w:color w:val="auto"/>
                <w:lang w:val="en-US" w:eastAsia="zh-CN"/>
              </w:rPr>
              <w:t>福建省福州市福清融侨经济技术开发区镜洋镇（租赁福州鼎力机械有限公司铸造车间1号）</w:t>
            </w:r>
          </w:p>
        </w:tc>
      </w:tr>
      <w:tr w14:paraId="2A3D8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2C03C751">
            <w:pPr>
              <w:adjustRightInd w:val="0"/>
              <w:snapToGrid w:val="0"/>
              <w:jc w:val="center"/>
              <w:rPr>
                <w:color w:val="auto"/>
                <w:szCs w:val="21"/>
                <w:highlight w:val="none"/>
              </w:rPr>
            </w:pPr>
            <w:r>
              <w:rPr>
                <w:color w:val="auto"/>
                <w:szCs w:val="21"/>
                <w:highlight w:val="none"/>
              </w:rPr>
              <w:t>地理坐标</w:t>
            </w:r>
          </w:p>
        </w:tc>
        <w:tc>
          <w:tcPr>
            <w:tcW w:w="7498" w:type="dxa"/>
            <w:gridSpan w:val="3"/>
            <w:vAlign w:val="center"/>
          </w:tcPr>
          <w:p w14:paraId="2BFFF66E">
            <w:pPr>
              <w:jc w:val="center"/>
              <w:rPr>
                <w:color w:val="auto"/>
                <w:szCs w:val="21"/>
                <w:highlight w:val="none"/>
              </w:rPr>
            </w:pPr>
            <w:r>
              <w:rPr>
                <w:rFonts w:hint="eastAsia"/>
                <w:color w:val="auto"/>
                <w:szCs w:val="21"/>
                <w:highlight w:val="none"/>
              </w:rPr>
              <w:t>经度</w:t>
            </w:r>
            <w:r>
              <w:rPr>
                <w:rFonts w:hint="eastAsia"/>
                <w:color w:val="auto"/>
                <w:szCs w:val="21"/>
                <w:highlight w:val="none"/>
                <w:lang w:eastAsia="zh-CN"/>
              </w:rPr>
              <w:t>：</w:t>
            </w:r>
            <w:r>
              <w:rPr>
                <w:rFonts w:hint="eastAsia"/>
                <w:color w:val="auto"/>
                <w:szCs w:val="21"/>
                <w:highlight w:val="none"/>
              </w:rPr>
              <w:t>119.292262529°</w:t>
            </w:r>
            <w:r>
              <w:rPr>
                <w:color w:val="auto"/>
                <w:szCs w:val="21"/>
                <w:highlight w:val="none"/>
              </w:rPr>
              <w:t>，</w:t>
            </w:r>
            <w:r>
              <w:rPr>
                <w:rFonts w:hint="eastAsia"/>
                <w:color w:val="auto"/>
                <w:szCs w:val="21"/>
                <w:highlight w:val="none"/>
              </w:rPr>
              <w:t>纬度</w:t>
            </w:r>
            <w:r>
              <w:rPr>
                <w:rFonts w:hint="eastAsia"/>
                <w:color w:val="auto"/>
                <w:szCs w:val="21"/>
                <w:highlight w:val="none"/>
                <w:lang w:eastAsia="zh-CN"/>
              </w:rPr>
              <w:t>：</w:t>
            </w:r>
            <w:r>
              <w:rPr>
                <w:rFonts w:hint="eastAsia"/>
                <w:color w:val="auto"/>
                <w:szCs w:val="21"/>
                <w:highlight w:val="none"/>
              </w:rPr>
              <w:t>25.805902193°</w:t>
            </w:r>
          </w:p>
        </w:tc>
      </w:tr>
      <w:tr w14:paraId="19163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1372" w:type="dxa"/>
            <w:tcMar>
              <w:top w:w="16" w:type="dxa"/>
              <w:left w:w="16" w:type="dxa"/>
              <w:right w:w="16" w:type="dxa"/>
            </w:tcMar>
            <w:vAlign w:val="center"/>
          </w:tcPr>
          <w:p w14:paraId="2784BACA">
            <w:pPr>
              <w:adjustRightInd w:val="0"/>
              <w:snapToGrid w:val="0"/>
              <w:jc w:val="center"/>
              <w:rPr>
                <w:color w:val="auto"/>
                <w:szCs w:val="21"/>
                <w:highlight w:val="none"/>
              </w:rPr>
            </w:pPr>
            <w:r>
              <w:rPr>
                <w:color w:val="auto"/>
                <w:szCs w:val="21"/>
                <w:highlight w:val="none"/>
              </w:rPr>
              <w:t>国民经济</w:t>
            </w:r>
          </w:p>
          <w:p w14:paraId="2454CDD0">
            <w:pPr>
              <w:adjustRightInd w:val="0"/>
              <w:snapToGrid w:val="0"/>
              <w:jc w:val="center"/>
              <w:rPr>
                <w:color w:val="auto"/>
                <w:szCs w:val="21"/>
                <w:highlight w:val="none"/>
              </w:rPr>
            </w:pPr>
            <w:r>
              <w:rPr>
                <w:color w:val="auto"/>
                <w:szCs w:val="21"/>
                <w:highlight w:val="none"/>
              </w:rPr>
              <w:t>行业类别</w:t>
            </w:r>
          </w:p>
        </w:tc>
        <w:tc>
          <w:tcPr>
            <w:tcW w:w="2744" w:type="dxa"/>
            <w:vAlign w:val="center"/>
          </w:tcPr>
          <w:p w14:paraId="4CEC0233">
            <w:pPr>
              <w:pStyle w:val="46"/>
              <w:spacing w:line="240" w:lineRule="auto"/>
              <w:ind w:firstLine="0" w:firstLineChars="0"/>
              <w:jc w:val="center"/>
              <w:rPr>
                <w:rFonts w:hint="eastAsia"/>
                <w:color w:val="auto"/>
                <w:sz w:val="21"/>
                <w:szCs w:val="21"/>
                <w:highlight w:val="none"/>
              </w:rPr>
            </w:pPr>
            <w:r>
              <w:rPr>
                <w:rFonts w:hint="eastAsia"/>
                <w:color w:val="auto"/>
                <w:sz w:val="21"/>
                <w:szCs w:val="21"/>
                <w:highlight w:val="none"/>
              </w:rPr>
              <w:t>C3670汽车零部件及配件制造</w:t>
            </w:r>
          </w:p>
          <w:p w14:paraId="51B4599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C3360金属表面处理及热处理加工</w:t>
            </w:r>
          </w:p>
          <w:p w14:paraId="17FF5678">
            <w:pPr>
              <w:pStyle w:val="46"/>
              <w:spacing w:line="240" w:lineRule="auto"/>
              <w:ind w:firstLine="0" w:firstLineChars="0"/>
              <w:jc w:val="center"/>
              <w:rPr>
                <w:rFonts w:hint="eastAsia"/>
                <w:color w:val="auto"/>
                <w:sz w:val="21"/>
                <w:szCs w:val="21"/>
                <w:highlight w:val="none"/>
              </w:rPr>
            </w:pPr>
          </w:p>
        </w:tc>
        <w:tc>
          <w:tcPr>
            <w:tcW w:w="1742" w:type="dxa"/>
            <w:vAlign w:val="center"/>
          </w:tcPr>
          <w:p w14:paraId="195AA94F">
            <w:pPr>
              <w:adjustRightInd w:val="0"/>
              <w:snapToGrid w:val="0"/>
              <w:jc w:val="center"/>
              <w:rPr>
                <w:color w:val="auto"/>
                <w:szCs w:val="21"/>
                <w:highlight w:val="none"/>
              </w:rPr>
            </w:pPr>
            <w:bookmarkStart w:id="11" w:name="_Hlk49843745"/>
            <w:r>
              <w:rPr>
                <w:color w:val="auto"/>
                <w:szCs w:val="21"/>
                <w:highlight w:val="none"/>
              </w:rPr>
              <w:t>建设项目</w:t>
            </w:r>
          </w:p>
          <w:p w14:paraId="32C1EB18">
            <w:pPr>
              <w:adjustRightInd w:val="0"/>
              <w:snapToGrid w:val="0"/>
              <w:jc w:val="center"/>
              <w:rPr>
                <w:color w:val="auto"/>
                <w:szCs w:val="21"/>
                <w:highlight w:val="none"/>
              </w:rPr>
            </w:pPr>
            <w:r>
              <w:rPr>
                <w:color w:val="auto"/>
                <w:szCs w:val="21"/>
                <w:highlight w:val="none"/>
              </w:rPr>
              <w:t>行业类别</w:t>
            </w:r>
            <w:bookmarkEnd w:id="11"/>
          </w:p>
        </w:tc>
        <w:tc>
          <w:tcPr>
            <w:tcW w:w="3012" w:type="dxa"/>
            <w:vAlign w:val="center"/>
          </w:tcPr>
          <w:p w14:paraId="65254A45">
            <w:pPr>
              <w:pStyle w:val="46"/>
              <w:spacing w:line="240" w:lineRule="auto"/>
              <w:ind w:firstLine="0" w:firstLineChars="0"/>
              <w:rPr>
                <w:rFonts w:hint="default"/>
                <w:color w:val="auto"/>
                <w:sz w:val="21"/>
                <w:szCs w:val="21"/>
                <w:highlight w:val="none"/>
                <w:lang w:val="en-US"/>
              </w:rPr>
            </w:pPr>
            <w:r>
              <w:rPr>
                <w:rFonts w:hint="default"/>
                <w:color w:val="auto"/>
                <w:sz w:val="21"/>
                <w:szCs w:val="21"/>
                <w:highlight w:val="none"/>
                <w:lang w:val="en-US"/>
              </w:rPr>
              <w:t>三十三、汽车制造业36—71、汽车零部件及配件制造367</w:t>
            </w:r>
          </w:p>
          <w:p w14:paraId="61535E51">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三十、金属制品业33-67金属表面处理及热处理加工</w:t>
            </w:r>
          </w:p>
          <w:p w14:paraId="4C913EDB">
            <w:pPr>
              <w:adjustRightInd w:val="0"/>
              <w:snapToGrid w:val="0"/>
              <w:jc w:val="center"/>
              <w:rPr>
                <w:rFonts w:hint="default"/>
                <w:color w:val="auto"/>
                <w:sz w:val="21"/>
                <w:szCs w:val="21"/>
                <w:highlight w:val="none"/>
                <w:lang w:val="en-US"/>
              </w:rPr>
            </w:pPr>
            <w:r>
              <w:rPr>
                <w:rFonts w:hint="eastAsia" w:ascii="Times New Roman" w:hAnsi="Times New Roman" w:eastAsia="宋体" w:cs="Times New Roman"/>
                <w:color w:val="auto"/>
                <w:szCs w:val="21"/>
                <w:lang w:val="en-US" w:eastAsia="zh-CN"/>
              </w:rPr>
              <w:t>其他（年用非溶剂型低VOCs含量涂料10吨以下的除外）</w:t>
            </w:r>
          </w:p>
        </w:tc>
      </w:tr>
      <w:tr w14:paraId="4905D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72" w:type="dxa"/>
            <w:tcMar>
              <w:top w:w="16" w:type="dxa"/>
              <w:left w:w="16" w:type="dxa"/>
              <w:right w:w="16" w:type="dxa"/>
            </w:tcMar>
            <w:vAlign w:val="center"/>
          </w:tcPr>
          <w:p w14:paraId="6DBD2305">
            <w:pPr>
              <w:adjustRightInd w:val="0"/>
              <w:snapToGrid w:val="0"/>
              <w:jc w:val="center"/>
              <w:rPr>
                <w:color w:val="auto"/>
                <w:szCs w:val="21"/>
                <w:highlight w:val="none"/>
              </w:rPr>
            </w:pPr>
            <w:r>
              <w:rPr>
                <w:color w:val="auto"/>
                <w:szCs w:val="21"/>
                <w:highlight w:val="none"/>
              </w:rPr>
              <w:t>建设性质</w:t>
            </w:r>
          </w:p>
        </w:tc>
        <w:tc>
          <w:tcPr>
            <w:tcW w:w="2744" w:type="dxa"/>
            <w:vAlign w:val="center"/>
          </w:tcPr>
          <w:p w14:paraId="488D4211">
            <w:pPr>
              <w:jc w:val="left"/>
              <w:rPr>
                <w:color w:val="auto"/>
                <w:szCs w:val="21"/>
                <w:highlight w:val="none"/>
              </w:rPr>
            </w:pPr>
            <w:r>
              <w:rPr>
                <w:color w:val="auto"/>
                <w:szCs w:val="21"/>
                <w:highlight w:val="none"/>
              </w:rPr>
              <w:sym w:font="Wingdings 2" w:char="0052"/>
            </w:r>
            <w:r>
              <w:rPr>
                <w:color w:val="auto"/>
                <w:szCs w:val="21"/>
                <w:highlight w:val="none"/>
              </w:rPr>
              <w:t>新建（迁建）</w:t>
            </w:r>
          </w:p>
          <w:p w14:paraId="3B824F63">
            <w:pPr>
              <w:jc w:val="left"/>
              <w:rPr>
                <w:color w:val="auto"/>
                <w:szCs w:val="21"/>
                <w:highlight w:val="none"/>
              </w:rPr>
            </w:pPr>
            <w:r>
              <w:rPr>
                <w:color w:val="auto"/>
                <w:szCs w:val="21"/>
                <w:highlight w:val="none"/>
              </w:rPr>
              <w:sym w:font="Wingdings 2" w:char="00A3"/>
            </w:r>
            <w:r>
              <w:rPr>
                <w:color w:val="auto"/>
                <w:szCs w:val="21"/>
                <w:highlight w:val="none"/>
              </w:rPr>
              <w:t>改建</w:t>
            </w:r>
          </w:p>
          <w:p w14:paraId="449CCB85">
            <w:pPr>
              <w:jc w:val="left"/>
              <w:rPr>
                <w:color w:val="auto"/>
                <w:szCs w:val="21"/>
                <w:highlight w:val="none"/>
              </w:rPr>
            </w:pPr>
            <w:r>
              <w:rPr>
                <w:color w:val="auto"/>
                <w:szCs w:val="21"/>
                <w:highlight w:val="none"/>
              </w:rPr>
              <w:sym w:font="Wingdings 2" w:char="00A3"/>
            </w:r>
            <w:r>
              <w:rPr>
                <w:color w:val="auto"/>
                <w:szCs w:val="21"/>
                <w:highlight w:val="none"/>
              </w:rPr>
              <w:t>扩建</w:t>
            </w:r>
          </w:p>
          <w:p w14:paraId="0BB14456">
            <w:pPr>
              <w:jc w:val="left"/>
              <w:rPr>
                <w:color w:val="auto"/>
                <w:szCs w:val="21"/>
                <w:highlight w:val="none"/>
              </w:rPr>
            </w:pPr>
            <w:r>
              <w:rPr>
                <w:color w:val="auto"/>
                <w:szCs w:val="21"/>
                <w:highlight w:val="none"/>
              </w:rPr>
              <w:sym w:font="Wingdings 2" w:char="00A3"/>
            </w:r>
            <w:r>
              <w:rPr>
                <w:color w:val="auto"/>
                <w:szCs w:val="21"/>
                <w:highlight w:val="none"/>
              </w:rPr>
              <w:t>技术改造</w:t>
            </w:r>
          </w:p>
        </w:tc>
        <w:tc>
          <w:tcPr>
            <w:tcW w:w="1742" w:type="dxa"/>
            <w:vAlign w:val="center"/>
          </w:tcPr>
          <w:p w14:paraId="3A53FE82">
            <w:pPr>
              <w:adjustRightInd w:val="0"/>
              <w:snapToGrid w:val="0"/>
              <w:jc w:val="center"/>
              <w:rPr>
                <w:color w:val="auto"/>
                <w:szCs w:val="21"/>
                <w:highlight w:val="none"/>
              </w:rPr>
            </w:pPr>
            <w:r>
              <w:rPr>
                <w:color w:val="auto"/>
                <w:szCs w:val="21"/>
                <w:highlight w:val="none"/>
              </w:rPr>
              <w:t>建设项目</w:t>
            </w:r>
          </w:p>
          <w:p w14:paraId="59666A49">
            <w:pPr>
              <w:adjustRightInd w:val="0"/>
              <w:snapToGrid w:val="0"/>
              <w:jc w:val="center"/>
              <w:rPr>
                <w:color w:val="auto"/>
                <w:szCs w:val="21"/>
                <w:highlight w:val="none"/>
              </w:rPr>
            </w:pPr>
            <w:r>
              <w:rPr>
                <w:color w:val="auto"/>
                <w:szCs w:val="21"/>
                <w:highlight w:val="none"/>
              </w:rPr>
              <w:t>申报情形</w:t>
            </w:r>
          </w:p>
        </w:tc>
        <w:tc>
          <w:tcPr>
            <w:tcW w:w="3012" w:type="dxa"/>
            <w:vAlign w:val="center"/>
          </w:tcPr>
          <w:p w14:paraId="66CB2A23">
            <w:pPr>
              <w:jc w:val="left"/>
              <w:rPr>
                <w:color w:val="auto"/>
                <w:szCs w:val="21"/>
                <w:highlight w:val="none"/>
              </w:rPr>
            </w:pPr>
            <w:r>
              <w:rPr>
                <w:color w:val="auto"/>
                <w:szCs w:val="21"/>
                <w:highlight w:val="none"/>
              </w:rPr>
              <w:sym w:font="Wingdings 2" w:char="0052"/>
            </w:r>
            <w:r>
              <w:rPr>
                <w:color w:val="auto"/>
                <w:szCs w:val="21"/>
                <w:highlight w:val="none"/>
              </w:rPr>
              <w:t xml:space="preserve">首次申报项目             </w:t>
            </w:r>
          </w:p>
          <w:p w14:paraId="4AD5C78C">
            <w:pPr>
              <w:jc w:val="left"/>
              <w:rPr>
                <w:color w:val="auto"/>
                <w:szCs w:val="21"/>
                <w:highlight w:val="none"/>
              </w:rPr>
            </w:pPr>
            <w:r>
              <w:rPr>
                <w:rFonts w:hint="eastAsia"/>
                <w:color w:val="auto"/>
                <w:szCs w:val="21"/>
                <w:highlight w:val="none"/>
              </w:rPr>
              <w:t>□</w:t>
            </w:r>
            <w:r>
              <w:rPr>
                <w:color w:val="auto"/>
                <w:szCs w:val="21"/>
                <w:highlight w:val="none"/>
              </w:rPr>
              <w:t>不予批准后再次申报项目</w:t>
            </w:r>
          </w:p>
          <w:p w14:paraId="608CFC7C">
            <w:pPr>
              <w:jc w:val="left"/>
              <w:rPr>
                <w:color w:val="auto"/>
                <w:szCs w:val="21"/>
                <w:highlight w:val="none"/>
              </w:rPr>
            </w:pPr>
            <w:r>
              <w:rPr>
                <w:rFonts w:hint="eastAsia"/>
                <w:color w:val="auto"/>
                <w:szCs w:val="21"/>
                <w:highlight w:val="none"/>
                <w:lang w:eastAsia="zh-CN"/>
              </w:rPr>
              <w:t>□</w:t>
            </w:r>
            <w:r>
              <w:rPr>
                <w:color w:val="auto"/>
                <w:szCs w:val="21"/>
                <w:highlight w:val="none"/>
              </w:rPr>
              <w:t xml:space="preserve">超五年重新审核项目     </w:t>
            </w:r>
          </w:p>
          <w:p w14:paraId="534A043D">
            <w:pPr>
              <w:jc w:val="left"/>
              <w:rPr>
                <w:color w:val="auto"/>
                <w:szCs w:val="21"/>
                <w:highlight w:val="none"/>
              </w:rPr>
            </w:pPr>
            <w:r>
              <w:rPr>
                <w:rFonts w:hint="eastAsia"/>
                <w:color w:val="auto"/>
                <w:szCs w:val="21"/>
                <w:highlight w:val="none"/>
                <w:lang w:eastAsia="zh-CN"/>
              </w:rPr>
              <w:t>□</w:t>
            </w:r>
            <w:r>
              <w:rPr>
                <w:color w:val="auto"/>
                <w:szCs w:val="21"/>
                <w:highlight w:val="none"/>
              </w:rPr>
              <w:t>重大变动重新报批项目</w:t>
            </w:r>
          </w:p>
        </w:tc>
      </w:tr>
      <w:tr w14:paraId="66E20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72" w:type="dxa"/>
            <w:tcMar>
              <w:top w:w="16" w:type="dxa"/>
              <w:left w:w="16" w:type="dxa"/>
              <w:right w:w="16" w:type="dxa"/>
            </w:tcMar>
            <w:vAlign w:val="center"/>
          </w:tcPr>
          <w:p w14:paraId="577D8AA8">
            <w:pPr>
              <w:adjustRightInd w:val="0"/>
              <w:snapToGrid w:val="0"/>
              <w:jc w:val="center"/>
              <w:rPr>
                <w:color w:val="auto"/>
                <w:szCs w:val="21"/>
                <w:highlight w:val="none"/>
              </w:rPr>
            </w:pPr>
            <w:r>
              <w:rPr>
                <w:color w:val="auto"/>
                <w:szCs w:val="21"/>
                <w:highlight w:val="none"/>
              </w:rPr>
              <w:t>项目审批（核准/</w:t>
            </w:r>
          </w:p>
          <w:p w14:paraId="1FBEF47C">
            <w:pPr>
              <w:adjustRightInd w:val="0"/>
              <w:snapToGrid w:val="0"/>
              <w:jc w:val="both"/>
              <w:rPr>
                <w:color w:val="auto"/>
                <w:szCs w:val="21"/>
                <w:highlight w:val="none"/>
              </w:rPr>
            </w:pPr>
            <w:r>
              <w:rPr>
                <w:color w:val="auto"/>
                <w:szCs w:val="21"/>
                <w:highlight w:val="none"/>
              </w:rPr>
              <w:t>备案）部门（选填）</w:t>
            </w:r>
          </w:p>
        </w:tc>
        <w:tc>
          <w:tcPr>
            <w:tcW w:w="2744" w:type="dxa"/>
            <w:vAlign w:val="center"/>
          </w:tcPr>
          <w:p w14:paraId="4CD3E85E">
            <w:pPr>
              <w:pStyle w:val="46"/>
              <w:ind w:firstLine="0" w:firstLineChars="0"/>
              <w:jc w:val="center"/>
              <w:rPr>
                <w:rFonts w:hint="default" w:eastAsia="宋体"/>
                <w:color w:val="auto"/>
                <w:szCs w:val="21"/>
                <w:highlight w:val="none"/>
                <w:lang w:val="en-US" w:eastAsia="zh-CN"/>
              </w:rPr>
            </w:pPr>
            <w:r>
              <w:rPr>
                <w:rFonts w:hint="eastAsia"/>
                <w:color w:val="auto"/>
                <w:sz w:val="21"/>
                <w:szCs w:val="21"/>
                <w:highlight w:val="none"/>
                <w:shd w:val="clear"/>
                <w:lang w:val="en-US" w:eastAsia="zh-CN"/>
              </w:rPr>
              <w:t>福清市发展和改革局</w:t>
            </w:r>
          </w:p>
        </w:tc>
        <w:tc>
          <w:tcPr>
            <w:tcW w:w="1742" w:type="dxa"/>
            <w:vAlign w:val="center"/>
          </w:tcPr>
          <w:p w14:paraId="0EAAD2F5">
            <w:pPr>
              <w:adjustRightInd w:val="0"/>
              <w:snapToGrid w:val="0"/>
              <w:jc w:val="center"/>
              <w:rPr>
                <w:color w:val="auto"/>
                <w:szCs w:val="21"/>
                <w:highlight w:val="none"/>
              </w:rPr>
            </w:pPr>
            <w:r>
              <w:rPr>
                <w:color w:val="auto"/>
                <w:szCs w:val="21"/>
                <w:highlight w:val="none"/>
              </w:rPr>
              <w:t>项目审批（核准/</w:t>
            </w:r>
          </w:p>
          <w:p w14:paraId="04B28A68">
            <w:pPr>
              <w:adjustRightInd w:val="0"/>
              <w:snapToGrid w:val="0"/>
              <w:jc w:val="center"/>
              <w:rPr>
                <w:color w:val="auto"/>
                <w:szCs w:val="21"/>
                <w:highlight w:val="none"/>
              </w:rPr>
            </w:pPr>
            <w:r>
              <w:rPr>
                <w:color w:val="auto"/>
                <w:szCs w:val="21"/>
                <w:highlight w:val="none"/>
              </w:rPr>
              <w:t>备案）文号（选填）</w:t>
            </w:r>
          </w:p>
        </w:tc>
        <w:tc>
          <w:tcPr>
            <w:tcW w:w="3012" w:type="dxa"/>
            <w:vAlign w:val="center"/>
          </w:tcPr>
          <w:p w14:paraId="71D71484">
            <w:pPr>
              <w:adjustRightInd w:val="0"/>
              <w:snapToGrid w:val="0"/>
              <w:jc w:val="center"/>
              <w:rPr>
                <w:rFonts w:hint="eastAsia" w:eastAsia="宋体"/>
                <w:color w:val="auto"/>
                <w:szCs w:val="21"/>
                <w:highlight w:val="none"/>
                <w:lang w:eastAsia="zh-CN"/>
              </w:rPr>
            </w:pPr>
            <w:r>
              <w:rPr>
                <w:rFonts w:hint="eastAsia"/>
                <w:color w:val="auto"/>
                <w:szCs w:val="21"/>
                <w:highlight w:val="none"/>
                <w:shd w:val="clear"/>
                <w:lang w:eastAsia="zh-CN"/>
              </w:rPr>
              <w:t>闽发改备[2025]A060497号</w:t>
            </w:r>
          </w:p>
        </w:tc>
      </w:tr>
      <w:tr w14:paraId="729B5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17867BF3">
            <w:pPr>
              <w:adjustRightInd w:val="0"/>
              <w:snapToGrid w:val="0"/>
              <w:jc w:val="center"/>
              <w:rPr>
                <w:color w:val="auto"/>
                <w:szCs w:val="21"/>
                <w:highlight w:val="none"/>
              </w:rPr>
            </w:pPr>
            <w:r>
              <w:rPr>
                <w:color w:val="auto"/>
                <w:szCs w:val="21"/>
                <w:highlight w:val="none"/>
              </w:rPr>
              <w:t>总投资（万元）</w:t>
            </w:r>
          </w:p>
        </w:tc>
        <w:tc>
          <w:tcPr>
            <w:tcW w:w="2744" w:type="dxa"/>
            <w:vAlign w:val="center"/>
          </w:tcPr>
          <w:p w14:paraId="3E22F6EF">
            <w:pPr>
              <w:adjustRightInd w:val="0"/>
              <w:snapToGrid w:val="0"/>
              <w:jc w:val="center"/>
              <w:rPr>
                <w:rFonts w:hint="default" w:eastAsia="宋体"/>
                <w:color w:val="auto"/>
                <w:szCs w:val="21"/>
                <w:highlight w:val="none"/>
                <w:lang w:val="en-US" w:eastAsia="zh-CN"/>
              </w:rPr>
            </w:pPr>
            <w:r>
              <w:rPr>
                <w:rFonts w:hint="eastAsia"/>
                <w:color w:val="auto"/>
                <w:szCs w:val="21"/>
                <w:highlight w:val="none"/>
                <w:shd w:val="clear"/>
                <w:lang w:val="en-US" w:eastAsia="zh-CN"/>
              </w:rPr>
              <w:t>360</w:t>
            </w:r>
          </w:p>
        </w:tc>
        <w:tc>
          <w:tcPr>
            <w:tcW w:w="1742" w:type="dxa"/>
            <w:tcMar>
              <w:top w:w="16" w:type="dxa"/>
              <w:left w:w="16" w:type="dxa"/>
              <w:right w:w="16" w:type="dxa"/>
            </w:tcMar>
            <w:vAlign w:val="center"/>
          </w:tcPr>
          <w:p w14:paraId="1451C770">
            <w:pPr>
              <w:adjustRightInd w:val="0"/>
              <w:snapToGrid w:val="0"/>
              <w:jc w:val="center"/>
              <w:rPr>
                <w:color w:val="auto"/>
                <w:szCs w:val="21"/>
                <w:highlight w:val="none"/>
              </w:rPr>
            </w:pPr>
            <w:r>
              <w:rPr>
                <w:color w:val="auto"/>
                <w:szCs w:val="21"/>
                <w:highlight w:val="none"/>
              </w:rPr>
              <w:t>环保投资（万元）</w:t>
            </w:r>
          </w:p>
        </w:tc>
        <w:tc>
          <w:tcPr>
            <w:tcW w:w="3012" w:type="dxa"/>
            <w:vAlign w:val="center"/>
          </w:tcPr>
          <w:p w14:paraId="250C57E9">
            <w:pPr>
              <w:adjustRightInd w:val="0"/>
              <w:snapToGrid w:val="0"/>
              <w:jc w:val="center"/>
              <w:rPr>
                <w:rFonts w:hint="default" w:eastAsia="宋体"/>
                <w:color w:val="auto"/>
                <w:szCs w:val="21"/>
                <w:highlight w:val="none"/>
                <w:lang w:val="en-US" w:eastAsia="zh-CN"/>
              </w:rPr>
            </w:pPr>
            <w:r>
              <w:rPr>
                <w:rFonts w:hint="eastAsia"/>
                <w:color w:val="auto"/>
                <w:szCs w:val="21"/>
                <w:highlight w:val="none"/>
                <w:shd w:val="clear"/>
                <w:lang w:val="en-US" w:eastAsia="zh-CN"/>
              </w:rPr>
              <w:t>95</w:t>
            </w:r>
          </w:p>
        </w:tc>
      </w:tr>
      <w:tr w14:paraId="1CE00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0B2D285E">
            <w:pPr>
              <w:adjustRightInd w:val="0"/>
              <w:snapToGrid w:val="0"/>
              <w:jc w:val="center"/>
              <w:rPr>
                <w:color w:val="auto"/>
                <w:szCs w:val="21"/>
                <w:highlight w:val="none"/>
              </w:rPr>
            </w:pPr>
            <w:r>
              <w:rPr>
                <w:color w:val="auto"/>
                <w:szCs w:val="21"/>
                <w:highlight w:val="none"/>
              </w:rPr>
              <w:t>环保投资占比（%）</w:t>
            </w:r>
          </w:p>
        </w:tc>
        <w:tc>
          <w:tcPr>
            <w:tcW w:w="2744" w:type="dxa"/>
            <w:vAlign w:val="center"/>
          </w:tcPr>
          <w:p w14:paraId="158589CF">
            <w:pPr>
              <w:adjustRightInd w:val="0"/>
              <w:snapToGrid w:val="0"/>
              <w:jc w:val="center"/>
              <w:rPr>
                <w:rFonts w:hint="default"/>
                <w:color w:val="auto"/>
                <w:szCs w:val="21"/>
                <w:highlight w:val="none"/>
                <w:lang w:val="en-US" w:eastAsia="zh-CN"/>
              </w:rPr>
            </w:pPr>
            <w:r>
              <w:rPr>
                <w:rFonts w:hint="eastAsia"/>
                <w:color w:val="auto"/>
                <w:szCs w:val="21"/>
                <w:highlight w:val="none"/>
                <w:shd w:val="clear"/>
                <w:lang w:val="en-US" w:eastAsia="zh-CN"/>
              </w:rPr>
              <w:t>26.38%</w:t>
            </w:r>
          </w:p>
        </w:tc>
        <w:tc>
          <w:tcPr>
            <w:tcW w:w="1742" w:type="dxa"/>
            <w:tcMar>
              <w:top w:w="16" w:type="dxa"/>
              <w:left w:w="16" w:type="dxa"/>
              <w:right w:w="16" w:type="dxa"/>
            </w:tcMar>
            <w:vAlign w:val="center"/>
          </w:tcPr>
          <w:p w14:paraId="3DDF26E5">
            <w:pPr>
              <w:adjustRightInd w:val="0"/>
              <w:snapToGrid w:val="0"/>
              <w:jc w:val="center"/>
              <w:rPr>
                <w:color w:val="auto"/>
                <w:szCs w:val="21"/>
                <w:highlight w:val="none"/>
              </w:rPr>
            </w:pPr>
            <w:r>
              <w:rPr>
                <w:color w:val="auto"/>
                <w:szCs w:val="21"/>
                <w:highlight w:val="none"/>
              </w:rPr>
              <w:t>施工工期</w:t>
            </w:r>
          </w:p>
        </w:tc>
        <w:tc>
          <w:tcPr>
            <w:tcW w:w="3012" w:type="dxa"/>
            <w:vAlign w:val="center"/>
          </w:tcPr>
          <w:p w14:paraId="2215DE35">
            <w:pPr>
              <w:adjustRightInd w:val="0"/>
              <w:snapToGrid w:val="0"/>
              <w:jc w:val="center"/>
              <w:rPr>
                <w:color w:val="auto"/>
                <w:szCs w:val="21"/>
                <w:highlight w:val="none"/>
              </w:rPr>
            </w:pPr>
            <w:r>
              <w:rPr>
                <w:rFonts w:hint="eastAsia"/>
                <w:color w:val="auto"/>
                <w:szCs w:val="21"/>
                <w:highlight w:val="none"/>
                <w:lang w:val="en-US" w:eastAsia="zh-CN"/>
              </w:rPr>
              <w:t>12</w:t>
            </w:r>
            <w:r>
              <w:rPr>
                <w:color w:val="auto"/>
                <w:szCs w:val="21"/>
                <w:highlight w:val="none"/>
              </w:rPr>
              <w:t>个月</w:t>
            </w:r>
          </w:p>
        </w:tc>
      </w:tr>
      <w:tr w14:paraId="3BA72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2" w:type="dxa"/>
            <w:tcMar>
              <w:top w:w="16" w:type="dxa"/>
              <w:left w:w="16" w:type="dxa"/>
              <w:right w:w="16" w:type="dxa"/>
            </w:tcMar>
            <w:vAlign w:val="center"/>
          </w:tcPr>
          <w:p w14:paraId="7E6FF80D">
            <w:pPr>
              <w:adjustRightInd w:val="0"/>
              <w:snapToGrid w:val="0"/>
              <w:jc w:val="center"/>
              <w:rPr>
                <w:color w:val="auto"/>
                <w:szCs w:val="21"/>
                <w:highlight w:val="none"/>
              </w:rPr>
            </w:pPr>
            <w:r>
              <w:rPr>
                <w:color w:val="auto"/>
                <w:szCs w:val="21"/>
                <w:highlight w:val="none"/>
              </w:rPr>
              <w:t>是否开工建设</w:t>
            </w:r>
          </w:p>
        </w:tc>
        <w:tc>
          <w:tcPr>
            <w:tcW w:w="2744" w:type="dxa"/>
            <w:vAlign w:val="center"/>
          </w:tcPr>
          <w:p w14:paraId="42C3B59B">
            <w:pPr>
              <w:adjustRightInd w:val="0"/>
              <w:snapToGrid w:val="0"/>
              <w:rPr>
                <w:color w:val="auto"/>
                <w:szCs w:val="21"/>
                <w:highlight w:val="none"/>
              </w:rPr>
            </w:pPr>
            <w:r>
              <w:rPr>
                <w:color w:val="auto"/>
                <w:szCs w:val="21"/>
                <w:highlight w:val="none"/>
              </w:rPr>
              <w:sym w:font="Wingdings 2" w:char="0052"/>
            </w:r>
            <w:r>
              <w:rPr>
                <w:color w:val="auto"/>
                <w:szCs w:val="21"/>
                <w:highlight w:val="none"/>
              </w:rPr>
              <w:t>否</w:t>
            </w:r>
          </w:p>
          <w:p w14:paraId="2E501F80">
            <w:pPr>
              <w:adjustRightInd w:val="0"/>
              <w:snapToGrid w:val="0"/>
              <w:rPr>
                <w:color w:val="auto"/>
                <w:szCs w:val="21"/>
                <w:highlight w:val="none"/>
              </w:rPr>
            </w:pPr>
            <w:r>
              <w:rPr>
                <w:color w:val="auto"/>
                <w:szCs w:val="21"/>
                <w:highlight w:val="none"/>
              </w:rPr>
              <w:sym w:font="Wingdings 2" w:char="00A3"/>
            </w:r>
            <w:r>
              <w:rPr>
                <w:color w:val="auto"/>
                <w:szCs w:val="21"/>
                <w:highlight w:val="none"/>
              </w:rPr>
              <w:t>是：</w:t>
            </w:r>
            <w:r>
              <w:rPr>
                <w:rFonts w:hint="eastAsia"/>
                <w:color w:val="auto"/>
                <w:szCs w:val="21"/>
                <w:highlight w:val="none"/>
                <w:u w:val="single"/>
              </w:rPr>
              <w:t xml:space="preserve">             </w:t>
            </w:r>
            <w:r>
              <w:rPr>
                <w:color w:val="auto"/>
                <w:szCs w:val="21"/>
                <w:highlight w:val="none"/>
                <w:u w:val="single"/>
              </w:rPr>
              <w:t xml:space="preserve">   </w:t>
            </w:r>
          </w:p>
        </w:tc>
        <w:tc>
          <w:tcPr>
            <w:tcW w:w="1742" w:type="dxa"/>
            <w:tcMar>
              <w:top w:w="16" w:type="dxa"/>
              <w:left w:w="16" w:type="dxa"/>
              <w:right w:w="16" w:type="dxa"/>
            </w:tcMar>
            <w:vAlign w:val="center"/>
          </w:tcPr>
          <w:p w14:paraId="5245DB30">
            <w:pPr>
              <w:adjustRightInd w:val="0"/>
              <w:snapToGrid w:val="0"/>
              <w:jc w:val="center"/>
              <w:rPr>
                <w:color w:val="auto"/>
                <w:spacing w:val="-6"/>
                <w:szCs w:val="21"/>
                <w:highlight w:val="none"/>
              </w:rPr>
            </w:pPr>
            <w:r>
              <w:rPr>
                <w:color w:val="auto"/>
                <w:spacing w:val="-6"/>
                <w:szCs w:val="21"/>
                <w:highlight w:val="none"/>
              </w:rPr>
              <w:t>用地（用海）</w:t>
            </w:r>
          </w:p>
          <w:p w14:paraId="573C0726">
            <w:pPr>
              <w:adjustRightInd w:val="0"/>
              <w:snapToGrid w:val="0"/>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3012" w:type="dxa"/>
            <w:vAlign w:val="center"/>
          </w:tcPr>
          <w:p w14:paraId="064CBF21">
            <w:pPr>
              <w:adjustRightInd w:val="0"/>
              <w:snapToGrid w:val="0"/>
              <w:jc w:val="center"/>
              <w:rPr>
                <w:rFonts w:hint="default"/>
                <w:color w:val="auto"/>
                <w:szCs w:val="21"/>
                <w:highlight w:val="none"/>
                <w:lang w:val="en-US"/>
              </w:rPr>
            </w:pPr>
            <w:r>
              <w:rPr>
                <w:rFonts w:hint="eastAsia"/>
                <w:color w:val="auto"/>
                <w:szCs w:val="21"/>
                <w:highlight w:val="none"/>
                <w:shd w:val="clear"/>
                <w:lang w:val="en-US" w:eastAsia="zh-CN"/>
              </w:rPr>
              <w:t>3456</w:t>
            </w:r>
          </w:p>
        </w:tc>
      </w:tr>
      <w:tr w14:paraId="2CF9D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7" w:hRule="atLeast"/>
          <w:jc w:val="center"/>
        </w:trPr>
        <w:tc>
          <w:tcPr>
            <w:tcW w:w="1372" w:type="dxa"/>
            <w:vAlign w:val="center"/>
          </w:tcPr>
          <w:p w14:paraId="68B1E5F7">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7498" w:type="dxa"/>
            <w:gridSpan w:val="3"/>
            <w:vAlign w:val="center"/>
          </w:tcPr>
          <w:p w14:paraId="25EAD2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对照《建设项目环境影响报告表编制</w:t>
            </w:r>
            <w:r>
              <w:rPr>
                <w:rFonts w:hint="eastAsia" w:ascii="Times New Roman" w:hAnsi="Times New Roman" w:eastAsia="宋体" w:cs="Times New Roman"/>
                <w:color w:val="auto"/>
                <w:sz w:val="24"/>
                <w:szCs w:val="24"/>
                <w:highlight w:val="none"/>
                <w:lang w:val="en-US" w:eastAsia="zh-CN"/>
              </w:rPr>
              <w:t>技术</w:t>
            </w:r>
            <w:r>
              <w:rPr>
                <w:rFonts w:hint="default" w:ascii="Times New Roman" w:hAnsi="Times New Roman" w:eastAsia="宋体" w:cs="Times New Roman"/>
                <w:color w:val="auto"/>
                <w:sz w:val="24"/>
                <w:szCs w:val="24"/>
                <w:highlight w:val="none"/>
              </w:rPr>
              <w:t>指南——污染影响类》专题评价设置原则表，本项目专题评价设置情况判定如下：</w:t>
            </w:r>
          </w:p>
          <w:p w14:paraId="32FCA20E">
            <w:pPr>
              <w:pStyle w:val="44"/>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专项评价设置原则表</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939"/>
              <w:gridCol w:w="4449"/>
              <w:gridCol w:w="538"/>
            </w:tblGrid>
            <w:tr w14:paraId="7F43C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610" w:hRule="atLeast"/>
                <w:tblHeader/>
                <w:jc w:val="center"/>
              </w:trPr>
              <w:tc>
                <w:tcPr>
                  <w:tcW w:w="0" w:type="auto"/>
                  <w:tcBorders>
                    <w:tl2br w:val="nil"/>
                    <w:tr2bl w:val="nil"/>
                  </w:tcBorders>
                  <w:noWrap w:val="0"/>
                  <w:vAlign w:val="center"/>
                </w:tcPr>
                <w:p w14:paraId="39C7BECB">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专项评价类别</w:t>
                  </w:r>
                </w:p>
              </w:tc>
              <w:tc>
                <w:tcPr>
                  <w:tcW w:w="0" w:type="auto"/>
                  <w:tcBorders>
                    <w:tl2br w:val="nil"/>
                    <w:tr2bl w:val="nil"/>
                  </w:tcBorders>
                  <w:noWrap w:val="0"/>
                  <w:vAlign w:val="center"/>
                </w:tcPr>
                <w:p w14:paraId="28A71F8C">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设置原则</w:t>
                  </w:r>
                </w:p>
              </w:tc>
              <w:tc>
                <w:tcPr>
                  <w:tcW w:w="0" w:type="auto"/>
                  <w:tcBorders>
                    <w:tl2br w:val="nil"/>
                    <w:tr2bl w:val="nil"/>
                  </w:tcBorders>
                  <w:noWrap w:val="0"/>
                  <w:vAlign w:val="center"/>
                </w:tcPr>
                <w:p w14:paraId="2CDA9743">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项目情况</w:t>
                  </w:r>
                </w:p>
              </w:tc>
              <w:tc>
                <w:tcPr>
                  <w:tcW w:w="0" w:type="auto"/>
                  <w:tcBorders>
                    <w:tl2br w:val="nil"/>
                    <w:tr2bl w:val="nil"/>
                  </w:tcBorders>
                  <w:noWrap w:val="0"/>
                  <w:vAlign w:val="center"/>
                </w:tcPr>
                <w:p w14:paraId="04D5BF26">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是否设置专项</w:t>
                  </w:r>
                </w:p>
              </w:tc>
            </w:tr>
            <w:tr w14:paraId="3E26D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89" w:hRule="atLeast"/>
                <w:tblHeader/>
                <w:jc w:val="center"/>
              </w:trPr>
              <w:tc>
                <w:tcPr>
                  <w:tcW w:w="0" w:type="auto"/>
                  <w:tcBorders>
                    <w:tl2br w:val="nil"/>
                    <w:tr2bl w:val="nil"/>
                  </w:tcBorders>
                  <w:noWrap w:val="0"/>
                  <w:vAlign w:val="center"/>
                </w:tcPr>
                <w:p w14:paraId="37CD8AAC">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0" w:type="auto"/>
                  <w:tcBorders>
                    <w:tl2br w:val="nil"/>
                    <w:tr2bl w:val="nil"/>
                  </w:tcBorders>
                  <w:noWrap w:val="0"/>
                  <w:vAlign w:val="center"/>
                </w:tcPr>
                <w:p w14:paraId="36EF73BB">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排放废气含有毒有害污染物、二噁英、苯并芘、氰化物、氯气</w:t>
                  </w:r>
                  <w:r>
                    <w:rPr>
                      <w:rFonts w:hint="eastAsia" w:cs="Times New Roman"/>
                      <w:color w:val="auto"/>
                      <w:sz w:val="21"/>
                      <w:szCs w:val="21"/>
                      <w:highlight w:val="none"/>
                      <w:lang w:eastAsia="zh-CN"/>
                    </w:rPr>
                    <w:t>且</w:t>
                  </w:r>
                  <w:r>
                    <w:rPr>
                      <w:rFonts w:hint="default" w:ascii="Times New Roman" w:hAnsi="Times New Roman" w:eastAsia="宋体" w:cs="Times New Roman"/>
                      <w:color w:val="auto"/>
                      <w:sz w:val="21"/>
                      <w:szCs w:val="21"/>
                      <w:highlight w:val="none"/>
                    </w:rPr>
                    <w:t>厂界外500米范围内有环境空气保护目标的项目</w:t>
                  </w:r>
                </w:p>
              </w:tc>
              <w:tc>
                <w:tcPr>
                  <w:tcW w:w="0" w:type="auto"/>
                  <w:tcBorders>
                    <w:tl2br w:val="nil"/>
                    <w:tr2bl w:val="nil"/>
                  </w:tcBorders>
                  <w:noWrap w:val="0"/>
                  <w:vAlign w:val="center"/>
                </w:tcPr>
                <w:p w14:paraId="05CBC751">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本项目所排放的废气中</w:t>
                  </w:r>
                  <w:r>
                    <w:rPr>
                      <w:rFonts w:hint="eastAsia" w:cs="Times New Roman"/>
                      <w:color w:val="auto"/>
                      <w:sz w:val="21"/>
                      <w:szCs w:val="21"/>
                      <w:highlight w:val="none"/>
                      <w:lang w:val="en-US" w:eastAsia="zh-CN"/>
                    </w:rPr>
                    <w:t>不</w:t>
                  </w:r>
                  <w:r>
                    <w:rPr>
                      <w:rFonts w:hint="eastAsia" w:ascii="Times New Roman" w:hAnsi="Times New Roman" w:eastAsia="宋体" w:cs="Times New Roman"/>
                      <w:color w:val="auto"/>
                      <w:sz w:val="21"/>
                      <w:szCs w:val="21"/>
                      <w:highlight w:val="none"/>
                      <w:lang w:val="en-US" w:eastAsia="zh-CN"/>
                    </w:rPr>
                    <w:t>含有毒有害污染物。本项目在电泳、喷漆、喷粉固化过程中，其温度均未达到树脂热分解温度，不会产生酚类、甲醛等有毒有害污染物。废气主要为涂料中溶剂挥发产生的挥发性有机化合物（VOCs）</w:t>
                  </w:r>
                  <w:r>
                    <w:rPr>
                      <w:rFonts w:hint="eastAsia" w:cs="Times New Roman"/>
                      <w:color w:val="auto"/>
                      <w:sz w:val="21"/>
                      <w:szCs w:val="21"/>
                      <w:highlight w:val="none"/>
                      <w:lang w:val="en-US" w:eastAsia="zh-CN"/>
                    </w:rPr>
                    <w:t>和焊接烟尘（颗粒物）</w:t>
                  </w:r>
                  <w:r>
                    <w:rPr>
                      <w:rFonts w:hint="eastAsia" w:ascii="Times New Roman" w:hAnsi="Times New Roman" w:eastAsia="宋体" w:cs="Times New Roman"/>
                      <w:color w:val="auto"/>
                      <w:sz w:val="21"/>
                      <w:szCs w:val="21"/>
                      <w:highlight w:val="none"/>
                      <w:lang w:val="en-US" w:eastAsia="zh-CN"/>
                    </w:rPr>
                    <w:t>，这些均属于常规大气污染物，并非有毒有害污染物。此外，依据建设单位提供的</w:t>
                  </w:r>
                  <w:r>
                    <w:rPr>
                      <w:rFonts w:hint="eastAsia" w:cs="Times New Roman"/>
                      <w:color w:val="auto"/>
                      <w:sz w:val="21"/>
                      <w:szCs w:val="21"/>
                      <w:highlight w:val="none"/>
                      <w:lang w:val="en-US" w:eastAsia="zh-CN"/>
                    </w:rPr>
                    <w:t>涂料安全技术说明书（</w:t>
                  </w:r>
                  <w:r>
                    <w:rPr>
                      <w:rFonts w:hint="eastAsia" w:ascii="Times New Roman" w:hAnsi="Times New Roman" w:eastAsia="宋体" w:cs="Times New Roman"/>
                      <w:color w:val="auto"/>
                      <w:sz w:val="21"/>
                      <w:szCs w:val="21"/>
                      <w:highlight w:val="none"/>
                      <w:lang w:val="en-US" w:eastAsia="zh-CN"/>
                    </w:rPr>
                    <w:t>MSDS）可知，项目所使用的涂料均不含甲醛成分；根据项目</w:t>
                  </w:r>
                  <w:r>
                    <w:rPr>
                      <w:rFonts w:hint="eastAsia" w:cs="Times New Roman"/>
                      <w:color w:val="auto"/>
                      <w:sz w:val="21"/>
                      <w:szCs w:val="21"/>
                      <w:highlight w:val="none"/>
                      <w:lang w:val="en-US" w:eastAsia="zh-CN"/>
                    </w:rPr>
                    <w:t>涂料挥发性有机化合物（</w:t>
                  </w:r>
                  <w:r>
                    <w:rPr>
                      <w:rFonts w:hint="eastAsia" w:ascii="Times New Roman" w:hAnsi="Times New Roman" w:eastAsia="宋体" w:cs="Times New Roman"/>
                      <w:color w:val="auto"/>
                      <w:sz w:val="21"/>
                      <w:szCs w:val="21"/>
                      <w:highlight w:val="none"/>
                      <w:lang w:val="en-US" w:eastAsia="zh-CN"/>
                    </w:rPr>
                    <w:t>VOCs）含量检测报告，甲醛含量未被检出。因此，本评价不考虑涂料、胶粘剂中的甲醛成分。本</w:t>
                  </w:r>
                  <w:r>
                    <w:rPr>
                      <w:rFonts w:hint="eastAsia"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lang w:val="en-US" w:eastAsia="zh-CN"/>
                    </w:rPr>
                    <w:t>排放的废气主要为颗粒物、非甲烷总烃等，不涉及</w:t>
                  </w:r>
                  <w:r>
                    <w:rPr>
                      <w:rFonts w:hint="eastAsia" w:cs="Times New Roman"/>
                      <w:color w:val="auto"/>
                      <w:sz w:val="21"/>
                      <w:szCs w:val="21"/>
                      <w:highlight w:val="none"/>
                      <w:lang w:val="en-US" w:eastAsia="zh-CN"/>
                    </w:rPr>
                    <w:t>上述所列的</w:t>
                  </w:r>
                  <w:r>
                    <w:rPr>
                      <w:rFonts w:hint="eastAsia" w:ascii="Times New Roman" w:hAnsi="Times New Roman" w:eastAsia="宋体" w:cs="Times New Roman"/>
                      <w:color w:val="auto"/>
                      <w:sz w:val="21"/>
                      <w:szCs w:val="21"/>
                      <w:highlight w:val="none"/>
                      <w:lang w:val="en-US" w:eastAsia="zh-CN"/>
                    </w:rPr>
                    <w:t>废气污染物。</w:t>
                  </w:r>
                </w:p>
              </w:tc>
              <w:tc>
                <w:tcPr>
                  <w:tcW w:w="0" w:type="auto"/>
                  <w:tcBorders>
                    <w:tl2br w:val="nil"/>
                    <w:tr2bl w:val="nil"/>
                  </w:tcBorders>
                  <w:noWrap w:val="0"/>
                  <w:vAlign w:val="center"/>
                </w:tcPr>
                <w:p w14:paraId="3A0608D3">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否</w:t>
                  </w:r>
                </w:p>
              </w:tc>
            </w:tr>
            <w:tr w14:paraId="67FD3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tcBorders>
                    <w:tl2br w:val="nil"/>
                    <w:tr2bl w:val="nil"/>
                  </w:tcBorders>
                  <w:noWrap w:val="0"/>
                  <w:vAlign w:val="center"/>
                </w:tcPr>
                <w:p w14:paraId="7A255A05">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0" w:type="auto"/>
                  <w:tcBorders>
                    <w:tl2br w:val="nil"/>
                    <w:tr2bl w:val="nil"/>
                  </w:tcBorders>
                  <w:noWrap w:val="0"/>
                  <w:vAlign w:val="center"/>
                </w:tcPr>
                <w:p w14:paraId="55B4C1B8">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新增工业废水直排建设项目（槽罐车外送污水处理厂的除外），新增废水直排的污水集中处理厂</w:t>
                  </w:r>
                </w:p>
              </w:tc>
              <w:tc>
                <w:tcPr>
                  <w:tcW w:w="0" w:type="auto"/>
                  <w:tcBorders>
                    <w:tl2br w:val="nil"/>
                    <w:tr2bl w:val="nil"/>
                  </w:tcBorders>
                  <w:noWrap w:val="0"/>
                  <w:vAlign w:val="center"/>
                </w:tcPr>
                <w:p w14:paraId="734336FD">
                  <w:pPr>
                    <w:pStyle w:val="136"/>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本项目不涉及新增工业废水直排</w:t>
                  </w:r>
                  <w:r>
                    <w:rPr>
                      <w:rFonts w:hint="eastAsia" w:ascii="Times New Roman" w:hAnsi="Times New Roman" w:eastAsia="宋体"/>
                      <w:bCs/>
                      <w:color w:val="auto"/>
                      <w:sz w:val="21"/>
                      <w:szCs w:val="21"/>
                      <w:highlight w:val="none"/>
                      <w:lang w:eastAsia="zh-CN"/>
                    </w:rPr>
                    <w:t>。</w:t>
                  </w:r>
                </w:p>
              </w:tc>
              <w:tc>
                <w:tcPr>
                  <w:tcW w:w="0" w:type="auto"/>
                  <w:tcBorders>
                    <w:tl2br w:val="nil"/>
                    <w:tr2bl w:val="nil"/>
                  </w:tcBorders>
                  <w:noWrap w:val="0"/>
                  <w:vAlign w:val="center"/>
                </w:tcPr>
                <w:p w14:paraId="68E05B79">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否</w:t>
                  </w:r>
                </w:p>
              </w:tc>
            </w:tr>
            <w:tr w14:paraId="392C4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tcBorders>
                    <w:tl2br w:val="nil"/>
                    <w:tr2bl w:val="nil"/>
                  </w:tcBorders>
                  <w:noWrap w:val="0"/>
                  <w:vAlign w:val="center"/>
                </w:tcPr>
                <w:p w14:paraId="03777EF0">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p w14:paraId="2247D994">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w:t>
                  </w:r>
                </w:p>
              </w:tc>
              <w:tc>
                <w:tcPr>
                  <w:tcW w:w="0" w:type="auto"/>
                  <w:tcBorders>
                    <w:tl2br w:val="nil"/>
                    <w:tr2bl w:val="nil"/>
                  </w:tcBorders>
                  <w:noWrap w:val="0"/>
                  <w:vAlign w:val="center"/>
                </w:tcPr>
                <w:p w14:paraId="3EFDD69F">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有毒有害和易燃易爆危险物质存储量超过临界量的建设项目</w:t>
                  </w:r>
                </w:p>
              </w:tc>
              <w:tc>
                <w:tcPr>
                  <w:tcW w:w="0" w:type="auto"/>
                  <w:tcBorders>
                    <w:tl2br w:val="nil"/>
                    <w:tr2bl w:val="nil"/>
                  </w:tcBorders>
                  <w:noWrap w:val="0"/>
                  <w:vAlign w:val="center"/>
                </w:tcPr>
                <w:p w14:paraId="4906D90A">
                  <w:pPr>
                    <w:pStyle w:val="136"/>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本项目涉及的危险物质为机油、乙酸、甲烷以及危险废物，其中机油最大存储总量为0.02t，乙酸的最大存储总量为0.047t，甲烷最大存储总量为0.05t，危险废物的总最大存储总量为2.71t，经过核算项目的Q值为0.058948，小于临界值1，故本</w:t>
                  </w:r>
                  <w:r>
                    <w:rPr>
                      <w:rFonts w:hint="eastAsia" w:ascii="Times New Roman" w:hAnsi="Times New Roman" w:eastAsia="宋体" w:cs="Times New Roman"/>
                      <w:color w:val="auto"/>
                      <w:sz w:val="21"/>
                      <w:szCs w:val="21"/>
                      <w:highlight w:val="none"/>
                      <w:lang w:val="en-US" w:eastAsia="zh-CN"/>
                    </w:rPr>
                    <w:t>项目有毒有害及易燃易爆危险物质的</w:t>
                  </w:r>
                  <w:r>
                    <w:rPr>
                      <w:rFonts w:hint="eastAsia" w:cs="Times New Roman"/>
                      <w:color w:val="auto"/>
                      <w:sz w:val="21"/>
                      <w:szCs w:val="21"/>
                      <w:highlight w:val="none"/>
                      <w:lang w:val="en-US" w:eastAsia="zh-CN"/>
                    </w:rPr>
                    <w:t>存储量未超过临界值</w:t>
                  </w:r>
                  <w:r>
                    <w:rPr>
                      <w:rFonts w:hint="eastAsia" w:ascii="Times New Roman" w:hAnsi="Times New Roman" w:eastAsia="宋体" w:cs="Times New Roman"/>
                      <w:color w:val="auto"/>
                      <w:sz w:val="21"/>
                      <w:szCs w:val="21"/>
                      <w:highlight w:val="none"/>
                      <w:lang w:val="en-US" w:eastAsia="zh-CN"/>
                    </w:rPr>
                    <w:t>。</w:t>
                  </w:r>
                </w:p>
              </w:tc>
              <w:tc>
                <w:tcPr>
                  <w:tcW w:w="0" w:type="auto"/>
                  <w:tcBorders>
                    <w:tl2br w:val="nil"/>
                    <w:tr2bl w:val="nil"/>
                  </w:tcBorders>
                  <w:noWrap w:val="0"/>
                  <w:vAlign w:val="center"/>
                </w:tcPr>
                <w:p w14:paraId="627CD5D6">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否</w:t>
                  </w:r>
                </w:p>
              </w:tc>
            </w:tr>
            <w:tr w14:paraId="01063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tcBorders>
                    <w:tl2br w:val="nil"/>
                    <w:tr2bl w:val="nil"/>
                  </w:tcBorders>
                  <w:noWrap w:val="0"/>
                  <w:vAlign w:val="center"/>
                </w:tcPr>
                <w:p w14:paraId="491D3481">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0" w:type="auto"/>
                  <w:tcBorders>
                    <w:tl2br w:val="nil"/>
                    <w:tr2bl w:val="nil"/>
                  </w:tcBorders>
                  <w:noWrap w:val="0"/>
                  <w:vAlign w:val="center"/>
                </w:tcPr>
                <w:p w14:paraId="3B999C6D">
                  <w:pPr>
                    <w:pStyle w:val="136"/>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w:t>
                  </w:r>
                </w:p>
              </w:tc>
              <w:tc>
                <w:tcPr>
                  <w:tcW w:w="0" w:type="auto"/>
                  <w:tcBorders>
                    <w:tl2br w:val="nil"/>
                    <w:tr2bl w:val="nil"/>
                  </w:tcBorders>
                  <w:noWrap w:val="0"/>
                  <w:vAlign w:val="center"/>
                </w:tcPr>
                <w:p w14:paraId="0143B9E3">
                  <w:pPr>
                    <w:pStyle w:val="136"/>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用水</w:t>
                  </w:r>
                  <w:r>
                    <w:rPr>
                      <w:rFonts w:hint="default" w:ascii="Times New Roman" w:hAnsi="Times New Roman" w:eastAsia="宋体" w:cs="Times New Roman"/>
                      <w:b w:val="0"/>
                      <w:bCs w:val="0"/>
                      <w:iCs/>
                      <w:color w:val="auto"/>
                      <w:kern w:val="2"/>
                      <w:sz w:val="21"/>
                      <w:szCs w:val="21"/>
                      <w:highlight w:val="none"/>
                      <w:lang w:val="en-US" w:eastAsia="zh-CN" w:bidi="ar-SA"/>
                    </w:rPr>
                    <w:t>由市政给水管</w:t>
                  </w:r>
                  <w:r>
                    <w:rPr>
                      <w:rFonts w:hint="eastAsia" w:cs="Times New Roman"/>
                      <w:b w:val="0"/>
                      <w:bCs w:val="0"/>
                      <w:iCs/>
                      <w:color w:val="auto"/>
                      <w:kern w:val="2"/>
                      <w:sz w:val="21"/>
                      <w:szCs w:val="21"/>
                      <w:highlight w:val="none"/>
                      <w:lang w:val="en-US" w:eastAsia="zh-CN" w:bidi="ar-SA"/>
                    </w:rPr>
                    <w:t>网</w:t>
                  </w:r>
                  <w:r>
                    <w:rPr>
                      <w:rFonts w:hint="default" w:ascii="Times New Roman" w:hAnsi="Times New Roman" w:eastAsia="宋体" w:cs="Times New Roman"/>
                      <w:b w:val="0"/>
                      <w:bCs w:val="0"/>
                      <w:iCs/>
                      <w:color w:val="auto"/>
                      <w:kern w:val="2"/>
                      <w:sz w:val="21"/>
                      <w:szCs w:val="21"/>
                      <w:highlight w:val="none"/>
                      <w:lang w:val="en-US" w:eastAsia="zh-CN" w:bidi="ar-SA"/>
                    </w:rPr>
                    <w:t>供给</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rPr>
                    <w:t>设置取水口</w:t>
                  </w:r>
                  <w:r>
                    <w:rPr>
                      <w:rFonts w:hint="eastAsia" w:ascii="Times New Roman" w:hAnsi="Times New Roman" w:eastAsia="宋体" w:cs="Times New Roman"/>
                      <w:color w:val="auto"/>
                      <w:sz w:val="21"/>
                      <w:szCs w:val="21"/>
                      <w:highlight w:val="none"/>
                      <w:lang w:eastAsia="zh-CN"/>
                    </w:rPr>
                    <w:t>。</w:t>
                  </w:r>
                </w:p>
              </w:tc>
              <w:tc>
                <w:tcPr>
                  <w:tcW w:w="0" w:type="auto"/>
                  <w:tcBorders>
                    <w:tl2br w:val="nil"/>
                    <w:tr2bl w:val="nil"/>
                  </w:tcBorders>
                  <w:noWrap w:val="0"/>
                  <w:vAlign w:val="center"/>
                </w:tcPr>
                <w:p w14:paraId="1198F55E">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否</w:t>
                  </w:r>
                </w:p>
              </w:tc>
            </w:tr>
            <w:tr w14:paraId="3B2D0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4" w:hRule="atLeast"/>
                <w:tblHeader/>
                <w:jc w:val="center"/>
              </w:trPr>
              <w:tc>
                <w:tcPr>
                  <w:tcW w:w="0" w:type="auto"/>
                  <w:tcBorders>
                    <w:tl2br w:val="nil"/>
                    <w:tr2bl w:val="nil"/>
                  </w:tcBorders>
                  <w:noWrap w:val="0"/>
                  <w:vAlign w:val="center"/>
                </w:tcPr>
                <w:p w14:paraId="0327ED6B">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海洋</w:t>
                  </w:r>
                </w:p>
              </w:tc>
              <w:tc>
                <w:tcPr>
                  <w:tcW w:w="0" w:type="auto"/>
                  <w:tcBorders>
                    <w:tl2br w:val="nil"/>
                    <w:tr2bl w:val="nil"/>
                  </w:tcBorders>
                  <w:noWrap w:val="0"/>
                  <w:vAlign w:val="center"/>
                </w:tcPr>
                <w:p w14:paraId="50ADD233">
                  <w:pPr>
                    <w:pStyle w:val="136"/>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直接向海排放污染物的海洋工程建设项目</w:t>
                  </w:r>
                </w:p>
              </w:tc>
              <w:tc>
                <w:tcPr>
                  <w:tcW w:w="0" w:type="auto"/>
                  <w:tcBorders>
                    <w:tl2br w:val="nil"/>
                    <w:tr2bl w:val="nil"/>
                  </w:tcBorders>
                  <w:noWrap w:val="0"/>
                  <w:vAlign w:val="center"/>
                </w:tcPr>
                <w:p w14:paraId="5A872132">
                  <w:pPr>
                    <w:pStyle w:val="136"/>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本项目不属于海洋工程建设项目</w:t>
                  </w:r>
                  <w:r>
                    <w:rPr>
                      <w:rFonts w:hint="eastAsia" w:ascii="Times New Roman" w:hAnsi="Times New Roman" w:eastAsia="宋体" w:cs="Times New Roman"/>
                      <w:color w:val="auto"/>
                      <w:sz w:val="21"/>
                      <w:szCs w:val="21"/>
                      <w:highlight w:val="none"/>
                      <w:lang w:eastAsia="zh-CN"/>
                    </w:rPr>
                    <w:t>。</w:t>
                  </w:r>
                </w:p>
              </w:tc>
              <w:tc>
                <w:tcPr>
                  <w:tcW w:w="0" w:type="auto"/>
                  <w:tcBorders>
                    <w:tl2br w:val="nil"/>
                    <w:tr2bl w:val="nil"/>
                  </w:tcBorders>
                  <w:noWrap w:val="0"/>
                  <w:vAlign w:val="center"/>
                </w:tcPr>
                <w:p w14:paraId="36E03A5F">
                  <w:pPr>
                    <w:pStyle w:val="1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否</w:t>
                  </w:r>
                </w:p>
              </w:tc>
            </w:tr>
          </w:tbl>
          <w:p w14:paraId="7D969516">
            <w:pPr>
              <w:autoSpaceDE w:val="0"/>
              <w:autoSpaceDN w:val="0"/>
              <w:adjustRightInd w:val="0"/>
              <w:snapToGrid w:val="0"/>
              <w:jc w:val="center"/>
              <w:rPr>
                <w:color w:val="auto"/>
                <w:kern w:val="0"/>
                <w:szCs w:val="21"/>
                <w:highlight w:val="none"/>
              </w:rPr>
            </w:pPr>
          </w:p>
        </w:tc>
      </w:tr>
      <w:tr w14:paraId="7B93B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372" w:type="dxa"/>
            <w:vAlign w:val="center"/>
          </w:tcPr>
          <w:p w14:paraId="1651FB57">
            <w:pPr>
              <w:autoSpaceDE w:val="0"/>
              <w:autoSpaceDN w:val="0"/>
              <w:adjustRightInd w:val="0"/>
              <w:snapToGrid w:val="0"/>
              <w:jc w:val="center"/>
              <w:rPr>
                <w:color w:val="auto"/>
                <w:kern w:val="0"/>
                <w:szCs w:val="21"/>
                <w:highlight w:val="none"/>
              </w:rPr>
            </w:pPr>
            <w:r>
              <w:rPr>
                <w:color w:val="auto"/>
                <w:szCs w:val="21"/>
                <w:highlight w:val="none"/>
              </w:rPr>
              <w:t>规划情况</w:t>
            </w:r>
          </w:p>
        </w:tc>
        <w:tc>
          <w:tcPr>
            <w:tcW w:w="7498" w:type="dxa"/>
            <w:gridSpan w:val="3"/>
            <w:vAlign w:val="center"/>
          </w:tcPr>
          <w:p w14:paraId="3D0ED62C">
            <w:pPr>
              <w:pStyle w:val="46"/>
              <w:spacing w:line="360" w:lineRule="auto"/>
              <w:ind w:firstLine="0" w:firstLineChars="0"/>
              <w:rPr>
                <w:rFonts w:hint="eastAsia"/>
                <w:color w:val="auto"/>
                <w:sz w:val="24"/>
                <w:szCs w:val="24"/>
                <w:highlight w:val="none"/>
              </w:rPr>
            </w:pPr>
            <w:r>
              <w:rPr>
                <w:rFonts w:hint="eastAsia"/>
                <w:color w:val="auto"/>
                <w:sz w:val="24"/>
                <w:szCs w:val="24"/>
                <w:highlight w:val="none"/>
              </w:rPr>
              <w:t>规划名称：《福清市镜洋镇镇区及北部片区控制性详细规划》</w:t>
            </w:r>
          </w:p>
          <w:p w14:paraId="5A477689">
            <w:pPr>
              <w:pStyle w:val="46"/>
              <w:spacing w:line="360" w:lineRule="auto"/>
              <w:ind w:firstLine="0" w:firstLineChars="0"/>
              <w:rPr>
                <w:rFonts w:hint="eastAsia"/>
                <w:color w:val="auto"/>
                <w:sz w:val="24"/>
                <w:szCs w:val="24"/>
                <w:highlight w:val="none"/>
              </w:rPr>
            </w:pPr>
            <w:r>
              <w:rPr>
                <w:rFonts w:hint="eastAsia"/>
                <w:color w:val="auto"/>
                <w:sz w:val="24"/>
                <w:szCs w:val="24"/>
                <w:highlight w:val="none"/>
              </w:rPr>
              <w:t>审批机关</w:t>
            </w:r>
            <w:r>
              <w:rPr>
                <w:rFonts w:hint="eastAsia"/>
                <w:color w:val="auto"/>
                <w:sz w:val="24"/>
                <w:szCs w:val="24"/>
                <w:highlight w:val="none"/>
                <w:lang w:eastAsia="zh-CN"/>
              </w:rPr>
              <w:t>：</w:t>
            </w:r>
            <w:r>
              <w:rPr>
                <w:rFonts w:hint="eastAsia"/>
                <w:color w:val="auto"/>
                <w:sz w:val="24"/>
                <w:szCs w:val="24"/>
                <w:highlight w:val="none"/>
                <w:lang w:val="en-US" w:eastAsia="zh-CN"/>
              </w:rPr>
              <w:t>福清市</w:t>
            </w:r>
            <w:r>
              <w:rPr>
                <w:rFonts w:hint="eastAsia"/>
                <w:color w:val="auto"/>
                <w:sz w:val="24"/>
                <w:szCs w:val="24"/>
                <w:highlight w:val="none"/>
              </w:rPr>
              <w:t>人民政府</w:t>
            </w:r>
          </w:p>
          <w:p w14:paraId="6A93CC1F">
            <w:pPr>
              <w:pStyle w:val="46"/>
              <w:spacing w:line="360" w:lineRule="auto"/>
              <w:ind w:firstLine="0" w:firstLineChars="0"/>
              <w:rPr>
                <w:rFonts w:hint="eastAsia"/>
                <w:color w:val="auto"/>
                <w:sz w:val="24"/>
                <w:szCs w:val="24"/>
                <w:highlight w:val="none"/>
                <w:lang w:val="en-US" w:eastAsia="zh-CN"/>
              </w:rPr>
            </w:pPr>
            <w:r>
              <w:rPr>
                <w:rFonts w:hint="eastAsia"/>
                <w:color w:val="auto"/>
                <w:sz w:val="24"/>
                <w:szCs w:val="24"/>
                <w:highlight w:val="none"/>
                <w:lang w:val="en-US" w:eastAsia="zh-CN"/>
              </w:rPr>
              <w:t>审批文件名称及文号：融政土[2022</w:t>
            </w:r>
            <w:r>
              <w:rPr>
                <w:rFonts w:hint="eastAsia" w:ascii="微软雅黑" w:hAnsi="微软雅黑" w:eastAsia="微软雅黑" w:cs="微软雅黑"/>
                <w:color w:val="auto"/>
                <w:sz w:val="24"/>
                <w:szCs w:val="24"/>
                <w:highlight w:val="none"/>
                <w:lang w:val="en-US" w:eastAsia="zh-CN"/>
              </w:rPr>
              <w:t>］</w:t>
            </w:r>
            <w:r>
              <w:rPr>
                <w:rFonts w:hint="eastAsia"/>
                <w:color w:val="auto"/>
                <w:sz w:val="24"/>
                <w:szCs w:val="24"/>
                <w:highlight w:val="none"/>
                <w:lang w:val="en-US" w:eastAsia="zh-CN"/>
              </w:rPr>
              <w:t>311号</w:t>
            </w:r>
          </w:p>
          <w:p w14:paraId="337D1A9A">
            <w:pPr>
              <w:pStyle w:val="46"/>
              <w:spacing w:line="360" w:lineRule="auto"/>
              <w:ind w:firstLine="0" w:firstLineChars="0"/>
              <w:rPr>
                <w:rFonts w:hint="eastAsia"/>
                <w:color w:val="auto"/>
                <w:sz w:val="24"/>
                <w:szCs w:val="24"/>
                <w:highlight w:val="none"/>
              </w:rPr>
            </w:pPr>
            <w:r>
              <w:rPr>
                <w:rFonts w:hint="eastAsia"/>
                <w:color w:val="auto"/>
                <w:sz w:val="24"/>
                <w:szCs w:val="24"/>
                <w:highlight w:val="none"/>
              </w:rPr>
              <w:t>规划名称：《福清融侨经济技术开发区总体规划</w:t>
            </w:r>
            <w:r>
              <w:rPr>
                <w:rFonts w:hint="eastAsia"/>
                <w:color w:val="auto"/>
                <w:sz w:val="24"/>
                <w:szCs w:val="24"/>
                <w:highlight w:val="none"/>
                <w:lang w:eastAsia="zh-CN"/>
              </w:rPr>
              <w:t>（</w:t>
            </w:r>
            <w:r>
              <w:rPr>
                <w:rFonts w:hint="eastAsia"/>
                <w:color w:val="auto"/>
                <w:sz w:val="24"/>
                <w:szCs w:val="24"/>
                <w:highlight w:val="none"/>
              </w:rPr>
              <w:t>2018</w:t>
            </w:r>
            <w:r>
              <w:rPr>
                <w:rFonts w:hint="eastAsia"/>
                <w:color w:val="auto"/>
                <w:sz w:val="24"/>
                <w:szCs w:val="24"/>
                <w:highlight w:val="none"/>
                <w:lang w:eastAsia="zh-CN"/>
              </w:rPr>
              <w:t>—</w:t>
            </w:r>
            <w:r>
              <w:rPr>
                <w:rFonts w:hint="eastAsia"/>
                <w:color w:val="auto"/>
                <w:sz w:val="24"/>
                <w:szCs w:val="24"/>
                <w:highlight w:val="none"/>
              </w:rPr>
              <w:t>2035年</w:t>
            </w:r>
            <w:r>
              <w:rPr>
                <w:rFonts w:hint="eastAsia"/>
                <w:color w:val="auto"/>
                <w:sz w:val="24"/>
                <w:szCs w:val="24"/>
                <w:highlight w:val="none"/>
                <w:lang w:eastAsia="zh-CN"/>
              </w:rPr>
              <w:t>）</w:t>
            </w:r>
            <w:r>
              <w:rPr>
                <w:rFonts w:hint="eastAsia"/>
                <w:color w:val="auto"/>
                <w:sz w:val="24"/>
                <w:szCs w:val="24"/>
                <w:highlight w:val="none"/>
              </w:rPr>
              <w:t>》</w:t>
            </w:r>
          </w:p>
          <w:p w14:paraId="1D5B4DFD">
            <w:pPr>
              <w:pStyle w:val="46"/>
              <w:spacing w:line="360" w:lineRule="auto"/>
              <w:ind w:firstLine="0" w:firstLineChars="0"/>
              <w:rPr>
                <w:rFonts w:hint="eastAsia"/>
                <w:color w:val="auto"/>
                <w:sz w:val="24"/>
                <w:szCs w:val="24"/>
                <w:highlight w:val="none"/>
                <w:lang w:val="en-US" w:eastAsia="zh-CN"/>
              </w:rPr>
            </w:pPr>
            <w:r>
              <w:rPr>
                <w:rFonts w:hint="eastAsia"/>
                <w:color w:val="auto"/>
                <w:sz w:val="24"/>
                <w:szCs w:val="24"/>
                <w:highlight w:val="none"/>
              </w:rPr>
              <w:t>审批机关：</w:t>
            </w:r>
            <w:r>
              <w:rPr>
                <w:rFonts w:hint="eastAsia"/>
                <w:color w:val="auto"/>
                <w:sz w:val="24"/>
                <w:szCs w:val="24"/>
                <w:highlight w:val="none"/>
                <w:lang w:val="en-US" w:eastAsia="zh-CN"/>
              </w:rPr>
              <w:t>福清市人民政府</w:t>
            </w:r>
          </w:p>
          <w:p w14:paraId="453CFE90">
            <w:pPr>
              <w:pStyle w:val="46"/>
              <w:spacing w:line="360" w:lineRule="auto"/>
              <w:ind w:firstLine="0" w:firstLineChars="0"/>
              <w:rPr>
                <w:rFonts w:hint="eastAsia"/>
                <w:color w:val="auto"/>
                <w:sz w:val="24"/>
                <w:szCs w:val="24"/>
                <w:highlight w:val="none"/>
                <w:lang w:val="en-US" w:eastAsia="zh-CN"/>
              </w:rPr>
            </w:pPr>
            <w:r>
              <w:rPr>
                <w:rFonts w:hint="eastAsia"/>
                <w:color w:val="auto"/>
                <w:sz w:val="24"/>
                <w:szCs w:val="24"/>
                <w:highlight w:val="none"/>
              </w:rPr>
              <w:t>审批文件名称及文号：《福清市人民政府关于同意融侨经济技术开发区总体规划</w:t>
            </w:r>
            <w:r>
              <w:rPr>
                <w:rFonts w:hint="eastAsia"/>
                <w:color w:val="auto"/>
                <w:sz w:val="24"/>
                <w:szCs w:val="24"/>
                <w:highlight w:val="none"/>
                <w:lang w:eastAsia="zh-CN"/>
              </w:rPr>
              <w:t>（</w:t>
            </w:r>
            <w:r>
              <w:rPr>
                <w:rFonts w:hint="eastAsia"/>
                <w:color w:val="auto"/>
                <w:sz w:val="24"/>
                <w:szCs w:val="24"/>
                <w:highlight w:val="none"/>
              </w:rPr>
              <w:t>2018</w:t>
            </w:r>
            <w:r>
              <w:rPr>
                <w:rFonts w:hint="eastAsia"/>
                <w:color w:val="auto"/>
                <w:sz w:val="24"/>
                <w:szCs w:val="24"/>
                <w:highlight w:val="none"/>
                <w:lang w:eastAsia="zh-CN"/>
              </w:rPr>
              <w:t>—</w:t>
            </w:r>
            <w:r>
              <w:rPr>
                <w:rFonts w:hint="eastAsia"/>
                <w:color w:val="auto"/>
                <w:sz w:val="24"/>
                <w:szCs w:val="24"/>
                <w:highlight w:val="none"/>
              </w:rPr>
              <w:t>2035年</w:t>
            </w:r>
            <w:r>
              <w:rPr>
                <w:rFonts w:hint="eastAsia"/>
                <w:color w:val="auto"/>
                <w:sz w:val="24"/>
                <w:szCs w:val="24"/>
                <w:highlight w:val="none"/>
                <w:lang w:eastAsia="zh-CN"/>
              </w:rPr>
              <w:t>）</w:t>
            </w:r>
            <w:r>
              <w:rPr>
                <w:rFonts w:hint="eastAsia"/>
                <w:color w:val="auto"/>
                <w:sz w:val="24"/>
                <w:szCs w:val="24"/>
                <w:highlight w:val="none"/>
              </w:rPr>
              <w:t>编制范围的批复》</w:t>
            </w:r>
            <w:r>
              <w:rPr>
                <w:rFonts w:hint="eastAsia"/>
                <w:color w:val="auto"/>
                <w:sz w:val="24"/>
                <w:szCs w:val="24"/>
                <w:highlight w:val="none"/>
                <w:lang w:eastAsia="zh-CN"/>
              </w:rPr>
              <w:t>（</w:t>
            </w:r>
            <w:r>
              <w:rPr>
                <w:rFonts w:hint="eastAsia"/>
                <w:color w:val="auto"/>
                <w:sz w:val="24"/>
                <w:szCs w:val="24"/>
                <w:highlight w:val="none"/>
              </w:rPr>
              <w:t>融政综〔2019〕189号</w:t>
            </w:r>
            <w:r>
              <w:rPr>
                <w:rFonts w:hint="eastAsia"/>
                <w:color w:val="auto"/>
                <w:sz w:val="24"/>
                <w:szCs w:val="24"/>
                <w:highlight w:val="none"/>
                <w:lang w:eastAsia="zh-CN"/>
              </w:rPr>
              <w:t>）</w:t>
            </w:r>
          </w:p>
        </w:tc>
      </w:tr>
      <w:tr w14:paraId="5B980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2" w:type="dxa"/>
            <w:vAlign w:val="center"/>
          </w:tcPr>
          <w:p w14:paraId="54A0AF91">
            <w:pPr>
              <w:adjustRightInd w:val="0"/>
              <w:snapToGrid w:val="0"/>
              <w:jc w:val="center"/>
              <w:rPr>
                <w:color w:val="auto"/>
                <w:szCs w:val="21"/>
                <w:highlight w:val="none"/>
              </w:rPr>
            </w:pPr>
            <w:r>
              <w:rPr>
                <w:color w:val="auto"/>
                <w:szCs w:val="21"/>
                <w:highlight w:val="none"/>
              </w:rPr>
              <w:t>规划环境影响</w:t>
            </w:r>
          </w:p>
          <w:p w14:paraId="6B2D41DC">
            <w:pPr>
              <w:adjustRightInd w:val="0"/>
              <w:snapToGrid w:val="0"/>
              <w:jc w:val="center"/>
              <w:rPr>
                <w:color w:val="auto"/>
                <w:kern w:val="0"/>
                <w:szCs w:val="21"/>
                <w:highlight w:val="none"/>
              </w:rPr>
            </w:pPr>
            <w:r>
              <w:rPr>
                <w:color w:val="auto"/>
                <w:szCs w:val="21"/>
                <w:highlight w:val="none"/>
              </w:rPr>
              <w:t>评价情况</w:t>
            </w:r>
          </w:p>
        </w:tc>
        <w:tc>
          <w:tcPr>
            <w:tcW w:w="7498" w:type="dxa"/>
            <w:gridSpan w:val="3"/>
            <w:vAlign w:val="center"/>
          </w:tcPr>
          <w:p w14:paraId="627486D0">
            <w:pPr>
              <w:pStyle w:val="46"/>
              <w:keepNext w:val="0"/>
              <w:keepLines w:val="0"/>
              <w:pageBreakBefore w:val="0"/>
              <w:widowControl w:val="0"/>
              <w:kinsoku/>
              <w:wordWrap/>
              <w:overflowPunct/>
              <w:topLinePunct w:val="0"/>
              <w:autoSpaceDE w:val="0"/>
              <w:autoSpaceDN w:val="0"/>
              <w:bidi w:val="0"/>
              <w:adjustRightInd/>
              <w:snapToGrid/>
              <w:spacing w:line="336" w:lineRule="auto"/>
              <w:ind w:left="0" w:leftChars="0" w:firstLine="0" w:firstLineChars="0"/>
              <w:textAlignment w:val="auto"/>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规划环境影响评价文件名称：《福清融侨经济技术开发区总体规划（2018-2035）环境影响报告书》</w:t>
            </w:r>
          </w:p>
          <w:p w14:paraId="4E8E77EE">
            <w:pPr>
              <w:pStyle w:val="46"/>
              <w:keepNext w:val="0"/>
              <w:keepLines w:val="0"/>
              <w:pageBreakBefore w:val="0"/>
              <w:widowControl w:val="0"/>
              <w:kinsoku/>
              <w:wordWrap/>
              <w:overflowPunct/>
              <w:topLinePunct w:val="0"/>
              <w:autoSpaceDE w:val="0"/>
              <w:autoSpaceDN w:val="0"/>
              <w:bidi w:val="0"/>
              <w:adjustRightInd/>
              <w:snapToGrid/>
              <w:spacing w:line="336" w:lineRule="auto"/>
              <w:ind w:left="0" w:leftChars="0" w:firstLine="0" w:firstLineChars="0"/>
              <w:textAlignment w:val="auto"/>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审查机关：中华人民共和国生态环境部</w:t>
            </w:r>
          </w:p>
          <w:p w14:paraId="64A0939C">
            <w:pPr>
              <w:pStyle w:val="46"/>
              <w:keepNext w:val="0"/>
              <w:keepLines w:val="0"/>
              <w:pageBreakBefore w:val="0"/>
              <w:widowControl w:val="0"/>
              <w:kinsoku/>
              <w:wordWrap/>
              <w:overflowPunct/>
              <w:topLinePunct w:val="0"/>
              <w:autoSpaceDE w:val="0"/>
              <w:autoSpaceDN w:val="0"/>
              <w:bidi w:val="0"/>
              <w:adjustRightInd/>
              <w:snapToGrid/>
              <w:spacing w:line="336" w:lineRule="auto"/>
              <w:ind w:left="0" w:leftChars="0" w:firstLine="0" w:firstLineChars="0"/>
              <w:textAlignment w:val="auto"/>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审查文件名称及文号：《福清融侨经济技术开发区总体规划（2018-2035）环境影响报告书》（环审〔2020〕80号）</w:t>
            </w:r>
          </w:p>
        </w:tc>
      </w:tr>
      <w:tr w14:paraId="0CE98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2" w:type="dxa"/>
            <w:vAlign w:val="center"/>
          </w:tcPr>
          <w:p w14:paraId="041373FB">
            <w:pPr>
              <w:autoSpaceDE w:val="0"/>
              <w:autoSpaceDN w:val="0"/>
              <w:adjustRightInd w:val="0"/>
              <w:snapToGrid w:val="0"/>
              <w:jc w:val="center"/>
              <w:rPr>
                <w:color w:val="auto"/>
                <w:szCs w:val="21"/>
                <w:highlight w:val="none"/>
              </w:rPr>
            </w:pPr>
            <w:r>
              <w:rPr>
                <w:color w:val="auto"/>
                <w:kern w:val="0"/>
                <w:szCs w:val="21"/>
                <w:highlight w:val="none"/>
              </w:rPr>
              <w:t>规划及规划环境影响评价符合性分析</w:t>
            </w:r>
          </w:p>
        </w:tc>
        <w:tc>
          <w:tcPr>
            <w:tcW w:w="7498" w:type="dxa"/>
            <w:gridSpan w:val="3"/>
            <w:vAlign w:val="center"/>
          </w:tcPr>
          <w:p w14:paraId="36DD4987">
            <w:pPr>
              <w:pStyle w:val="3"/>
              <w:numPr>
                <w:ilvl w:val="1"/>
                <w:numId w:val="0"/>
              </w:numPr>
              <w:bidi w:val="0"/>
              <w:ind w:leftChars="0"/>
              <w:rPr>
                <w:color w:val="auto"/>
              </w:rPr>
            </w:pPr>
            <w:r>
              <w:rPr>
                <w:rFonts w:hint="eastAsia"/>
                <w:color w:val="auto"/>
                <w:lang w:val="en-US" w:eastAsia="zh-CN"/>
              </w:rPr>
              <w:t>1.1</w:t>
            </w:r>
            <w:r>
              <w:rPr>
                <w:rFonts w:hint="eastAsia"/>
                <w:color w:val="auto"/>
              </w:rPr>
              <w:t>与《福清市镜洋镇镇区及北部片区控制性详细规划》符合性分析</w:t>
            </w:r>
          </w:p>
          <w:p w14:paraId="5485CE09">
            <w:pPr>
              <w:pStyle w:val="46"/>
              <w:keepNext w:val="0"/>
              <w:keepLines w:val="0"/>
              <w:pageBreakBefore w:val="0"/>
              <w:widowControl w:val="0"/>
              <w:kinsoku/>
              <w:wordWrap/>
              <w:overflowPunct/>
              <w:topLinePunct w:val="0"/>
              <w:bidi w:val="0"/>
              <w:adjustRightInd/>
              <w:snapToGrid/>
              <w:ind w:firstLine="480"/>
              <w:textAlignment w:val="auto"/>
              <w:rPr>
                <w:rFonts w:hint="eastAsia"/>
                <w:color w:val="auto"/>
                <w:sz w:val="24"/>
                <w:highlight w:val="none"/>
                <w:lang w:val="en-US" w:eastAsia="zh-CN"/>
              </w:rPr>
            </w:pPr>
            <w:r>
              <w:rPr>
                <w:rFonts w:hint="eastAsia"/>
                <w:color w:val="auto"/>
                <w:sz w:val="24"/>
                <w:highlight w:val="none"/>
                <w:lang w:val="en-US" w:eastAsia="zh-CN"/>
              </w:rPr>
              <w:t>（1）规划范围</w:t>
            </w:r>
          </w:p>
          <w:p w14:paraId="2A9428D1">
            <w:pPr>
              <w:pStyle w:val="46"/>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规划区位于镜洋镇东部，整体形态呈长条状，G104国道从镇区中部穿过。北至丹坑底水库南侧，东至沈海高速，南至县道X174，西至齐云山东侧，规划总面积462.04公顷。</w:t>
            </w:r>
          </w:p>
          <w:p w14:paraId="4B38720F">
            <w:pPr>
              <w:pStyle w:val="46"/>
              <w:keepNext w:val="0"/>
              <w:keepLines w:val="0"/>
              <w:pageBreakBefore w:val="0"/>
              <w:widowControl w:val="0"/>
              <w:kinsoku/>
              <w:wordWrap/>
              <w:overflowPunct/>
              <w:topLinePunct w:val="0"/>
              <w:bidi w:val="0"/>
              <w:adjustRightInd/>
              <w:snapToGrid/>
              <w:ind w:firstLine="480"/>
              <w:textAlignment w:val="auto"/>
              <w:rPr>
                <w:rFonts w:hint="eastAsia"/>
                <w:color w:val="auto"/>
                <w:sz w:val="24"/>
                <w:highlight w:val="none"/>
                <w:lang w:val="en-US" w:eastAsia="zh-CN"/>
              </w:rPr>
            </w:pPr>
            <w:r>
              <w:rPr>
                <w:rFonts w:hint="eastAsia"/>
                <w:color w:val="auto"/>
                <w:sz w:val="24"/>
                <w:highlight w:val="none"/>
                <w:lang w:val="en-US" w:eastAsia="zh-CN"/>
              </w:rPr>
              <w:t>（2）功能定位</w:t>
            </w:r>
          </w:p>
          <w:p w14:paraId="26383A30">
            <w:pPr>
              <w:pStyle w:val="46"/>
              <w:keepNext w:val="0"/>
              <w:keepLines w:val="0"/>
              <w:pageBreakBefore w:val="0"/>
              <w:widowControl w:val="0"/>
              <w:kinsoku/>
              <w:wordWrap/>
              <w:overflowPunct/>
              <w:topLinePunct w:val="0"/>
              <w:bidi w:val="0"/>
              <w:adjustRightInd/>
              <w:snapToGrid/>
              <w:ind w:firstLine="480"/>
              <w:textAlignment w:val="auto"/>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承接《福清市国土空间总体规划</w:t>
            </w:r>
            <w:r>
              <w:rPr>
                <w:rFonts w:hint="eastAsia"/>
                <w:color w:val="auto"/>
                <w:sz w:val="24"/>
                <w:highlight w:val="none"/>
                <w:lang w:val="en-US" w:eastAsia="zh-CN"/>
              </w:rPr>
              <w:t>（</w:t>
            </w:r>
            <w:r>
              <w:rPr>
                <w:rFonts w:hint="eastAsia" w:ascii="Times New Roman" w:hAnsi="Times New Roman" w:eastAsia="宋体"/>
                <w:color w:val="auto"/>
                <w:sz w:val="24"/>
                <w:highlight w:val="none"/>
                <w:lang w:val="en-US" w:eastAsia="zh-CN"/>
              </w:rPr>
              <w:t>2020-2035年</w:t>
            </w:r>
            <w:r>
              <w:rPr>
                <w:rFonts w:hint="eastAsia"/>
                <w:color w:val="auto"/>
                <w:sz w:val="24"/>
                <w:highlight w:val="none"/>
                <w:lang w:val="en-US" w:eastAsia="zh-CN"/>
              </w:rPr>
              <w:t>）</w:t>
            </w:r>
            <w:r>
              <w:rPr>
                <w:rFonts w:hint="eastAsia" w:ascii="Times New Roman" w:hAnsi="Times New Roman" w:eastAsia="宋体"/>
                <w:color w:val="auto"/>
                <w:sz w:val="24"/>
                <w:highlight w:val="none"/>
                <w:lang w:val="en-US" w:eastAsia="zh-CN"/>
              </w:rPr>
              <w:t>》，结合《福清市国民经济和社会发展第十四个五年规划和</w:t>
            </w:r>
            <w:r>
              <w:rPr>
                <w:rFonts w:hint="eastAsia"/>
                <w:color w:val="auto"/>
                <w:sz w:val="24"/>
                <w:highlight w:val="none"/>
                <w:lang w:val="en-US" w:eastAsia="zh-CN"/>
              </w:rPr>
              <w:t>二〇三五年远景目标</w:t>
            </w:r>
            <w:r>
              <w:rPr>
                <w:rFonts w:hint="eastAsia" w:ascii="Times New Roman" w:hAnsi="Times New Roman" w:eastAsia="宋体"/>
                <w:color w:val="auto"/>
                <w:sz w:val="24"/>
                <w:highlight w:val="none"/>
                <w:lang w:val="en-US" w:eastAsia="zh-CN"/>
              </w:rPr>
              <w:t>的建议》，全面落实高质量发展超越，将规划区打造为</w:t>
            </w:r>
            <w:r>
              <w:rPr>
                <w:rFonts w:hint="eastAsia"/>
                <w:color w:val="auto"/>
                <w:sz w:val="24"/>
                <w:highlight w:val="none"/>
                <w:lang w:val="en-US" w:eastAsia="zh-CN"/>
              </w:rPr>
              <w:t>：</w:t>
            </w:r>
            <w:r>
              <w:rPr>
                <w:rFonts w:hint="eastAsia" w:ascii="Times New Roman" w:hAnsi="Times New Roman" w:eastAsia="宋体"/>
                <w:color w:val="auto"/>
                <w:sz w:val="24"/>
                <w:highlight w:val="none"/>
                <w:lang w:val="en-US" w:eastAsia="zh-CN"/>
              </w:rPr>
              <w:t>福清市北门户、镜洋镇行政与公共服务中心、融侨经济技术开发区产业腹地</w:t>
            </w:r>
            <w:r>
              <w:rPr>
                <w:rFonts w:hint="eastAsia"/>
                <w:color w:val="auto"/>
                <w:sz w:val="24"/>
                <w:highlight w:val="none"/>
                <w:lang w:val="en-US" w:eastAsia="zh-CN"/>
              </w:rPr>
              <w:t>。</w:t>
            </w:r>
          </w:p>
          <w:p w14:paraId="7BF153A7">
            <w:pPr>
              <w:pStyle w:val="46"/>
              <w:ind w:firstLine="480"/>
              <w:rPr>
                <w:rFonts w:hint="eastAsia"/>
                <w:color w:val="auto"/>
                <w:sz w:val="24"/>
                <w:highlight w:val="none"/>
                <w:lang w:val="en-US" w:eastAsia="zh-CN"/>
              </w:rPr>
            </w:pPr>
            <w:r>
              <w:rPr>
                <w:rFonts w:hint="eastAsia"/>
                <w:color w:val="auto"/>
                <w:sz w:val="24"/>
                <w:highlight w:val="none"/>
                <w:lang w:val="en-US" w:eastAsia="zh-CN"/>
              </w:rPr>
              <w:t>（3）用地布局</w:t>
            </w:r>
          </w:p>
          <w:p w14:paraId="48BC8C6F">
            <w:pPr>
              <w:pStyle w:val="46"/>
              <w:keepNext w:val="0"/>
              <w:keepLines w:val="0"/>
              <w:pageBreakBefore w:val="0"/>
              <w:widowControl w:val="0"/>
              <w:kinsoku/>
              <w:wordWrap/>
              <w:overflowPunct/>
              <w:topLinePunct w:val="0"/>
              <w:bidi w:val="0"/>
              <w:adjustRightInd/>
              <w:snapToGrid/>
              <w:ind w:firstLine="480"/>
              <w:textAlignment w:val="auto"/>
              <w:rPr>
                <w:rFonts w:hint="default"/>
                <w:color w:val="auto"/>
                <w:sz w:val="24"/>
                <w:highlight w:val="none"/>
                <w:lang w:val="en-US" w:eastAsia="zh-CN"/>
              </w:rPr>
            </w:pPr>
            <w:r>
              <w:rPr>
                <w:rFonts w:hint="default"/>
                <w:color w:val="auto"/>
                <w:sz w:val="24"/>
                <w:highlight w:val="none"/>
                <w:lang w:val="en-US" w:eastAsia="zh-CN"/>
              </w:rPr>
              <w:t>①北部工业区、中部工业区、南部工业区借势融侨经济开发区龙头企业的强劲动力，重点发展与电子信息、汽车部件、光学仪器及智能制造等相关配套的上下游产业，推动镜洋工业集中区产业结构优化升级，培育福清市区域发展新的经济增长极。</w:t>
            </w:r>
          </w:p>
          <w:p w14:paraId="403C1C81">
            <w:pPr>
              <w:pStyle w:val="46"/>
              <w:keepNext w:val="0"/>
              <w:keepLines w:val="0"/>
              <w:pageBreakBefore w:val="0"/>
              <w:widowControl w:val="0"/>
              <w:kinsoku/>
              <w:wordWrap/>
              <w:overflowPunct/>
              <w:topLinePunct w:val="0"/>
              <w:bidi w:val="0"/>
              <w:adjustRightInd/>
              <w:snapToGrid/>
              <w:ind w:firstLine="480"/>
              <w:textAlignment w:val="auto"/>
              <w:rPr>
                <w:rFonts w:hint="default"/>
                <w:color w:val="auto"/>
                <w:sz w:val="24"/>
                <w:highlight w:val="none"/>
                <w:lang w:val="en-US" w:eastAsia="zh-CN"/>
              </w:rPr>
            </w:pPr>
            <w:r>
              <w:rPr>
                <w:rFonts w:hint="default"/>
                <w:color w:val="auto"/>
                <w:sz w:val="24"/>
                <w:highlight w:val="none"/>
                <w:lang w:val="en-US" w:eastAsia="zh-CN"/>
              </w:rPr>
              <w:t>②宜居生活区</w:t>
            </w:r>
          </w:p>
          <w:p w14:paraId="434E667F">
            <w:pPr>
              <w:pStyle w:val="46"/>
              <w:keepNext w:val="0"/>
              <w:keepLines w:val="0"/>
              <w:pageBreakBefore w:val="0"/>
              <w:widowControl w:val="0"/>
              <w:kinsoku/>
              <w:wordWrap/>
              <w:overflowPunct/>
              <w:topLinePunct w:val="0"/>
              <w:bidi w:val="0"/>
              <w:adjustRightInd/>
              <w:snapToGrid/>
              <w:ind w:firstLine="480"/>
              <w:textAlignment w:val="auto"/>
              <w:rPr>
                <w:rFonts w:hint="default"/>
                <w:color w:val="auto"/>
                <w:sz w:val="24"/>
                <w:highlight w:val="none"/>
                <w:lang w:val="en-US" w:eastAsia="zh-CN"/>
              </w:rPr>
            </w:pPr>
            <w:r>
              <w:rPr>
                <w:rFonts w:hint="default"/>
                <w:color w:val="auto"/>
                <w:sz w:val="24"/>
                <w:highlight w:val="none"/>
                <w:lang w:val="en-US" w:eastAsia="zh-CN"/>
              </w:rPr>
              <w:t>通过梳理完善路网系统、整治城镇面貌、推进民生设施补短提质，改善人居生态环境，提升镇区生活品质，构建为功能完善、配套齐全、环境优美的生活区。</w:t>
            </w:r>
          </w:p>
          <w:p w14:paraId="2B38AAE3">
            <w:pPr>
              <w:pStyle w:val="46"/>
              <w:keepNext w:val="0"/>
              <w:keepLines w:val="0"/>
              <w:pageBreakBefore w:val="0"/>
              <w:widowControl w:val="0"/>
              <w:kinsoku/>
              <w:wordWrap/>
              <w:overflowPunct/>
              <w:topLinePunct w:val="0"/>
              <w:bidi w:val="0"/>
              <w:adjustRightInd/>
              <w:snapToGrid/>
              <w:ind w:firstLine="480"/>
              <w:textAlignment w:val="auto"/>
              <w:rPr>
                <w:rFonts w:hint="default" w:ascii="Times New Roman" w:hAnsi="Times New Roman" w:eastAsia="宋体" w:cs="宋体"/>
                <w:color w:val="auto"/>
                <w:sz w:val="24"/>
                <w:highlight w:val="none"/>
                <w:lang w:val="en-US" w:eastAsia="zh-CN"/>
              </w:rPr>
            </w:pPr>
            <w:r>
              <w:rPr>
                <w:rFonts w:hint="default" w:ascii="Times New Roman" w:hAnsi="Times New Roman" w:eastAsia="宋体" w:cs="宋体"/>
                <w:color w:val="auto"/>
                <w:sz w:val="24"/>
                <w:highlight w:val="none"/>
                <w:lang w:val="en-US" w:eastAsia="zh-CN"/>
              </w:rPr>
              <w:t>本项目位于</w:t>
            </w:r>
            <w:r>
              <w:rPr>
                <w:rFonts w:hint="eastAsia" w:cs="宋体"/>
                <w:color w:val="auto"/>
                <w:sz w:val="24"/>
                <w:highlight w:val="none"/>
                <w:lang w:val="en-US" w:eastAsia="zh-CN"/>
              </w:rPr>
              <w:t>福建省福州市福清融侨经济技术开发区镜洋镇（租赁福州鼎力机械有限公司铸造车间1号）</w:t>
            </w:r>
            <w:r>
              <w:rPr>
                <w:rFonts w:hint="default" w:ascii="Times New Roman" w:hAnsi="Times New Roman" w:eastAsia="宋体" w:cs="宋体"/>
                <w:color w:val="auto"/>
                <w:sz w:val="24"/>
                <w:highlight w:val="none"/>
                <w:lang w:val="en-US" w:eastAsia="zh-CN"/>
              </w:rPr>
              <w:t>，属于</w:t>
            </w:r>
            <w:r>
              <w:rPr>
                <w:rFonts w:hint="eastAsia" w:ascii="Times New Roman" w:hAnsi="Times New Roman" w:eastAsia="宋体" w:cs="宋体"/>
                <w:color w:val="auto"/>
                <w:sz w:val="24"/>
                <w:highlight w:val="none"/>
                <w:lang w:val="en-US" w:eastAsia="zh-CN"/>
              </w:rPr>
              <w:t>北</w:t>
            </w:r>
            <w:r>
              <w:rPr>
                <w:rFonts w:hint="default" w:ascii="Times New Roman" w:hAnsi="Times New Roman" w:eastAsia="宋体" w:cs="宋体"/>
                <w:color w:val="auto"/>
                <w:sz w:val="24"/>
                <w:highlight w:val="none"/>
                <w:lang w:val="en-US" w:eastAsia="zh-CN"/>
              </w:rPr>
              <w:t>部工业区</w:t>
            </w:r>
            <w:r>
              <w:rPr>
                <w:rFonts w:hint="eastAsia" w:ascii="Times New Roman" w:hAnsi="Times New Roman" w:eastAsia="宋体" w:cs="宋体"/>
                <w:color w:val="auto"/>
                <w:sz w:val="24"/>
                <w:highlight w:val="none"/>
                <w:lang w:val="en-US" w:eastAsia="zh-CN"/>
              </w:rPr>
              <w:t>（项目在规划中的位置详见附图9）</w:t>
            </w:r>
            <w:r>
              <w:rPr>
                <w:rFonts w:hint="default" w:ascii="Times New Roman" w:hAnsi="Times New Roman" w:eastAsia="宋体" w:cs="宋体"/>
                <w:color w:val="auto"/>
                <w:sz w:val="24"/>
                <w:highlight w:val="none"/>
                <w:lang w:val="en-US" w:eastAsia="zh-CN"/>
              </w:rPr>
              <w:t>，行业属于C3670汽车零部件及配件制造，用地选址为“控制性详细规划”中的工业用地，符合《福清市镜洋镇镇区及北部片区控制性详细规划》的用地布局要求。</w:t>
            </w:r>
          </w:p>
          <w:p w14:paraId="71E3EA68">
            <w:pPr>
              <w:pStyle w:val="3"/>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与《福清融侨经济技术开发区总体规划（2018—2035年）》符合性分析</w:t>
            </w:r>
          </w:p>
          <w:p w14:paraId="59F711F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bookmarkStart w:id="12" w:name="_Ref28380"/>
            <w:r>
              <w:rPr>
                <w:rFonts w:hint="eastAsia" w:ascii="Times New Roman" w:hAnsi="Times New Roman" w:eastAsia="宋体" w:cs="宋体"/>
                <w:color w:val="auto"/>
                <w:kern w:val="0"/>
                <w:sz w:val="24"/>
                <w:szCs w:val="20"/>
                <w:highlight w:val="none"/>
                <w:lang w:val="en-US" w:eastAsia="zh-CN" w:bidi="ar-SA"/>
              </w:rPr>
              <w:t>总体规划有关内容：“</w:t>
            </w:r>
            <w:r>
              <w:rPr>
                <w:rFonts w:hint="eastAsia" w:ascii="Times New Roman" w:hAnsi="Times New Roman" w:eastAsia="宋体" w:cs="微软雅黑"/>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着力营造融侨经济技术开发区“现代生态开发区”的空间特色，规划整体形成“一区三园多组团”的空间结构。“一区”</w:t>
            </w:r>
            <w:r>
              <w:rPr>
                <w:rFonts w:hint="eastAsia" w:cs="宋体"/>
                <w:color w:val="auto"/>
                <w:kern w:val="0"/>
                <w:sz w:val="24"/>
                <w:szCs w:val="20"/>
                <w:highlight w:val="none"/>
                <w:lang w:val="en-US" w:eastAsia="zh-CN" w:bidi="ar-SA"/>
              </w:rPr>
              <w:t>即</w:t>
            </w:r>
            <w:r>
              <w:rPr>
                <w:rFonts w:hint="eastAsia" w:ascii="Times New Roman" w:hAnsi="Times New Roman" w:eastAsia="宋体" w:cs="宋体"/>
                <w:color w:val="auto"/>
                <w:kern w:val="0"/>
                <w:sz w:val="24"/>
                <w:szCs w:val="20"/>
                <w:highlight w:val="none"/>
                <w:lang w:val="en-US" w:eastAsia="zh-CN" w:bidi="ar-SA"/>
              </w:rPr>
              <w:t>融侨经济技术开发区。利用国家级开发区品牌，充分释放“五区叠加、一区毗邻”政策优势，以空间转型引领开发区的新一轮跨越发展。“三园”</w:t>
            </w:r>
            <w:r>
              <w:rPr>
                <w:rFonts w:hint="eastAsia" w:cs="宋体"/>
                <w:color w:val="auto"/>
                <w:kern w:val="0"/>
                <w:sz w:val="24"/>
                <w:szCs w:val="20"/>
                <w:highlight w:val="none"/>
                <w:lang w:val="en-US" w:eastAsia="zh-CN" w:bidi="ar-SA"/>
              </w:rPr>
              <w:t>即</w:t>
            </w:r>
            <w:r>
              <w:rPr>
                <w:rFonts w:hint="eastAsia" w:ascii="Times New Roman" w:hAnsi="Times New Roman" w:eastAsia="宋体" w:cs="宋体"/>
                <w:color w:val="auto"/>
                <w:kern w:val="0"/>
                <w:sz w:val="24"/>
                <w:szCs w:val="20"/>
                <w:highlight w:val="none"/>
                <w:lang w:val="en-US" w:eastAsia="zh-CN" w:bidi="ar-SA"/>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双创“平台、现代服务业建设核心区，形成福清市极具影响力、辐射力和竞争力的大福清“副中心”。城北产业园：依托京东方等电子信息龙头企业优势，以电子信息、光学、机械电气为主导，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BB06DA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本规划分为核心区和协调区2个层次。其中：</w:t>
            </w:r>
          </w:p>
          <w:p w14:paraId="66C975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（1）核心区</w:t>
            </w:r>
            <w:r>
              <w:rPr>
                <w:rFonts w:hint="eastAsia" w:cs="宋体"/>
                <w:color w:val="auto"/>
                <w:kern w:val="0"/>
                <w:sz w:val="24"/>
                <w:szCs w:val="20"/>
                <w:highlight w:val="none"/>
                <w:lang w:val="en-US" w:eastAsia="zh-CN" w:bidi="ar-SA"/>
              </w:rPr>
              <w:t>即</w:t>
            </w:r>
            <w:r>
              <w:rPr>
                <w:rFonts w:hint="eastAsia" w:ascii="Times New Roman" w:hAnsi="Times New Roman" w:eastAsia="宋体" w:cs="宋体"/>
                <w:color w:val="auto"/>
                <w:kern w:val="0"/>
                <w:sz w:val="24"/>
                <w:szCs w:val="20"/>
                <w:highlight w:val="none"/>
                <w:lang w:val="en-US" w:eastAsia="zh-CN" w:bidi="ar-SA"/>
              </w:rPr>
              <w:t>国家批复的融侨经济技术开发区范围。土地面积9.19平方公里，其中宏路中心区6.4平方公里，洪宽工业村2.79平方公里。</w:t>
            </w:r>
          </w:p>
          <w:p w14:paraId="6781DF0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2）协调区：考虑到开发区与福清城区一体化发展，结合开发区委托代管范围，以规划《福清市城市总体规划（2017-2035）》为依据，进一步将规划范围向外围扩展。协调区西至福厦高速，东依福长高速，北邻作坊村，南靠纵一路环线，土地面积53.2平方公里。本规划深度按协调区进行控制。</w:t>
            </w:r>
          </w:p>
          <w:p w14:paraId="29D5940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根据《福清融侨经济技术开发区总体规划（2018—2035年）》的“产业发展-第二十二条构建“3+1”的产业体系：</w:t>
            </w:r>
          </w:p>
          <w:p w14:paraId="7449BA5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1.三大支柱产业</w:t>
            </w:r>
          </w:p>
          <w:p w14:paraId="30EDDAB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电子信息产业：显示科技、云计算、电子元器件、光电科技、计算机与智能终端设备等。</w:t>
            </w:r>
          </w:p>
          <w:p w14:paraId="3D90E95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精密汽车部件产业：汽车电气电子装置、动力传动装置、汽车轴承、新能源动力电池等。</w:t>
            </w:r>
          </w:p>
          <w:p w14:paraId="15892CE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光学产业：光学部件、光通讯技术、电子光学、虚拟现实装置等。</w:t>
            </w:r>
          </w:p>
          <w:p w14:paraId="018C285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在三大支柱产业基础之上，完善与其相关的配套产业。</w:t>
            </w:r>
          </w:p>
          <w:p w14:paraId="04EC732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2.一项新兴产业</w:t>
            </w:r>
          </w:p>
          <w:p w14:paraId="00EB0B0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现代服务业：金融商务、总部经济、科技研发、文化创意、物流展销都市型产业与服务型制造业。”</w:t>
            </w:r>
          </w:p>
          <w:p w14:paraId="3B1FE10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符合性分析：本项目位于福清市镜洋镇，《关于规范融侨开发区工业企业准入产业的函》：“融侨开发区含音西 街道、宏路街道、石竹街道、阳下街道、镜洋镇......”，因此，镜洋镇已纳入福清融侨经济开发区管理（托管），应遵循福清融侨经济开发区的产业准入要求，即“工业企业准入产业为电子信息、精密汽车部件、光学三大产业”。</w:t>
            </w:r>
          </w:p>
          <w:p w14:paraId="1342AA6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Times New Roman" w:hAnsi="Times New Roman" w:eastAsia="宋体" w:cs="宋体"/>
                <w:color w:val="auto"/>
                <w:kern w:val="2"/>
                <w:sz w:val="24"/>
                <w:szCs w:val="24"/>
                <w:highlight w:val="none"/>
                <w:lang w:val="en-US" w:eastAsia="zh-CN" w:bidi="ar-SA"/>
              </w:rPr>
              <w:t>本项目产品为汽车座椅骨架，经查询《2017年国民经济行业分类注释》，本项目产品属于C3670汽车零部件及配件制造，符合《福清融侨经济技术开发区总体规划（2018—2035年）》产业准入要求。</w:t>
            </w:r>
          </w:p>
          <w:bookmarkEnd w:id="12"/>
          <w:p w14:paraId="6C69CF55">
            <w:pPr>
              <w:keepNext/>
              <w:keepLines/>
              <w:widowControl w:val="0"/>
              <w:numPr>
                <w:ilvl w:val="1"/>
                <w:numId w:val="1"/>
              </w:numPr>
              <w:bidi w:val="0"/>
              <w:spacing w:before="120" w:after="120" w:line="360" w:lineRule="auto"/>
              <w:ind w:left="0"/>
              <w:jc w:val="both"/>
              <w:outlineLvl w:val="1"/>
              <w:rPr>
                <w:rFonts w:hint="eastAsia" w:ascii="Times New Roman" w:hAnsi="Times New Roman" w:eastAsia="宋体" w:cs="Times New Roman"/>
                <w:b/>
                <w:bCs/>
                <w:color w:val="auto"/>
                <w:kern w:val="2"/>
                <w:sz w:val="28"/>
                <w:szCs w:val="32"/>
                <w:lang w:val="en-US" w:eastAsia="zh-CN" w:bidi="ar-SA"/>
              </w:rPr>
            </w:pPr>
            <w:r>
              <w:rPr>
                <w:rFonts w:hint="eastAsia" w:ascii="Times New Roman" w:hAnsi="Times New Roman" w:eastAsia="宋体" w:cs="Times New Roman"/>
                <w:b/>
                <w:bCs/>
                <w:color w:val="auto"/>
                <w:kern w:val="2"/>
                <w:sz w:val="28"/>
                <w:szCs w:val="32"/>
                <w:lang w:val="en-US" w:eastAsia="zh-CN" w:bidi="ar-SA"/>
              </w:rPr>
              <w:t>与《福清融侨经济技术开发区总体规划（2018—2035年）环境影响报告书》及审查意见的符合性分析</w:t>
            </w:r>
          </w:p>
          <w:p w14:paraId="08A23E6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Times New Roman" w:hAnsi="Times New Roman" w:eastAsia="宋体" w:cs="宋体"/>
                <w:color w:val="auto"/>
                <w:kern w:val="2"/>
                <w:sz w:val="24"/>
                <w:szCs w:val="24"/>
                <w:lang w:val="en-US" w:eastAsia="en-US" w:bidi="ar-SA"/>
              </w:rPr>
            </w:pPr>
            <w:r>
              <w:rPr>
                <w:rFonts w:hint="eastAsia" w:ascii="Times New Roman" w:hAnsi="Times New Roman" w:eastAsia="宋体" w:cs="宋体"/>
                <w:color w:val="auto"/>
                <w:kern w:val="2"/>
                <w:sz w:val="24"/>
                <w:szCs w:val="24"/>
                <w:highlight w:val="none"/>
                <w:lang w:val="en-US" w:eastAsia="zh-CN" w:bidi="ar-SA"/>
              </w:rPr>
              <w:t>与《福清融侨经济技术开发区总体规划（2018—2035年）环境影响报告书》及审查意见的符合性分析</w:t>
            </w:r>
            <w:r>
              <w:rPr>
                <w:rFonts w:ascii="Times New Roman" w:hAnsi="Times New Roman" w:eastAsia="宋体" w:cs="宋体"/>
                <w:color w:val="auto"/>
                <w:kern w:val="2"/>
                <w:sz w:val="24"/>
                <w:szCs w:val="24"/>
                <w:lang w:val="en-US" w:eastAsia="en-US" w:bidi="ar-SA"/>
              </w:rPr>
              <w:t>目准入符合性分析后汇总如下，详见表1.2</w:t>
            </w:r>
            <w:r>
              <w:rPr>
                <w:rFonts w:hint="eastAsia" w:ascii="Times New Roman" w:hAnsi="Times New Roman" w:eastAsia="宋体" w:cs="宋体"/>
                <w:color w:val="auto"/>
                <w:kern w:val="2"/>
                <w:sz w:val="24"/>
                <w:szCs w:val="24"/>
                <w:lang w:val="en-US" w:eastAsia="zh-CN" w:bidi="ar-SA"/>
              </w:rPr>
              <w:t>-1</w:t>
            </w:r>
            <w:r>
              <w:rPr>
                <w:rFonts w:ascii="Times New Roman" w:hAnsi="Times New Roman" w:eastAsia="宋体" w:cs="宋体"/>
                <w:color w:val="auto"/>
                <w:kern w:val="2"/>
                <w:sz w:val="24"/>
                <w:szCs w:val="24"/>
                <w:lang w:val="en-US" w:eastAsia="en-US" w:bidi="ar-SA"/>
              </w:rPr>
              <w:t>。本项目与规划环评</w:t>
            </w:r>
            <w:r>
              <w:rPr>
                <w:rFonts w:ascii="Times New Roman" w:hAnsi="Times New Roman" w:eastAsia="宋体" w:cs="宋体"/>
                <w:color w:val="auto"/>
                <w:spacing w:val="1"/>
                <w:kern w:val="2"/>
                <w:sz w:val="24"/>
                <w:szCs w:val="24"/>
                <w:lang w:val="en-US" w:eastAsia="en-US" w:bidi="ar-SA"/>
              </w:rPr>
              <w:t>审查意见的相符性分析详见表1.</w:t>
            </w:r>
            <w:r>
              <w:rPr>
                <w:rFonts w:hint="eastAsia" w:ascii="Times New Roman" w:hAnsi="Times New Roman" w:eastAsia="宋体" w:cs="宋体"/>
                <w:color w:val="auto"/>
                <w:spacing w:val="1"/>
                <w:kern w:val="2"/>
                <w:sz w:val="24"/>
                <w:szCs w:val="24"/>
                <w:lang w:val="en-US" w:eastAsia="zh-CN" w:bidi="ar-SA"/>
              </w:rPr>
              <w:t>2-2</w:t>
            </w:r>
            <w:r>
              <w:rPr>
                <w:rFonts w:ascii="Times New Roman" w:hAnsi="Times New Roman" w:eastAsia="宋体" w:cs="宋体"/>
                <w:color w:val="auto"/>
                <w:spacing w:val="1"/>
                <w:kern w:val="2"/>
                <w:sz w:val="24"/>
                <w:szCs w:val="24"/>
                <w:lang w:val="en-US" w:eastAsia="en-US" w:bidi="ar-SA"/>
              </w:rPr>
              <w:t>。</w:t>
            </w:r>
          </w:p>
          <w:p w14:paraId="44748278">
            <w:pPr>
              <w:keepNext/>
              <w:keepLines/>
              <w:pageBreakBefore w:val="0"/>
              <w:widowControl w:val="0"/>
              <w:numPr>
                <w:ilvl w:val="7"/>
                <w:numId w:val="1"/>
              </w:numPr>
              <w:kinsoku/>
              <w:wordWrap/>
              <w:overflowPunct/>
              <w:topLinePunct w:val="0"/>
              <w:autoSpaceDE/>
              <w:autoSpaceDN/>
              <w:bidi w:val="0"/>
              <w:adjustRightInd/>
              <w:snapToGrid/>
              <w:spacing w:before="157" w:beforeLines="50" w:after="0" w:line="240" w:lineRule="auto"/>
              <w:ind w:left="420" w:leftChars="0" w:firstLine="0" w:firstLineChars="0"/>
              <w:jc w:val="center"/>
              <w:textAlignment w:val="auto"/>
              <w:rPr>
                <w:rFonts w:hint="eastAsia"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Times New Roman"/>
                <w:b/>
                <w:bCs/>
                <w:color w:val="auto"/>
                <w:kern w:val="2"/>
                <w:sz w:val="24"/>
                <w:szCs w:val="21"/>
                <w:highlight w:val="none"/>
                <w:lang w:val="en-US" w:eastAsia="zh-CN" w:bidi="ar-SA"/>
              </w:rPr>
              <w:t>规划区主导产业环境准入符合性分析对照表</w:t>
            </w:r>
          </w:p>
          <w:tbl>
            <w:tblPr>
              <w:tblStyle w:val="35"/>
              <w:tblW w:w="7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1820"/>
              <w:gridCol w:w="2520"/>
              <w:gridCol w:w="1119"/>
            </w:tblGrid>
            <w:tr w14:paraId="53D0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14:paraId="6FD05B5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s="宋体"/>
                      <w:color w:val="auto"/>
                      <w:spacing w:val="9"/>
                      <w:kern w:val="2"/>
                      <w:sz w:val="21"/>
                      <w:szCs w:val="24"/>
                      <w:lang w:val="en-US" w:eastAsia="en-US" w:bidi="ar-SA"/>
                    </w:rPr>
                    <w:t>类别</w:t>
                  </w:r>
                </w:p>
                <w:p w14:paraId="5924C45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5"/>
                      <w:kern w:val="2"/>
                      <w:sz w:val="21"/>
                      <w:szCs w:val="24"/>
                      <w:lang w:val="en-US" w:eastAsia="en-US" w:bidi="ar-SA"/>
                    </w:rPr>
                    <w:t>名称</w:t>
                  </w:r>
                </w:p>
              </w:tc>
              <w:tc>
                <w:tcPr>
                  <w:tcW w:w="1820" w:type="dxa"/>
                  <w:shd w:val="clear" w:color="auto" w:fill="auto"/>
                  <w:vAlign w:val="center"/>
                </w:tcPr>
                <w:p w14:paraId="0300150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1"/>
                      <w:kern w:val="2"/>
                      <w:sz w:val="21"/>
                      <w:szCs w:val="24"/>
                      <w:lang w:val="en-US" w:eastAsia="en-US" w:bidi="ar-SA"/>
                    </w:rPr>
                    <w:t>规划环评的约束要求</w:t>
                  </w:r>
                </w:p>
              </w:tc>
              <w:tc>
                <w:tcPr>
                  <w:tcW w:w="2520" w:type="dxa"/>
                  <w:shd w:val="clear" w:color="auto" w:fill="auto"/>
                  <w:vAlign w:val="center"/>
                </w:tcPr>
                <w:p w14:paraId="6F39361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2"/>
                      <w:kern w:val="2"/>
                      <w:sz w:val="21"/>
                      <w:szCs w:val="24"/>
                      <w:lang w:val="en-US" w:eastAsia="en-US" w:bidi="ar-SA"/>
                    </w:rPr>
                    <w:t>本项目情况</w:t>
                  </w:r>
                </w:p>
              </w:tc>
              <w:tc>
                <w:tcPr>
                  <w:tcW w:w="1119" w:type="dxa"/>
                  <w:shd w:val="clear" w:color="auto" w:fill="auto"/>
                  <w:vAlign w:val="center"/>
                </w:tcPr>
                <w:p w14:paraId="1AC306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4"/>
                      <w:kern w:val="2"/>
                      <w:sz w:val="21"/>
                      <w:szCs w:val="24"/>
                      <w:lang w:val="en-US" w:eastAsia="en-US" w:bidi="ar-SA"/>
                    </w:rPr>
                    <w:t>符合</w:t>
                  </w:r>
                  <w:r>
                    <w:rPr>
                      <w:rFonts w:ascii="Times New Roman" w:hAnsi="Times New Roman" w:eastAsia="宋体" w:cs="宋体"/>
                      <w:color w:val="auto"/>
                      <w:kern w:val="2"/>
                      <w:sz w:val="21"/>
                      <w:szCs w:val="24"/>
                      <w:lang w:val="en-US" w:eastAsia="en-US" w:bidi="ar-SA"/>
                    </w:rPr>
                    <w:t>性</w:t>
                  </w:r>
                </w:p>
              </w:tc>
            </w:tr>
            <w:tr w14:paraId="36F0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14:paraId="5B1F25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s="宋体"/>
                      <w:color w:val="auto"/>
                      <w:spacing w:val="8"/>
                      <w:kern w:val="2"/>
                      <w:sz w:val="21"/>
                      <w:szCs w:val="24"/>
                      <w:lang w:val="en-US" w:eastAsia="en-US" w:bidi="ar-SA"/>
                    </w:rPr>
                    <w:t>规划</w:t>
                  </w:r>
                </w:p>
                <w:p w14:paraId="52F3A17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6"/>
                      <w:kern w:val="2"/>
                      <w:sz w:val="21"/>
                      <w:szCs w:val="24"/>
                      <w:lang w:val="en-US" w:eastAsia="en-US" w:bidi="ar-SA"/>
                    </w:rPr>
                    <w:t>区主</w:t>
                  </w:r>
                  <w:r>
                    <w:rPr>
                      <w:rFonts w:ascii="Times New Roman" w:hAnsi="Times New Roman" w:eastAsia="宋体" w:cs="宋体"/>
                      <w:color w:val="auto"/>
                      <w:spacing w:val="7"/>
                      <w:kern w:val="2"/>
                      <w:sz w:val="21"/>
                      <w:szCs w:val="24"/>
                      <w:lang w:val="en-US" w:eastAsia="en-US" w:bidi="ar-SA"/>
                    </w:rPr>
                    <w:t>导产</w:t>
                  </w:r>
                  <w:r>
                    <w:rPr>
                      <w:rFonts w:ascii="Times New Roman" w:hAnsi="Times New Roman" w:eastAsia="宋体" w:cs="宋体"/>
                      <w:color w:val="auto"/>
                      <w:spacing w:val="-5"/>
                      <w:kern w:val="2"/>
                      <w:sz w:val="21"/>
                      <w:szCs w:val="24"/>
                      <w:lang w:val="en-US" w:eastAsia="en-US" w:bidi="ar-SA"/>
                    </w:rPr>
                    <w:t>业环</w:t>
                  </w:r>
                  <w:r>
                    <w:rPr>
                      <w:rFonts w:ascii="Times New Roman" w:hAnsi="Times New Roman" w:eastAsia="宋体" w:cs="宋体"/>
                      <w:color w:val="auto"/>
                      <w:spacing w:val="5"/>
                      <w:kern w:val="2"/>
                      <w:sz w:val="21"/>
                      <w:szCs w:val="24"/>
                      <w:lang w:val="en-US" w:eastAsia="en-US" w:bidi="ar-SA"/>
                    </w:rPr>
                    <w:t>境准</w:t>
                  </w:r>
                  <w:r>
                    <w:rPr>
                      <w:rFonts w:ascii="Times New Roman" w:hAnsi="Times New Roman" w:eastAsia="宋体" w:cs="宋体"/>
                      <w:color w:val="auto"/>
                      <w:spacing w:val="-5"/>
                      <w:kern w:val="2"/>
                      <w:sz w:val="21"/>
                      <w:szCs w:val="24"/>
                      <w:lang w:val="en-US" w:eastAsia="en-US" w:bidi="ar-SA"/>
                    </w:rPr>
                    <w:t>入行</w:t>
                  </w:r>
                  <w:r>
                    <w:rPr>
                      <w:rFonts w:hint="eastAsia" w:ascii="Times New Roman" w:hAnsi="Times New Roman" w:eastAsia="宋体" w:cs="宋体"/>
                      <w:color w:val="auto"/>
                      <w:spacing w:val="-5"/>
                      <w:kern w:val="2"/>
                      <w:sz w:val="21"/>
                      <w:szCs w:val="24"/>
                      <w:lang w:val="en-US" w:eastAsia="zh-CN" w:bidi="ar-SA"/>
                    </w:rPr>
                    <w:t>业</w:t>
                  </w:r>
                </w:p>
              </w:tc>
              <w:tc>
                <w:tcPr>
                  <w:tcW w:w="1820" w:type="dxa"/>
                  <w:shd w:val="clear" w:color="auto" w:fill="auto"/>
                  <w:vAlign w:val="center"/>
                </w:tcPr>
                <w:p w14:paraId="1F1396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3"/>
                      <w:kern w:val="2"/>
                      <w:sz w:val="21"/>
                      <w:szCs w:val="24"/>
                      <w:lang w:val="en-US" w:eastAsia="en-US" w:bidi="ar-SA"/>
                    </w:rPr>
                    <w:t>准入C29、C304、C33、</w:t>
                  </w:r>
                  <w:r>
                    <w:rPr>
                      <w:rFonts w:ascii="Times New Roman" w:hAnsi="Times New Roman" w:eastAsia="宋体" w:cs="宋体"/>
                      <w:color w:val="auto"/>
                      <w:spacing w:val="-3"/>
                      <w:kern w:val="2"/>
                      <w:sz w:val="21"/>
                      <w:szCs w:val="24"/>
                      <w:lang w:val="en-US" w:eastAsia="en-US" w:bidi="ar-SA"/>
                    </w:rPr>
                    <w:t>C34、C35、C36、C38、</w:t>
                  </w:r>
                  <w:r>
                    <w:rPr>
                      <w:rFonts w:ascii="Times New Roman" w:hAnsi="Times New Roman" w:eastAsia="宋体" w:cs="宋体"/>
                      <w:color w:val="auto"/>
                      <w:kern w:val="2"/>
                      <w:sz w:val="21"/>
                      <w:szCs w:val="24"/>
                      <w:lang w:val="en-US" w:eastAsia="en-US" w:bidi="ar-SA"/>
                    </w:rPr>
                    <w:t>C39、C40</w:t>
                  </w:r>
                  <w:r>
                    <w:rPr>
                      <w:rFonts w:hint="eastAsia" w:ascii="Times New Roman" w:hAnsi="Times New Roman" w:eastAsia="宋体" w:cs="宋体"/>
                      <w:color w:val="auto"/>
                      <w:kern w:val="2"/>
                      <w:sz w:val="21"/>
                      <w:szCs w:val="24"/>
                      <w:lang w:val="en-US" w:eastAsia="zh-CN" w:bidi="ar-SA"/>
                    </w:rPr>
                    <w:t>；</w:t>
                  </w:r>
                  <w:r>
                    <w:rPr>
                      <w:rFonts w:ascii="Times New Roman" w:hAnsi="Times New Roman" w:eastAsia="宋体" w:cs="宋体"/>
                      <w:color w:val="auto"/>
                      <w:kern w:val="2"/>
                      <w:sz w:val="21"/>
                      <w:szCs w:val="24"/>
                      <w:lang w:val="en-US" w:eastAsia="en-US" w:bidi="ar-SA"/>
                    </w:rPr>
                    <w:t>严禁引入C22</w:t>
                  </w:r>
                  <w:r>
                    <w:rPr>
                      <w:rFonts w:ascii="Times New Roman" w:hAnsi="Times New Roman" w:eastAsia="宋体" w:cs="宋体"/>
                      <w:color w:val="auto"/>
                      <w:spacing w:val="2"/>
                      <w:kern w:val="2"/>
                      <w:sz w:val="21"/>
                      <w:szCs w:val="24"/>
                      <w:lang w:val="en-US" w:eastAsia="en-US" w:bidi="ar-SA"/>
                    </w:rPr>
                    <w:t>造纸和纸制品业</w:t>
                  </w:r>
                  <w:r>
                    <w:rPr>
                      <w:rFonts w:hint="eastAsia" w:ascii="Times New Roman" w:hAnsi="Times New Roman" w:eastAsia="宋体" w:cs="宋体"/>
                      <w:color w:val="auto"/>
                      <w:spacing w:val="2"/>
                      <w:kern w:val="2"/>
                      <w:sz w:val="21"/>
                      <w:szCs w:val="24"/>
                      <w:lang w:val="en-US" w:eastAsia="zh-CN" w:bidi="ar-SA"/>
                    </w:rPr>
                    <w:t>（</w:t>
                  </w:r>
                  <w:r>
                    <w:rPr>
                      <w:rFonts w:ascii="Times New Roman" w:hAnsi="Times New Roman" w:eastAsia="宋体" w:cs="宋体"/>
                      <w:color w:val="auto"/>
                      <w:spacing w:val="2"/>
                      <w:kern w:val="2"/>
                      <w:sz w:val="21"/>
                      <w:szCs w:val="24"/>
                      <w:lang w:val="en-US" w:eastAsia="en-US" w:bidi="ar-SA"/>
                    </w:rPr>
                    <w:t>纸制</w:t>
                  </w:r>
                  <w:r>
                    <w:rPr>
                      <w:rFonts w:ascii="Times New Roman" w:hAnsi="Times New Roman" w:eastAsia="宋体" w:cs="宋体"/>
                      <w:color w:val="auto"/>
                      <w:spacing w:val="9"/>
                      <w:kern w:val="2"/>
                      <w:sz w:val="21"/>
                      <w:szCs w:val="24"/>
                      <w:lang w:val="en-US" w:eastAsia="en-US" w:bidi="ar-SA"/>
                    </w:rPr>
                    <w:t>品制造除外</w:t>
                  </w:r>
                  <w:r>
                    <w:rPr>
                      <w:rFonts w:hint="eastAsia" w:ascii="Times New Roman" w:hAnsi="Times New Roman" w:eastAsia="宋体" w:cs="宋体"/>
                      <w:color w:val="auto"/>
                      <w:spacing w:val="9"/>
                      <w:kern w:val="2"/>
                      <w:sz w:val="21"/>
                      <w:szCs w:val="24"/>
                      <w:lang w:val="en-US" w:eastAsia="zh-CN" w:bidi="ar-SA"/>
                    </w:rPr>
                    <w:t>）</w:t>
                  </w:r>
                </w:p>
              </w:tc>
              <w:tc>
                <w:tcPr>
                  <w:tcW w:w="2520" w:type="dxa"/>
                  <w:shd w:val="clear" w:color="auto" w:fill="auto"/>
                  <w:vAlign w:val="center"/>
                </w:tcPr>
                <w:p w14:paraId="311CD0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2"/>
                      <w:kern w:val="2"/>
                      <w:sz w:val="21"/>
                      <w:szCs w:val="24"/>
                      <w:lang w:val="en-US" w:eastAsia="en-US" w:bidi="ar-SA"/>
                    </w:rPr>
                    <w:t>本项目产品为</w:t>
                  </w:r>
                  <w:r>
                    <w:rPr>
                      <w:rFonts w:hint="eastAsia" w:ascii="Times New Roman" w:hAnsi="Times New Roman" w:eastAsia="宋体" w:cs="宋体"/>
                      <w:color w:val="auto"/>
                      <w:spacing w:val="2"/>
                      <w:kern w:val="2"/>
                      <w:sz w:val="21"/>
                      <w:szCs w:val="24"/>
                      <w:lang w:val="en-US" w:eastAsia="zh-CN" w:bidi="ar-SA"/>
                    </w:rPr>
                    <w:t>汽车座椅骨架</w:t>
                  </w:r>
                  <w:r>
                    <w:rPr>
                      <w:rFonts w:ascii="Times New Roman" w:hAnsi="Times New Roman" w:eastAsia="宋体" w:cs="宋体"/>
                      <w:color w:val="auto"/>
                      <w:spacing w:val="2"/>
                      <w:kern w:val="2"/>
                      <w:sz w:val="21"/>
                      <w:szCs w:val="24"/>
                      <w:lang w:val="en-US" w:eastAsia="en-US" w:bidi="ar-SA"/>
                    </w:rPr>
                    <w:t>，经查询《2017年国民经济行业分类注释》</w:t>
                  </w:r>
                  <w:r>
                    <w:rPr>
                      <w:rFonts w:hint="eastAsia" w:ascii="Times New Roman" w:hAnsi="Times New Roman" w:eastAsia="宋体" w:cs="宋体"/>
                      <w:color w:val="auto"/>
                      <w:spacing w:val="2"/>
                      <w:kern w:val="2"/>
                      <w:sz w:val="21"/>
                      <w:szCs w:val="24"/>
                      <w:lang w:val="en-US" w:eastAsia="zh-CN" w:bidi="ar-SA"/>
                    </w:rPr>
                    <w:t>，</w:t>
                  </w:r>
                  <w:r>
                    <w:rPr>
                      <w:rFonts w:ascii="Times New Roman" w:hAnsi="Times New Roman" w:eastAsia="宋体" w:cs="宋体"/>
                      <w:color w:val="auto"/>
                      <w:spacing w:val="2"/>
                      <w:kern w:val="2"/>
                      <w:sz w:val="21"/>
                      <w:szCs w:val="24"/>
                      <w:lang w:val="en-US" w:eastAsia="en-US" w:bidi="ar-SA"/>
                    </w:rPr>
                    <w:t>本项目产品属于C3670汽车零部件及配件制造，因此本项目属于主要产业中的C36</w:t>
                  </w:r>
                </w:p>
              </w:tc>
              <w:tc>
                <w:tcPr>
                  <w:tcW w:w="1119" w:type="dxa"/>
                  <w:shd w:val="clear" w:color="auto" w:fill="auto"/>
                  <w:vAlign w:val="center"/>
                </w:tcPr>
                <w:p w14:paraId="3B4369D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4"/>
                      <w:kern w:val="2"/>
                      <w:sz w:val="21"/>
                      <w:szCs w:val="24"/>
                      <w:lang w:val="en-US" w:eastAsia="en-US" w:bidi="ar-SA"/>
                    </w:rPr>
                    <w:t>符合</w:t>
                  </w:r>
                </w:p>
              </w:tc>
            </w:tr>
            <w:tr w14:paraId="5027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14:paraId="651D273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s="宋体"/>
                      <w:color w:val="auto"/>
                      <w:spacing w:val="3"/>
                      <w:kern w:val="2"/>
                      <w:sz w:val="21"/>
                      <w:szCs w:val="24"/>
                      <w:lang w:val="en-US" w:eastAsia="en-US" w:bidi="ar-SA"/>
                    </w:rPr>
                    <w:t>C36的</w:t>
                  </w:r>
                  <w:r>
                    <w:rPr>
                      <w:rFonts w:ascii="Times New Roman" w:hAnsi="Times New Roman" w:eastAsia="宋体" w:cs="宋体"/>
                      <w:color w:val="auto"/>
                      <w:spacing w:val="11"/>
                      <w:kern w:val="2"/>
                      <w:sz w:val="21"/>
                      <w:szCs w:val="24"/>
                      <w:lang w:val="en-US" w:eastAsia="en-US" w:bidi="ar-SA"/>
                    </w:rPr>
                    <w:t>空间</w:t>
                  </w:r>
                </w:p>
                <w:p w14:paraId="7F3A7D6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s="宋体"/>
                      <w:color w:val="auto"/>
                      <w:spacing w:val="10"/>
                      <w:kern w:val="2"/>
                      <w:sz w:val="21"/>
                      <w:szCs w:val="24"/>
                      <w:lang w:val="en-US" w:eastAsia="en-US" w:bidi="ar-SA"/>
                    </w:rPr>
                    <w:t>布局</w:t>
                  </w:r>
                </w:p>
                <w:p w14:paraId="2E1459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5"/>
                      <w:kern w:val="2"/>
                      <w:sz w:val="21"/>
                      <w:szCs w:val="24"/>
                      <w:lang w:val="en-US" w:eastAsia="en-US" w:bidi="ar-SA"/>
                    </w:rPr>
                    <w:t>约束</w:t>
                  </w:r>
                </w:p>
              </w:tc>
              <w:tc>
                <w:tcPr>
                  <w:tcW w:w="1820" w:type="dxa"/>
                  <w:shd w:val="clear" w:color="auto" w:fill="auto"/>
                  <w:vAlign w:val="center"/>
                </w:tcPr>
                <w:p w14:paraId="5F3D7E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s="宋体"/>
                      <w:color w:val="auto"/>
                      <w:spacing w:val="-2"/>
                      <w:kern w:val="2"/>
                      <w:sz w:val="21"/>
                      <w:szCs w:val="24"/>
                      <w:lang w:val="en-US" w:eastAsia="en-US" w:bidi="ar-SA"/>
                    </w:rPr>
                    <w:t>禁止新建</w:t>
                  </w:r>
                </w:p>
                <w:p w14:paraId="1B90C4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b/>
                      <w:bCs/>
                      <w:color w:val="FF0000"/>
                      <w:kern w:val="2"/>
                      <w:sz w:val="21"/>
                      <w:szCs w:val="24"/>
                      <w:lang w:val="en-US" w:eastAsia="en-US" w:bidi="ar-SA"/>
                    </w:rPr>
                  </w:pPr>
                  <w:r>
                    <w:rPr>
                      <w:rFonts w:hint="eastAsia" w:ascii="Times New Roman" w:hAnsi="Times New Roman" w:eastAsia="宋体" w:cs="宋体"/>
                      <w:color w:val="auto"/>
                      <w:kern w:val="2"/>
                      <w:sz w:val="21"/>
                      <w:szCs w:val="24"/>
                      <w:lang w:val="en-US" w:eastAsia="zh-CN" w:bidi="ar-SA"/>
                    </w:rPr>
                    <w:t>1.</w:t>
                  </w:r>
                  <w:r>
                    <w:rPr>
                      <w:rFonts w:ascii="Times New Roman" w:hAnsi="Times New Roman" w:eastAsia="宋体" w:cs="宋体"/>
                      <w:color w:val="auto"/>
                      <w:kern w:val="2"/>
                      <w:sz w:val="21"/>
                      <w:szCs w:val="24"/>
                      <w:lang w:val="en-US" w:eastAsia="en-US" w:bidi="ar-SA"/>
                    </w:rPr>
                    <w:t>使用有机涂层的</w:t>
                  </w:r>
                  <w:r>
                    <w:rPr>
                      <w:rFonts w:hint="eastAsia" w:ascii="Times New Roman" w:hAnsi="Times New Roman" w:eastAsia="宋体" w:cs="宋体"/>
                      <w:b/>
                      <w:bCs/>
                      <w:color w:val="auto"/>
                      <w:kern w:val="2"/>
                      <w:sz w:val="21"/>
                      <w:szCs w:val="24"/>
                      <w:lang w:val="en-US" w:eastAsia="zh-CN" w:bidi="ar-SA"/>
                    </w:rPr>
                    <w:t>（</w:t>
                  </w:r>
                  <w:r>
                    <w:rPr>
                      <w:rFonts w:ascii="Times New Roman" w:hAnsi="Times New Roman" w:eastAsia="宋体" w:cs="宋体"/>
                      <w:b/>
                      <w:bCs/>
                      <w:color w:val="auto"/>
                      <w:kern w:val="2"/>
                      <w:sz w:val="21"/>
                      <w:szCs w:val="24"/>
                      <w:lang w:val="en-US" w:eastAsia="en-US" w:bidi="ar-SA"/>
                    </w:rPr>
                    <w:t>喷塑、电泳及高端项目配</w:t>
                  </w:r>
                  <w:r>
                    <w:rPr>
                      <w:rFonts w:ascii="Times New Roman" w:hAnsi="Times New Roman" w:eastAsia="宋体" w:cs="宋体"/>
                      <w:b/>
                      <w:bCs/>
                      <w:color w:val="auto"/>
                      <w:spacing w:val="16"/>
                      <w:kern w:val="2"/>
                      <w:sz w:val="21"/>
                      <w:szCs w:val="24"/>
                      <w:lang w:val="en-US" w:eastAsia="en-US" w:bidi="ar-SA"/>
                    </w:rPr>
                    <w:t>套除外</w:t>
                  </w:r>
                  <w:r>
                    <w:rPr>
                      <w:rFonts w:hint="eastAsia" w:ascii="Times New Roman" w:hAnsi="Times New Roman" w:eastAsia="宋体" w:cs="宋体"/>
                      <w:b/>
                      <w:bCs/>
                      <w:color w:val="auto"/>
                      <w:spacing w:val="16"/>
                      <w:kern w:val="2"/>
                      <w:sz w:val="21"/>
                      <w:szCs w:val="24"/>
                      <w:lang w:val="en-US" w:eastAsia="zh-CN" w:bidi="ar-SA"/>
                    </w:rPr>
                    <w:t>）</w:t>
                  </w:r>
                </w:p>
                <w:p w14:paraId="1E23C23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2"/>
                      <w:kern w:val="2"/>
                      <w:sz w:val="21"/>
                      <w:szCs w:val="24"/>
                      <w:lang w:val="en-US" w:eastAsia="zh-CN" w:bidi="ar-SA"/>
                    </w:rPr>
                    <w:t>2.</w:t>
                  </w:r>
                  <w:r>
                    <w:rPr>
                      <w:rFonts w:ascii="Times New Roman" w:hAnsi="Times New Roman" w:eastAsia="宋体" w:cs="宋体"/>
                      <w:color w:val="auto"/>
                      <w:spacing w:val="-2"/>
                      <w:kern w:val="2"/>
                      <w:sz w:val="21"/>
                      <w:szCs w:val="24"/>
                      <w:lang w:val="en-US" w:eastAsia="en-US" w:bidi="ar-SA"/>
                    </w:rPr>
                    <w:t>涉及熔炼、电镀工艺</w:t>
                  </w:r>
                </w:p>
                <w:p w14:paraId="208DA9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2"/>
                      <w:kern w:val="2"/>
                      <w:sz w:val="21"/>
                      <w:szCs w:val="24"/>
                      <w:lang w:val="en-US" w:eastAsia="zh-CN" w:bidi="ar-SA"/>
                    </w:rPr>
                    <w:t>3.</w:t>
                  </w:r>
                  <w:r>
                    <w:rPr>
                      <w:rFonts w:ascii="Times New Roman" w:hAnsi="Times New Roman" w:eastAsia="宋体" w:cs="宋体"/>
                      <w:color w:val="auto"/>
                      <w:spacing w:val="-2"/>
                      <w:kern w:val="2"/>
                      <w:sz w:val="21"/>
                      <w:szCs w:val="24"/>
                      <w:lang w:val="en-US" w:eastAsia="en-US" w:bidi="ar-SA"/>
                    </w:rPr>
                    <w:t>涉及钝化工艺的热镀</w:t>
                  </w:r>
                  <w:r>
                    <w:rPr>
                      <w:rFonts w:ascii="Times New Roman" w:hAnsi="Times New Roman" w:eastAsia="宋体" w:cs="宋体"/>
                      <w:color w:val="auto"/>
                      <w:kern w:val="2"/>
                      <w:sz w:val="21"/>
                      <w:szCs w:val="24"/>
                      <w:lang w:val="en-US" w:eastAsia="en-US" w:bidi="ar-SA"/>
                    </w:rPr>
                    <w:t>锌</w:t>
                  </w:r>
                </w:p>
                <w:p w14:paraId="78CA86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1"/>
                      <w:kern w:val="2"/>
                      <w:sz w:val="21"/>
                      <w:szCs w:val="24"/>
                      <w:lang w:val="en-US" w:eastAsia="zh-CN" w:bidi="ar-SA"/>
                    </w:rPr>
                    <w:t>4.</w:t>
                  </w:r>
                  <w:r>
                    <w:rPr>
                      <w:rFonts w:ascii="Times New Roman" w:hAnsi="Times New Roman" w:eastAsia="宋体" w:cs="宋体"/>
                      <w:color w:val="auto"/>
                      <w:spacing w:val="1"/>
                      <w:kern w:val="2"/>
                      <w:sz w:val="21"/>
                      <w:szCs w:val="24"/>
                      <w:lang w:val="en-US" w:eastAsia="en-US" w:bidi="ar-SA"/>
                    </w:rPr>
                    <w:t>油性漆使用量超过10t/a喷漆工艺</w:t>
                  </w:r>
                </w:p>
                <w:p w14:paraId="608C2D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6"/>
                      <w:kern w:val="2"/>
                      <w:sz w:val="21"/>
                      <w:szCs w:val="24"/>
                      <w:lang w:val="en-US" w:eastAsia="zh-CN" w:bidi="ar-SA"/>
                    </w:rPr>
                    <w:t>5.</w:t>
                  </w:r>
                  <w:r>
                    <w:rPr>
                      <w:rFonts w:ascii="Times New Roman" w:hAnsi="Times New Roman" w:eastAsia="宋体" w:cs="宋体"/>
                      <w:color w:val="auto"/>
                      <w:spacing w:val="-6"/>
                      <w:kern w:val="2"/>
                      <w:sz w:val="21"/>
                      <w:szCs w:val="24"/>
                      <w:lang w:val="en-US" w:eastAsia="en-US" w:bidi="ar-SA"/>
                    </w:rPr>
                    <w:t>使用火焰法除旧漆，</w:t>
                  </w:r>
                  <w:r>
                    <w:rPr>
                      <w:rFonts w:ascii="Times New Roman" w:hAnsi="Times New Roman" w:eastAsia="宋体" w:cs="宋体"/>
                      <w:color w:val="auto"/>
                      <w:spacing w:val="-4"/>
                      <w:kern w:val="2"/>
                      <w:sz w:val="21"/>
                      <w:szCs w:val="24"/>
                      <w:lang w:val="en-US" w:eastAsia="en-US" w:bidi="ar-SA"/>
                    </w:rPr>
                    <w:t>使用干喷砂除锈</w:t>
                  </w:r>
                </w:p>
                <w:p w14:paraId="3DAB72D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2"/>
                      <w:kern w:val="2"/>
                      <w:sz w:val="21"/>
                      <w:szCs w:val="24"/>
                      <w:lang w:val="en-US" w:eastAsia="zh-CN" w:bidi="ar-SA"/>
                    </w:rPr>
                    <w:t>6.</w:t>
                  </w:r>
                  <w:r>
                    <w:rPr>
                      <w:rFonts w:ascii="Times New Roman" w:hAnsi="Times New Roman" w:eastAsia="宋体" w:cs="宋体"/>
                      <w:color w:val="auto"/>
                      <w:spacing w:val="-2"/>
                      <w:kern w:val="2"/>
                      <w:sz w:val="21"/>
                      <w:szCs w:val="24"/>
                      <w:lang w:val="en-US" w:eastAsia="en-US" w:bidi="ar-SA"/>
                    </w:rPr>
                    <w:t>采用煤、油、生物质</w:t>
                  </w:r>
                  <w:r>
                    <w:rPr>
                      <w:rFonts w:ascii="Times New Roman" w:hAnsi="Times New Roman" w:eastAsia="宋体" w:cs="宋体"/>
                      <w:color w:val="auto"/>
                      <w:kern w:val="2"/>
                      <w:sz w:val="21"/>
                      <w:szCs w:val="24"/>
                      <w:lang w:val="en-US" w:eastAsia="en-US" w:bidi="ar-SA"/>
                    </w:rPr>
                    <w:t>等非清洁能源</w:t>
                  </w:r>
                </w:p>
                <w:p w14:paraId="1EE792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2"/>
                      <w:kern w:val="2"/>
                      <w:sz w:val="21"/>
                      <w:szCs w:val="24"/>
                      <w:lang w:val="en-US" w:eastAsia="zh-CN" w:bidi="ar-SA"/>
                    </w:rPr>
                    <w:t>7.</w:t>
                  </w:r>
                  <w:r>
                    <w:rPr>
                      <w:rFonts w:ascii="Times New Roman" w:hAnsi="Times New Roman" w:eastAsia="宋体" w:cs="宋体"/>
                      <w:color w:val="auto"/>
                      <w:spacing w:val="-2"/>
                      <w:kern w:val="2"/>
                      <w:sz w:val="21"/>
                      <w:szCs w:val="24"/>
                      <w:lang w:val="en-US" w:eastAsia="en-US" w:bidi="ar-SA"/>
                    </w:rPr>
                    <w:t>铅酸蓄电池制造</w:t>
                  </w:r>
                </w:p>
                <w:p w14:paraId="19C643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spacing w:val="1"/>
                      <w:kern w:val="2"/>
                      <w:sz w:val="21"/>
                      <w:szCs w:val="24"/>
                      <w:lang w:val="en-US" w:eastAsia="zh-CN" w:bidi="ar-SA"/>
                    </w:rPr>
                    <w:t>8.</w:t>
                  </w:r>
                  <w:r>
                    <w:rPr>
                      <w:rFonts w:ascii="Times New Roman" w:hAnsi="Times New Roman" w:eastAsia="宋体" w:cs="宋体"/>
                      <w:color w:val="auto"/>
                      <w:spacing w:val="1"/>
                      <w:kern w:val="2"/>
                      <w:sz w:val="21"/>
                      <w:szCs w:val="24"/>
                      <w:lang w:val="en-US" w:eastAsia="en-US" w:bidi="ar-SA"/>
                    </w:rPr>
                    <w:t>印刷电路板(高密度印刷电路板和柔性</w:t>
                  </w:r>
                  <w:r>
                    <w:rPr>
                      <w:rFonts w:hint="eastAsia" w:ascii="Times New Roman" w:hAnsi="Times New Roman" w:eastAsia="宋体" w:cs="宋体"/>
                      <w:color w:val="auto"/>
                      <w:spacing w:val="1"/>
                      <w:kern w:val="2"/>
                      <w:sz w:val="21"/>
                      <w:szCs w:val="24"/>
                      <w:lang w:val="en-US" w:eastAsia="zh-CN" w:bidi="ar-SA"/>
                    </w:rPr>
                    <w:t>电子</w:t>
                  </w:r>
                </w:p>
              </w:tc>
              <w:tc>
                <w:tcPr>
                  <w:tcW w:w="2520" w:type="dxa"/>
                  <w:shd w:val="clear" w:color="auto" w:fill="auto"/>
                  <w:vAlign w:val="center"/>
                </w:tcPr>
                <w:p w14:paraId="432F706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1"/>
                      <w:kern w:val="2"/>
                      <w:sz w:val="21"/>
                      <w:szCs w:val="24"/>
                      <w:lang w:val="en-US" w:eastAsia="zh-CN" w:bidi="ar-SA"/>
                    </w:rPr>
                    <w:t>1.</w:t>
                  </w:r>
                  <w:r>
                    <w:rPr>
                      <w:rFonts w:ascii="Times New Roman" w:hAnsi="Times New Roman" w:eastAsia="宋体" w:cs="宋体"/>
                      <w:color w:val="auto"/>
                      <w:spacing w:val="-1"/>
                      <w:kern w:val="2"/>
                      <w:sz w:val="21"/>
                      <w:szCs w:val="24"/>
                      <w:lang w:val="en-US" w:eastAsia="en-US" w:bidi="ar-SA"/>
                    </w:rPr>
                    <w:t>本项目不涉及有机涂</w:t>
                  </w:r>
                  <w:r>
                    <w:rPr>
                      <w:rFonts w:ascii="Times New Roman" w:hAnsi="Times New Roman" w:eastAsia="宋体" w:cs="宋体"/>
                      <w:color w:val="auto"/>
                      <w:spacing w:val="21"/>
                      <w:kern w:val="2"/>
                      <w:sz w:val="21"/>
                      <w:szCs w:val="24"/>
                      <w:lang w:val="en-US" w:eastAsia="en-US" w:bidi="ar-SA"/>
                    </w:rPr>
                    <w:t>层的使用；</w:t>
                  </w:r>
                </w:p>
                <w:p w14:paraId="0EFEED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2"/>
                      <w:kern w:val="2"/>
                      <w:sz w:val="21"/>
                      <w:szCs w:val="24"/>
                      <w:lang w:val="en-US" w:eastAsia="zh-CN" w:bidi="ar-SA"/>
                    </w:rPr>
                    <w:t>2.</w:t>
                  </w:r>
                  <w:r>
                    <w:rPr>
                      <w:rFonts w:ascii="Times New Roman" w:hAnsi="Times New Roman" w:eastAsia="宋体" w:cs="宋体"/>
                      <w:color w:val="auto"/>
                      <w:spacing w:val="2"/>
                      <w:kern w:val="2"/>
                      <w:sz w:val="21"/>
                      <w:szCs w:val="24"/>
                      <w:lang w:val="en-US" w:eastAsia="en-US" w:bidi="ar-SA"/>
                    </w:rPr>
                    <w:t>本项目不涉及熔炼、</w:t>
                  </w:r>
                  <w:r>
                    <w:rPr>
                      <w:rFonts w:ascii="Times New Roman" w:hAnsi="Times New Roman" w:eastAsia="宋体" w:cs="宋体"/>
                      <w:color w:val="auto"/>
                      <w:spacing w:val="15"/>
                      <w:kern w:val="2"/>
                      <w:sz w:val="21"/>
                      <w:szCs w:val="24"/>
                      <w:lang w:val="en-US" w:eastAsia="en-US" w:bidi="ar-SA"/>
                    </w:rPr>
                    <w:t>电镀工艺；</w:t>
                  </w:r>
                </w:p>
                <w:p w14:paraId="0207D7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kern w:val="2"/>
                      <w:sz w:val="21"/>
                      <w:szCs w:val="24"/>
                      <w:lang w:val="en-US" w:eastAsia="zh-CN" w:bidi="ar-SA"/>
                    </w:rPr>
                    <w:t>3.</w:t>
                  </w:r>
                  <w:r>
                    <w:rPr>
                      <w:rFonts w:ascii="Times New Roman" w:hAnsi="Times New Roman" w:eastAsia="宋体" w:cs="宋体"/>
                      <w:color w:val="auto"/>
                      <w:kern w:val="2"/>
                      <w:sz w:val="21"/>
                      <w:szCs w:val="24"/>
                      <w:lang w:val="en-US" w:eastAsia="en-US" w:bidi="ar-SA"/>
                    </w:rPr>
                    <w:t>本项目不涉及钝化工</w:t>
                  </w:r>
                  <w:r>
                    <w:rPr>
                      <w:rFonts w:ascii="Times New Roman" w:hAnsi="Times New Roman" w:eastAsia="宋体" w:cs="宋体"/>
                      <w:color w:val="auto"/>
                      <w:spacing w:val="-8"/>
                      <w:kern w:val="2"/>
                      <w:sz w:val="21"/>
                      <w:szCs w:val="24"/>
                      <w:lang w:val="en-US" w:eastAsia="en-US" w:bidi="ar-SA"/>
                    </w:rPr>
                    <w:t>艺；</w:t>
                  </w:r>
                </w:p>
                <w:p w14:paraId="55EC001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1"/>
                      <w:kern w:val="2"/>
                      <w:sz w:val="21"/>
                      <w:szCs w:val="24"/>
                      <w:lang w:val="en-US" w:eastAsia="zh-CN" w:bidi="ar-SA"/>
                    </w:rPr>
                    <w:t>4.</w:t>
                  </w:r>
                  <w:r>
                    <w:rPr>
                      <w:rFonts w:ascii="Times New Roman" w:hAnsi="Times New Roman" w:eastAsia="宋体" w:cs="宋体"/>
                      <w:color w:val="auto"/>
                      <w:spacing w:val="-1"/>
                      <w:kern w:val="2"/>
                      <w:sz w:val="21"/>
                      <w:szCs w:val="24"/>
                      <w:lang w:val="en-US" w:eastAsia="en-US" w:bidi="ar-SA"/>
                    </w:rPr>
                    <w:t>本项目不涉及油性漆</w:t>
                  </w:r>
                  <w:r>
                    <w:rPr>
                      <w:rFonts w:ascii="Times New Roman" w:hAnsi="Times New Roman" w:eastAsia="宋体" w:cs="宋体"/>
                      <w:color w:val="auto"/>
                      <w:spacing w:val="16"/>
                      <w:kern w:val="2"/>
                      <w:sz w:val="21"/>
                      <w:szCs w:val="24"/>
                      <w:lang w:val="en-US" w:eastAsia="en-US" w:bidi="ar-SA"/>
                    </w:rPr>
                    <w:t>等涂料的使用；</w:t>
                  </w:r>
                </w:p>
                <w:p w14:paraId="58EFAE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2"/>
                      <w:kern w:val="2"/>
                      <w:sz w:val="21"/>
                      <w:szCs w:val="24"/>
                      <w:lang w:val="en-US" w:eastAsia="zh-CN" w:bidi="ar-SA"/>
                    </w:rPr>
                    <w:t>5.</w:t>
                  </w:r>
                  <w:r>
                    <w:rPr>
                      <w:rFonts w:ascii="Times New Roman" w:hAnsi="Times New Roman" w:eastAsia="宋体" w:cs="宋体"/>
                      <w:color w:val="auto"/>
                      <w:spacing w:val="2"/>
                      <w:kern w:val="2"/>
                      <w:sz w:val="21"/>
                      <w:szCs w:val="24"/>
                      <w:lang w:val="en-US" w:eastAsia="en-US" w:bidi="ar-SA"/>
                    </w:rPr>
                    <w:t>本项目不涉及除漆、</w:t>
                  </w:r>
                  <w:r>
                    <w:rPr>
                      <w:rFonts w:ascii="Times New Roman" w:hAnsi="Times New Roman" w:eastAsia="宋体" w:cs="宋体"/>
                      <w:color w:val="auto"/>
                      <w:spacing w:val="6"/>
                      <w:kern w:val="2"/>
                      <w:sz w:val="21"/>
                      <w:szCs w:val="24"/>
                      <w:lang w:val="en-US" w:eastAsia="en-US" w:bidi="ar-SA"/>
                    </w:rPr>
                    <w:t>干喷除锈等工序；</w:t>
                  </w:r>
                </w:p>
                <w:p w14:paraId="362DAD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shd w:val="clear" w:fill="FFFF00"/>
                      <w:lang w:val="en-US" w:eastAsia="en-US" w:bidi="ar-SA"/>
                    </w:rPr>
                  </w:pPr>
                  <w:r>
                    <w:rPr>
                      <w:rFonts w:hint="eastAsia" w:ascii="Times New Roman" w:hAnsi="Times New Roman" w:eastAsia="宋体" w:cs="宋体"/>
                      <w:color w:val="auto"/>
                      <w:kern w:val="2"/>
                      <w:sz w:val="21"/>
                      <w:szCs w:val="24"/>
                      <w:lang w:val="en-US" w:eastAsia="zh-CN" w:bidi="ar-SA"/>
                    </w:rPr>
                    <w:t>6.</w:t>
                  </w:r>
                  <w:r>
                    <w:rPr>
                      <w:rFonts w:ascii="Times New Roman" w:hAnsi="Times New Roman" w:eastAsia="宋体" w:cs="宋体"/>
                      <w:color w:val="auto"/>
                      <w:kern w:val="2"/>
                      <w:sz w:val="21"/>
                      <w:szCs w:val="24"/>
                      <w:shd w:val="clear"/>
                      <w:lang w:val="en-US" w:eastAsia="en-US" w:bidi="ar-SA"/>
                    </w:rPr>
                    <w:t>本项目使用电能、</w:t>
                  </w:r>
                  <w:r>
                    <w:rPr>
                      <w:rFonts w:hint="eastAsia" w:ascii="Times New Roman" w:hAnsi="Times New Roman" w:eastAsia="宋体" w:cs="宋体"/>
                      <w:color w:val="auto"/>
                      <w:kern w:val="2"/>
                      <w:sz w:val="21"/>
                      <w:szCs w:val="24"/>
                      <w:shd w:val="clear"/>
                      <w:lang w:val="en-US" w:eastAsia="zh-CN" w:bidi="ar-SA"/>
                    </w:rPr>
                    <w:t>天然气</w:t>
                  </w:r>
                  <w:r>
                    <w:rPr>
                      <w:rFonts w:ascii="Times New Roman" w:hAnsi="Times New Roman" w:eastAsia="宋体" w:cs="宋体"/>
                      <w:color w:val="auto"/>
                      <w:spacing w:val="-1"/>
                      <w:kern w:val="2"/>
                      <w:sz w:val="21"/>
                      <w:szCs w:val="24"/>
                      <w:shd w:val="clear"/>
                      <w:lang w:val="en-US" w:eastAsia="en-US" w:bidi="ar-SA"/>
                    </w:rPr>
                    <w:t>作为燃</w:t>
                  </w:r>
                  <w:r>
                    <w:rPr>
                      <w:rFonts w:ascii="Times New Roman" w:hAnsi="Times New Roman" w:eastAsia="宋体" w:cs="宋体"/>
                      <w:color w:val="auto"/>
                      <w:spacing w:val="-5"/>
                      <w:kern w:val="2"/>
                      <w:sz w:val="21"/>
                      <w:szCs w:val="24"/>
                      <w:shd w:val="clear"/>
                      <w:lang w:val="en-US" w:eastAsia="en-US" w:bidi="ar-SA"/>
                    </w:rPr>
                    <w:t>料；</w:t>
                  </w:r>
                </w:p>
                <w:p w14:paraId="6F4E40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en-US" w:eastAsia="en-US" w:bidi="ar-SA"/>
                    </w:rPr>
                  </w:pPr>
                  <w:r>
                    <w:rPr>
                      <w:rFonts w:hint="eastAsia" w:ascii="Times New Roman" w:hAnsi="Times New Roman" w:eastAsia="宋体" w:cs="宋体"/>
                      <w:color w:val="auto"/>
                      <w:spacing w:val="1"/>
                      <w:kern w:val="2"/>
                      <w:sz w:val="21"/>
                      <w:szCs w:val="24"/>
                      <w:lang w:val="en-US" w:eastAsia="zh-CN" w:bidi="ar-SA"/>
                    </w:rPr>
                    <w:t>7.</w:t>
                  </w:r>
                  <w:r>
                    <w:rPr>
                      <w:rFonts w:ascii="Times New Roman" w:hAnsi="Times New Roman" w:eastAsia="宋体" w:cs="宋体"/>
                      <w:color w:val="auto"/>
                      <w:spacing w:val="1"/>
                      <w:kern w:val="2"/>
                      <w:sz w:val="21"/>
                      <w:szCs w:val="24"/>
                      <w:lang w:val="en-US" w:eastAsia="en-US" w:bidi="ar-SA"/>
                    </w:rPr>
                    <w:t>本项目不涉及铅酸蓄</w:t>
                  </w:r>
                  <w:r>
                    <w:rPr>
                      <w:rFonts w:ascii="Times New Roman" w:hAnsi="Times New Roman" w:eastAsia="宋体" w:cs="宋体"/>
                      <w:color w:val="auto"/>
                      <w:spacing w:val="23"/>
                      <w:kern w:val="2"/>
                      <w:sz w:val="21"/>
                      <w:szCs w:val="24"/>
                      <w:lang w:val="en-US" w:eastAsia="en-US" w:bidi="ar-SA"/>
                    </w:rPr>
                    <w:t>电池制造；</w:t>
                  </w:r>
                </w:p>
                <w:p w14:paraId="39D3C2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spacing w:val="-1"/>
                      <w:kern w:val="2"/>
                      <w:sz w:val="21"/>
                      <w:szCs w:val="24"/>
                      <w:lang w:val="en-US" w:eastAsia="zh-CN" w:bidi="ar-SA"/>
                    </w:rPr>
                    <w:t>8.</w:t>
                  </w:r>
                  <w:r>
                    <w:rPr>
                      <w:rFonts w:ascii="Times New Roman" w:hAnsi="Times New Roman" w:eastAsia="宋体" w:cs="宋体"/>
                      <w:color w:val="auto"/>
                      <w:spacing w:val="-1"/>
                      <w:kern w:val="2"/>
                      <w:sz w:val="21"/>
                      <w:szCs w:val="24"/>
                      <w:lang w:val="en-US" w:eastAsia="en-US" w:bidi="ar-SA"/>
                    </w:rPr>
                    <w:t>本项目不涉及印刷电路板制造。</w:t>
                  </w:r>
                </w:p>
              </w:tc>
              <w:tc>
                <w:tcPr>
                  <w:tcW w:w="1119" w:type="dxa"/>
                  <w:shd w:val="clear" w:color="auto" w:fill="auto"/>
                  <w:vAlign w:val="center"/>
                </w:tcPr>
                <w:p w14:paraId="77FE3B3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宋体"/>
                      <w:color w:val="auto"/>
                      <w:spacing w:val="4"/>
                      <w:kern w:val="2"/>
                      <w:sz w:val="21"/>
                      <w:szCs w:val="24"/>
                      <w:lang w:val="en-US" w:eastAsia="en-US" w:bidi="ar-SA"/>
                    </w:rPr>
                    <w:t>符合</w:t>
                  </w:r>
                </w:p>
              </w:tc>
            </w:tr>
            <w:tr w14:paraId="2871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14:paraId="13D52A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4"/>
                      <w:kern w:val="2"/>
                      <w:sz w:val="21"/>
                      <w:szCs w:val="22"/>
                      <w:lang w:val="en-US" w:eastAsia="en-US" w:bidi="ar-SA"/>
                    </w:rPr>
                    <w:t>C36的</w:t>
                  </w:r>
                  <w:r>
                    <w:rPr>
                      <w:rFonts w:ascii="Times New Roman" w:hAnsi="Times New Roman" w:eastAsia="宋体" w:cs="宋体"/>
                      <w:color w:val="auto"/>
                      <w:spacing w:val="-5"/>
                      <w:kern w:val="2"/>
                      <w:sz w:val="21"/>
                      <w:szCs w:val="22"/>
                      <w:lang w:val="en-US" w:eastAsia="en-US" w:bidi="ar-SA"/>
                    </w:rPr>
                    <w:t>环境风险</w:t>
                  </w:r>
                  <w:r>
                    <w:rPr>
                      <w:rFonts w:ascii="Times New Roman" w:hAnsi="Times New Roman" w:eastAsia="宋体" w:cs="宋体"/>
                      <w:color w:val="auto"/>
                      <w:spacing w:val="4"/>
                      <w:kern w:val="2"/>
                      <w:sz w:val="21"/>
                      <w:szCs w:val="22"/>
                      <w:lang w:val="en-US" w:eastAsia="en-US" w:bidi="ar-SA"/>
                    </w:rPr>
                    <w:t>防控</w:t>
                  </w:r>
                </w:p>
              </w:tc>
              <w:tc>
                <w:tcPr>
                  <w:tcW w:w="1820" w:type="dxa"/>
                  <w:shd w:val="clear" w:color="auto" w:fill="auto"/>
                  <w:vAlign w:val="center"/>
                </w:tcPr>
                <w:p w14:paraId="4C22BF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hint="eastAsia" w:ascii="Times New Roman" w:hAnsi="Times New Roman" w:eastAsia="宋体" w:cs="宋体"/>
                      <w:color w:val="auto"/>
                      <w:spacing w:val="1"/>
                      <w:kern w:val="2"/>
                      <w:sz w:val="21"/>
                      <w:szCs w:val="22"/>
                      <w:lang w:val="en-US" w:eastAsia="zh-CN" w:bidi="ar-SA"/>
                    </w:rPr>
                    <w:t>1.</w:t>
                  </w:r>
                  <w:r>
                    <w:rPr>
                      <w:rFonts w:ascii="Times New Roman" w:hAnsi="Times New Roman" w:eastAsia="宋体" w:cs="宋体"/>
                      <w:color w:val="auto"/>
                      <w:spacing w:val="1"/>
                      <w:kern w:val="2"/>
                      <w:sz w:val="21"/>
                      <w:szCs w:val="22"/>
                      <w:lang w:val="en-US" w:eastAsia="en-US" w:bidi="ar-SA"/>
                    </w:rPr>
                    <w:t>必须规范配套应急池，建设企业、园区和</w:t>
                  </w:r>
                  <w:r>
                    <w:rPr>
                      <w:rFonts w:ascii="Times New Roman" w:hAnsi="Times New Roman" w:eastAsia="宋体" w:cs="宋体"/>
                      <w:color w:val="auto"/>
                      <w:spacing w:val="-1"/>
                      <w:kern w:val="2"/>
                      <w:sz w:val="21"/>
                      <w:szCs w:val="22"/>
                      <w:lang w:val="en-US" w:eastAsia="en-US" w:bidi="ar-SA"/>
                    </w:rPr>
                    <w:t>周边水系三级环境风险</w:t>
                  </w:r>
                  <w:r>
                    <w:rPr>
                      <w:rFonts w:ascii="Times New Roman" w:hAnsi="Times New Roman" w:eastAsia="宋体" w:cs="宋体"/>
                      <w:color w:val="auto"/>
                      <w:kern w:val="2"/>
                      <w:sz w:val="21"/>
                      <w:szCs w:val="22"/>
                      <w:lang w:val="en-US" w:eastAsia="en-US" w:bidi="ar-SA"/>
                    </w:rPr>
                    <w:t>防控工程，确保有效拦</w:t>
                  </w:r>
                  <w:r>
                    <w:rPr>
                      <w:rFonts w:ascii="Times New Roman" w:hAnsi="Times New Roman" w:eastAsia="宋体" w:cs="宋体"/>
                      <w:color w:val="auto"/>
                      <w:spacing w:val="1"/>
                      <w:kern w:val="2"/>
                      <w:sz w:val="21"/>
                      <w:szCs w:val="22"/>
                      <w:lang w:val="en-US" w:eastAsia="en-US" w:bidi="ar-SA"/>
                    </w:rPr>
                    <w:t>截、降污和倒流；受园</w:t>
                  </w:r>
                  <w:r>
                    <w:rPr>
                      <w:rFonts w:ascii="Times New Roman" w:hAnsi="Times New Roman" w:eastAsia="宋体" w:cs="宋体"/>
                      <w:color w:val="auto"/>
                      <w:spacing w:val="2"/>
                      <w:kern w:val="2"/>
                      <w:sz w:val="21"/>
                      <w:szCs w:val="22"/>
                      <w:lang w:val="en-US" w:eastAsia="en-US" w:bidi="ar-SA"/>
                    </w:rPr>
                    <w:t>区排污影响的周边水系</w:t>
                  </w:r>
                  <w:r>
                    <w:rPr>
                      <w:rFonts w:ascii="Times New Roman" w:hAnsi="Times New Roman" w:eastAsia="宋体" w:cs="宋体"/>
                      <w:color w:val="auto"/>
                      <w:spacing w:val="-1"/>
                      <w:kern w:val="2"/>
                      <w:sz w:val="21"/>
                      <w:szCs w:val="22"/>
                      <w:lang w:val="en-US" w:eastAsia="en-US" w:bidi="ar-SA"/>
                    </w:rPr>
                    <w:t>应建设应急闸门，防止</w:t>
                  </w:r>
                  <w:r>
                    <w:rPr>
                      <w:rFonts w:ascii="Times New Roman" w:hAnsi="Times New Roman" w:eastAsia="宋体" w:cs="宋体"/>
                      <w:color w:val="auto"/>
                      <w:kern w:val="2"/>
                      <w:sz w:val="21"/>
                      <w:szCs w:val="22"/>
                      <w:lang w:val="en-US" w:eastAsia="en-US" w:bidi="ar-SA"/>
                    </w:rPr>
                    <w:t>泄漏物和消防水等排入</w:t>
                  </w:r>
                  <w:r>
                    <w:rPr>
                      <w:rFonts w:ascii="Times New Roman" w:hAnsi="Times New Roman" w:eastAsia="宋体" w:cs="宋体"/>
                      <w:color w:val="auto"/>
                      <w:spacing w:val="-1"/>
                      <w:kern w:val="2"/>
                      <w:sz w:val="21"/>
                      <w:szCs w:val="22"/>
                      <w:lang w:val="en-US" w:eastAsia="en-US" w:bidi="ar-SA"/>
                    </w:rPr>
                    <w:t>外环境。</w:t>
                  </w:r>
                </w:p>
                <w:p w14:paraId="174DAF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color w:val="auto"/>
                      <w:kern w:val="2"/>
                      <w:sz w:val="21"/>
                      <w:szCs w:val="22"/>
                      <w:lang w:val="en-US" w:eastAsia="zh-CN" w:bidi="ar-SA"/>
                    </w:rPr>
                  </w:pPr>
                  <w:r>
                    <w:rPr>
                      <w:rFonts w:hint="eastAsia" w:ascii="Times New Roman" w:hAnsi="Times New Roman" w:eastAsia="宋体" w:cs="宋体"/>
                      <w:color w:val="auto"/>
                      <w:kern w:val="2"/>
                      <w:sz w:val="21"/>
                      <w:szCs w:val="22"/>
                      <w:lang w:val="en-US" w:eastAsia="zh-CN" w:bidi="ar-SA"/>
                    </w:rPr>
                    <w:t>2.</w:t>
                  </w:r>
                  <w:r>
                    <w:rPr>
                      <w:rFonts w:ascii="Times New Roman" w:hAnsi="Times New Roman" w:eastAsia="宋体" w:cs="宋体"/>
                      <w:color w:val="auto"/>
                      <w:kern w:val="2"/>
                      <w:sz w:val="21"/>
                      <w:szCs w:val="22"/>
                      <w:lang w:val="en-US" w:eastAsia="en-US" w:bidi="ar-SA"/>
                    </w:rPr>
                    <w:t>开发区内污水处理设</w:t>
                  </w:r>
                  <w:r>
                    <w:rPr>
                      <w:rFonts w:ascii="Times New Roman" w:hAnsi="Times New Roman" w:eastAsia="宋体" w:cs="宋体"/>
                      <w:color w:val="auto"/>
                      <w:spacing w:val="-1"/>
                      <w:kern w:val="2"/>
                      <w:sz w:val="21"/>
                      <w:szCs w:val="22"/>
                      <w:lang w:val="en-US" w:eastAsia="en-US" w:bidi="ar-SA"/>
                    </w:rPr>
                    <w:t>施应采取必要的防渗处</w:t>
                  </w:r>
                  <w:r>
                    <w:rPr>
                      <w:rFonts w:ascii="Times New Roman" w:hAnsi="Times New Roman" w:eastAsia="宋体" w:cs="宋体"/>
                      <w:color w:val="auto"/>
                      <w:spacing w:val="1"/>
                      <w:kern w:val="2"/>
                      <w:sz w:val="21"/>
                      <w:szCs w:val="22"/>
                      <w:lang w:val="en-US" w:eastAsia="en-US" w:bidi="ar-SA"/>
                    </w:rPr>
                    <w:t>理，不得污染地下水环</w:t>
                  </w:r>
                  <w:r>
                    <w:rPr>
                      <w:rFonts w:ascii="Times New Roman" w:hAnsi="Times New Roman" w:eastAsia="宋体" w:cs="宋体"/>
                      <w:color w:val="auto"/>
                      <w:spacing w:val="-1"/>
                      <w:kern w:val="2"/>
                      <w:sz w:val="21"/>
                      <w:szCs w:val="22"/>
                      <w:lang w:val="en-US" w:eastAsia="en-US" w:bidi="ar-SA"/>
                    </w:rPr>
                    <w:t>境。</w:t>
                  </w:r>
                </w:p>
              </w:tc>
              <w:tc>
                <w:tcPr>
                  <w:tcW w:w="2520" w:type="dxa"/>
                  <w:shd w:val="clear" w:color="auto" w:fill="auto"/>
                  <w:vAlign w:val="center"/>
                </w:tcPr>
                <w:p w14:paraId="27EFF3E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hint="eastAsia" w:ascii="Times New Roman" w:hAnsi="Times New Roman" w:eastAsia="宋体" w:cs="宋体"/>
                      <w:color w:val="auto"/>
                      <w:spacing w:val="-9"/>
                      <w:kern w:val="2"/>
                      <w:sz w:val="21"/>
                      <w:szCs w:val="22"/>
                      <w:lang w:val="en-US" w:eastAsia="zh-CN" w:bidi="ar-SA"/>
                    </w:rPr>
                    <w:t>1.厂</w:t>
                  </w:r>
                  <w:r>
                    <w:rPr>
                      <w:rFonts w:ascii="Times New Roman" w:hAnsi="Times New Roman" w:eastAsia="宋体" w:cs="宋体"/>
                      <w:color w:val="auto"/>
                      <w:spacing w:val="-9"/>
                      <w:kern w:val="2"/>
                      <w:sz w:val="21"/>
                      <w:szCs w:val="22"/>
                      <w:lang w:val="en-US" w:eastAsia="en-US" w:bidi="ar-SA"/>
                    </w:rPr>
                    <w:t>区将严格按照要求，</w:t>
                  </w:r>
                  <w:r>
                    <w:rPr>
                      <w:rFonts w:ascii="Times New Roman" w:hAnsi="Times New Roman" w:eastAsia="宋体" w:cs="宋体"/>
                      <w:color w:val="auto"/>
                      <w:spacing w:val="-8"/>
                      <w:kern w:val="2"/>
                      <w:sz w:val="21"/>
                      <w:szCs w:val="22"/>
                      <w:lang w:val="en-US" w:eastAsia="en-US" w:bidi="ar-SA"/>
                    </w:rPr>
                    <w:t>统一建设事故应急池，建</w:t>
                  </w:r>
                  <w:r>
                    <w:rPr>
                      <w:rFonts w:ascii="Times New Roman" w:hAnsi="Times New Roman" w:eastAsia="宋体" w:cs="宋体"/>
                      <w:color w:val="auto"/>
                      <w:spacing w:val="-7"/>
                      <w:kern w:val="2"/>
                      <w:sz w:val="21"/>
                      <w:szCs w:val="22"/>
                      <w:lang w:val="en-US" w:eastAsia="en-US" w:bidi="ar-SA"/>
                    </w:rPr>
                    <w:t>设企业、</w:t>
                  </w:r>
                  <w:r>
                    <w:rPr>
                      <w:rFonts w:hint="eastAsia" w:ascii="Times New Roman" w:hAnsi="Times New Roman" w:eastAsia="宋体" w:cs="宋体"/>
                      <w:color w:val="auto"/>
                      <w:spacing w:val="-7"/>
                      <w:kern w:val="2"/>
                      <w:sz w:val="21"/>
                      <w:szCs w:val="22"/>
                      <w:lang w:val="en-US" w:eastAsia="zh-CN" w:bidi="ar-SA"/>
                    </w:rPr>
                    <w:t>厂</w:t>
                  </w:r>
                  <w:r>
                    <w:rPr>
                      <w:rFonts w:ascii="Times New Roman" w:hAnsi="Times New Roman" w:eastAsia="宋体" w:cs="宋体"/>
                      <w:color w:val="auto"/>
                      <w:spacing w:val="-7"/>
                      <w:kern w:val="2"/>
                      <w:sz w:val="21"/>
                      <w:szCs w:val="22"/>
                      <w:lang w:val="en-US" w:eastAsia="en-US" w:bidi="ar-SA"/>
                    </w:rPr>
                    <w:t>区和周边水系</w:t>
                  </w:r>
                  <w:r>
                    <w:rPr>
                      <w:rFonts w:ascii="Times New Roman" w:hAnsi="Times New Roman" w:eastAsia="宋体" w:cs="宋体"/>
                      <w:color w:val="auto"/>
                      <w:spacing w:val="-1"/>
                      <w:kern w:val="2"/>
                      <w:sz w:val="21"/>
                      <w:szCs w:val="22"/>
                      <w:lang w:val="en-US" w:eastAsia="en-US" w:bidi="ar-SA"/>
                    </w:rPr>
                    <w:t>三级环境风险防控工程，</w:t>
                  </w:r>
                  <w:r>
                    <w:rPr>
                      <w:rFonts w:ascii="Times New Roman" w:hAnsi="Times New Roman" w:eastAsia="宋体" w:cs="宋体"/>
                      <w:color w:val="auto"/>
                      <w:spacing w:val="-8"/>
                      <w:kern w:val="2"/>
                      <w:sz w:val="21"/>
                      <w:szCs w:val="22"/>
                      <w:lang w:val="en-US" w:eastAsia="en-US" w:bidi="ar-SA"/>
                    </w:rPr>
                    <w:t>确保有效拦截、降污和</w:t>
                  </w:r>
                  <w:r>
                    <w:rPr>
                      <w:rFonts w:hint="eastAsia" w:ascii="Times New Roman" w:hAnsi="Times New Roman" w:eastAsia="宋体" w:cs="宋体"/>
                      <w:color w:val="auto"/>
                      <w:spacing w:val="-8"/>
                      <w:kern w:val="2"/>
                      <w:sz w:val="21"/>
                      <w:szCs w:val="22"/>
                      <w:lang w:val="en-US" w:eastAsia="zh-CN" w:bidi="ar-SA"/>
                    </w:rPr>
                    <w:t>导流</w:t>
                  </w:r>
                  <w:r>
                    <w:rPr>
                      <w:rFonts w:ascii="Times New Roman" w:hAnsi="Times New Roman" w:eastAsia="宋体" w:cs="宋体"/>
                      <w:color w:val="auto"/>
                      <w:spacing w:val="-9"/>
                      <w:kern w:val="2"/>
                      <w:sz w:val="21"/>
                      <w:szCs w:val="22"/>
                      <w:lang w:val="en-US" w:eastAsia="en-US" w:bidi="ar-SA"/>
                    </w:rPr>
                    <w:t>；</w:t>
                  </w:r>
                </w:p>
                <w:p w14:paraId="570887F5">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hint="eastAsia" w:ascii="Times New Roman" w:hAnsi="Times New Roman" w:eastAsia="宋体" w:cs="宋体"/>
                      <w:color w:val="auto"/>
                      <w:kern w:val="2"/>
                      <w:sz w:val="21"/>
                      <w:szCs w:val="22"/>
                      <w:lang w:val="en-US" w:eastAsia="zh-CN" w:bidi="ar-SA"/>
                    </w:rPr>
                    <w:t>2.</w:t>
                  </w:r>
                  <w:r>
                    <w:rPr>
                      <w:rFonts w:ascii="Times New Roman" w:hAnsi="Times New Roman" w:eastAsia="宋体" w:cs="宋体"/>
                      <w:color w:val="auto"/>
                      <w:kern w:val="2"/>
                      <w:sz w:val="21"/>
                      <w:szCs w:val="22"/>
                      <w:lang w:val="en-US" w:eastAsia="en-US" w:bidi="ar-SA"/>
                    </w:rPr>
                    <w:t>本项目生产废水</w:t>
                  </w:r>
                  <w:r>
                    <w:rPr>
                      <w:rFonts w:hint="eastAsia" w:ascii="Times New Roman" w:hAnsi="Times New Roman" w:eastAsia="宋体" w:cs="宋体"/>
                      <w:color w:val="auto"/>
                      <w:kern w:val="2"/>
                      <w:sz w:val="21"/>
                      <w:szCs w:val="22"/>
                      <w:lang w:val="en-US" w:eastAsia="zh-CN" w:bidi="ar-SA"/>
                    </w:rPr>
                    <w:t>经</w:t>
                  </w:r>
                  <w:r>
                    <w:rPr>
                      <w:rFonts w:hint="eastAsia" w:cs="宋体"/>
                      <w:color w:val="auto"/>
                      <w:kern w:val="2"/>
                      <w:sz w:val="21"/>
                      <w:szCs w:val="22"/>
                      <w:lang w:val="en-US" w:eastAsia="zh-CN" w:bidi="ar-SA"/>
                    </w:rPr>
                    <w:t>废水处理设施</w:t>
                  </w:r>
                  <w:r>
                    <w:rPr>
                      <w:rFonts w:hint="eastAsia" w:ascii="Times New Roman" w:hAnsi="Times New Roman" w:eastAsia="宋体" w:cs="宋体"/>
                      <w:color w:val="auto"/>
                      <w:kern w:val="2"/>
                      <w:sz w:val="21"/>
                      <w:szCs w:val="22"/>
                      <w:lang w:val="en-US" w:eastAsia="zh-CN" w:bidi="ar-SA"/>
                    </w:rPr>
                    <w:t>处理达标后经过污水管网送往福清市第二污水处理厂；</w:t>
                  </w:r>
                  <w:r>
                    <w:rPr>
                      <w:rFonts w:ascii="Times New Roman" w:hAnsi="Times New Roman" w:eastAsia="宋体" w:cs="宋体"/>
                      <w:color w:val="auto"/>
                      <w:spacing w:val="1"/>
                      <w:kern w:val="2"/>
                      <w:sz w:val="21"/>
                      <w:szCs w:val="22"/>
                      <w:lang w:val="en-US" w:eastAsia="en-US" w:bidi="ar-SA"/>
                    </w:rPr>
                    <w:t>生活污水依托现有已建的化粪池处理后经污</w:t>
                  </w:r>
                </w:p>
                <w:p w14:paraId="2DB40D56">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水管网送往福清市第二</w:t>
                  </w:r>
                </w:p>
                <w:p w14:paraId="064A91B5">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污水处理厂集中处理，污</w:t>
                  </w:r>
                  <w:r>
                    <w:rPr>
                      <w:rFonts w:ascii="Times New Roman" w:hAnsi="Times New Roman" w:eastAsia="宋体" w:cs="宋体"/>
                      <w:color w:val="auto"/>
                      <w:kern w:val="2"/>
                      <w:sz w:val="21"/>
                      <w:szCs w:val="22"/>
                      <w:lang w:val="en-US" w:eastAsia="en-US" w:bidi="ar-SA"/>
                    </w:rPr>
                    <w:t>水不外排入附近水体</w:t>
                  </w:r>
                  <w:r>
                    <w:rPr>
                      <w:rFonts w:hint="eastAsia" w:cs="宋体"/>
                      <w:color w:val="auto"/>
                      <w:kern w:val="2"/>
                      <w:sz w:val="21"/>
                      <w:szCs w:val="22"/>
                      <w:lang w:val="en-US" w:eastAsia="zh-CN" w:bidi="ar-SA"/>
                    </w:rPr>
                    <w:t>且</w:t>
                  </w:r>
                  <w:r>
                    <w:rPr>
                      <w:rFonts w:hint="eastAsia" w:cs="宋体"/>
                      <w:color w:val="auto"/>
                      <w:spacing w:val="2"/>
                      <w:kern w:val="2"/>
                      <w:sz w:val="21"/>
                      <w:szCs w:val="22"/>
                      <w:lang w:val="en-US" w:eastAsia="zh-CN" w:bidi="ar-SA"/>
                    </w:rPr>
                    <w:t>废水处理设施</w:t>
                  </w:r>
                  <w:r>
                    <w:rPr>
                      <w:rFonts w:ascii="Times New Roman" w:hAnsi="Times New Roman" w:eastAsia="宋体" w:cs="宋体"/>
                      <w:color w:val="auto"/>
                      <w:spacing w:val="2"/>
                      <w:kern w:val="2"/>
                      <w:sz w:val="21"/>
                      <w:szCs w:val="22"/>
                      <w:lang w:val="en-US" w:eastAsia="en-US" w:bidi="ar-SA"/>
                    </w:rPr>
                    <w:t>采取了一</w:t>
                  </w:r>
                </w:p>
                <w:p w14:paraId="513A496D">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kern w:val="2"/>
                      <w:sz w:val="21"/>
                      <w:szCs w:val="22"/>
                      <w:lang w:val="en-US" w:eastAsia="en-US" w:bidi="ar-SA"/>
                    </w:rPr>
                    <w:t>定的防渗措施，可以防止</w:t>
                  </w:r>
                  <w:r>
                    <w:rPr>
                      <w:rFonts w:ascii="Times New Roman" w:hAnsi="Times New Roman" w:eastAsia="宋体" w:cs="宋体"/>
                      <w:color w:val="auto"/>
                      <w:spacing w:val="-1"/>
                      <w:kern w:val="2"/>
                      <w:sz w:val="21"/>
                      <w:szCs w:val="22"/>
                      <w:lang w:val="en-US" w:eastAsia="en-US" w:bidi="ar-SA"/>
                    </w:rPr>
                    <w:t>污染地下水环境。</w:t>
                  </w:r>
                </w:p>
              </w:tc>
              <w:tc>
                <w:tcPr>
                  <w:tcW w:w="1119" w:type="dxa"/>
                  <w:shd w:val="clear" w:color="auto" w:fill="auto"/>
                  <w:vAlign w:val="center"/>
                </w:tcPr>
                <w:p w14:paraId="6B34B4C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符合</w:t>
                  </w:r>
                </w:p>
              </w:tc>
            </w:tr>
            <w:tr w14:paraId="35EB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shd w:val="clear" w:color="auto" w:fill="auto"/>
                  <w:vAlign w:val="center"/>
                </w:tcPr>
                <w:p w14:paraId="1C906A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4"/>
                      <w:kern w:val="2"/>
                      <w:sz w:val="21"/>
                      <w:szCs w:val="22"/>
                      <w:lang w:val="en-US" w:eastAsia="en-US" w:bidi="ar-SA"/>
                    </w:rPr>
                    <w:t>C36的</w:t>
                  </w:r>
                  <w:r>
                    <w:rPr>
                      <w:rFonts w:ascii="Times New Roman" w:hAnsi="Times New Roman" w:eastAsia="宋体" w:cs="宋体"/>
                      <w:color w:val="auto"/>
                      <w:spacing w:val="-6"/>
                      <w:kern w:val="2"/>
                      <w:sz w:val="21"/>
                      <w:szCs w:val="22"/>
                      <w:lang w:val="en-US" w:eastAsia="en-US" w:bidi="ar-SA"/>
                    </w:rPr>
                    <w:t>污染</w:t>
                  </w:r>
                  <w:r>
                    <w:rPr>
                      <w:rFonts w:ascii="Times New Roman" w:hAnsi="Times New Roman" w:eastAsia="宋体" w:cs="宋体"/>
                      <w:color w:val="auto"/>
                      <w:kern w:val="2"/>
                      <w:sz w:val="21"/>
                      <w:szCs w:val="22"/>
                      <w:lang w:val="en-US" w:eastAsia="en-US" w:bidi="ar-SA"/>
                    </w:rPr>
                    <w:t>物排</w:t>
                  </w:r>
                  <w:r>
                    <w:rPr>
                      <w:rFonts w:ascii="Times New Roman" w:hAnsi="Times New Roman" w:eastAsia="宋体" w:cs="宋体"/>
                      <w:color w:val="auto"/>
                      <w:spacing w:val="11"/>
                      <w:kern w:val="2"/>
                      <w:sz w:val="21"/>
                      <w:szCs w:val="22"/>
                      <w:lang w:val="en-US" w:eastAsia="en-US" w:bidi="ar-SA"/>
                    </w:rPr>
                    <w:t>放管</w:t>
                  </w:r>
                  <w:r>
                    <w:rPr>
                      <w:rFonts w:ascii="Times New Roman" w:hAnsi="Times New Roman" w:eastAsia="宋体" w:cs="宋体"/>
                      <w:color w:val="auto"/>
                      <w:kern w:val="2"/>
                      <w:sz w:val="21"/>
                      <w:szCs w:val="22"/>
                      <w:lang w:val="en-US" w:eastAsia="en-US" w:bidi="ar-SA"/>
                    </w:rPr>
                    <w:t>控</w:t>
                  </w:r>
                </w:p>
              </w:tc>
              <w:tc>
                <w:tcPr>
                  <w:tcW w:w="1820" w:type="dxa"/>
                  <w:shd w:val="clear" w:color="auto" w:fill="auto"/>
                  <w:vAlign w:val="center"/>
                </w:tcPr>
                <w:p w14:paraId="7C9429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hint="eastAsia" w:ascii="Times New Roman" w:hAnsi="Times New Roman" w:eastAsia="宋体" w:cs="宋体"/>
                      <w:color w:val="auto"/>
                      <w:spacing w:val="1"/>
                      <w:kern w:val="2"/>
                      <w:sz w:val="21"/>
                      <w:szCs w:val="22"/>
                      <w:lang w:val="en-US" w:eastAsia="zh-CN" w:bidi="ar-SA"/>
                    </w:rPr>
                    <w:t>1.</w:t>
                  </w:r>
                  <w:r>
                    <w:rPr>
                      <w:rFonts w:ascii="Times New Roman" w:hAnsi="Times New Roman" w:eastAsia="宋体" w:cs="宋体"/>
                      <w:color w:val="auto"/>
                      <w:spacing w:val="1"/>
                      <w:kern w:val="2"/>
                      <w:sz w:val="21"/>
                      <w:szCs w:val="22"/>
                      <w:lang w:val="en-US" w:eastAsia="en-US" w:bidi="ar-SA"/>
                    </w:rPr>
                    <w:t>新、改、扩建项目新增大气污染物</w:t>
                  </w:r>
                  <w:r>
                    <w:rPr>
                      <w:rFonts w:hint="eastAsia" w:ascii="Times New Roman" w:hAnsi="Times New Roman" w:eastAsia="宋体" w:cs="宋体"/>
                      <w:color w:val="auto"/>
                      <w:spacing w:val="1"/>
                      <w:kern w:val="2"/>
                      <w:sz w:val="21"/>
                      <w:szCs w:val="22"/>
                      <w:lang w:val="en-US" w:eastAsia="zh-CN" w:bidi="ar-SA"/>
                    </w:rPr>
                    <w:t>（</w:t>
                  </w:r>
                  <w:r>
                    <w:rPr>
                      <w:rFonts w:ascii="Times New Roman" w:hAnsi="Times New Roman" w:eastAsia="宋体" w:cs="宋体"/>
                      <w:color w:val="auto"/>
                      <w:spacing w:val="6"/>
                      <w:kern w:val="2"/>
                      <w:sz w:val="21"/>
                      <w:szCs w:val="22"/>
                      <w:lang w:val="en-US" w:eastAsia="en-US" w:bidi="ar-SA"/>
                    </w:rPr>
                    <w:t>现阶段指</w:t>
                  </w:r>
                  <w:r>
                    <w:rPr>
                      <w:rFonts w:ascii="Times New Roman" w:hAnsi="Times New Roman" w:eastAsia="宋体" w:cs="宋体"/>
                      <w:color w:val="auto"/>
                      <w:kern w:val="2"/>
                      <w:sz w:val="21"/>
                      <w:szCs w:val="22"/>
                      <w:lang w:val="en-US" w:eastAsia="en-US" w:bidi="ar-SA"/>
                    </w:rPr>
                    <w:t>SO</w:t>
                  </w:r>
                  <w:r>
                    <w:rPr>
                      <w:rFonts w:ascii="Times New Roman" w:hAnsi="Times New Roman" w:eastAsia="宋体" w:cs="宋体"/>
                      <w:color w:val="auto"/>
                      <w:spacing w:val="6"/>
                      <w:kern w:val="2"/>
                      <w:sz w:val="21"/>
                      <w:szCs w:val="22"/>
                      <w:vertAlign w:val="subscript"/>
                      <w:lang w:val="en-US" w:eastAsia="en-US" w:bidi="ar-SA"/>
                    </w:rPr>
                    <w:t>2</w:t>
                  </w:r>
                  <w:r>
                    <w:rPr>
                      <w:rFonts w:ascii="Times New Roman" w:hAnsi="Times New Roman" w:eastAsia="宋体" w:cs="宋体"/>
                      <w:color w:val="auto"/>
                      <w:spacing w:val="6"/>
                      <w:kern w:val="2"/>
                      <w:sz w:val="21"/>
                      <w:szCs w:val="22"/>
                      <w:lang w:val="en-US" w:eastAsia="en-US" w:bidi="ar-SA"/>
                    </w:rPr>
                    <w:t>、</w:t>
                  </w:r>
                  <w:r>
                    <w:rPr>
                      <w:rFonts w:ascii="Times New Roman" w:hAnsi="Times New Roman" w:eastAsia="宋体" w:cs="宋体"/>
                      <w:color w:val="auto"/>
                      <w:kern w:val="2"/>
                      <w:sz w:val="21"/>
                      <w:szCs w:val="22"/>
                      <w:lang w:val="en-US" w:eastAsia="en-US" w:bidi="ar-SA"/>
                    </w:rPr>
                    <w:t>NO</w:t>
                  </w:r>
                  <w:r>
                    <w:rPr>
                      <w:rFonts w:ascii="Times New Roman" w:hAnsi="Times New Roman" w:eastAsia="宋体" w:cs="宋体"/>
                      <w:color w:val="auto"/>
                      <w:kern w:val="2"/>
                      <w:sz w:val="21"/>
                      <w:szCs w:val="22"/>
                      <w:vertAlign w:val="subscript"/>
                      <w:lang w:val="en-US" w:eastAsia="en-US" w:bidi="ar-SA"/>
                    </w:rPr>
                    <w:t>x</w:t>
                  </w:r>
                  <w:r>
                    <w:rPr>
                      <w:rFonts w:hint="eastAsia" w:ascii="Times New Roman" w:hAnsi="Times New Roman" w:eastAsia="宋体" w:cs="宋体"/>
                      <w:color w:val="auto"/>
                      <w:kern w:val="2"/>
                      <w:sz w:val="21"/>
                      <w:szCs w:val="22"/>
                      <w:vertAlign w:val="subscript"/>
                      <w:lang w:val="en-US" w:eastAsia="zh-CN" w:bidi="ar-SA"/>
                    </w:rPr>
                    <w:t>）</w:t>
                  </w:r>
                </w:p>
                <w:p w14:paraId="3CAF8A3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排放量实行1.5倍削减</w:t>
                  </w:r>
                  <w:r>
                    <w:rPr>
                      <w:rFonts w:ascii="Times New Roman" w:hAnsi="Times New Roman" w:eastAsia="宋体" w:cs="宋体"/>
                      <w:color w:val="auto"/>
                      <w:spacing w:val="3"/>
                      <w:kern w:val="2"/>
                      <w:sz w:val="21"/>
                      <w:szCs w:val="22"/>
                      <w:lang w:val="en-US" w:eastAsia="en-US" w:bidi="ar-SA"/>
                    </w:rPr>
                    <w:t>替代</w:t>
                  </w:r>
                  <w:r>
                    <w:rPr>
                      <w:rFonts w:hint="eastAsia" w:ascii="Times New Roman" w:hAnsi="Times New Roman" w:eastAsia="宋体" w:cs="宋体"/>
                      <w:color w:val="auto"/>
                      <w:spacing w:val="3"/>
                      <w:kern w:val="2"/>
                      <w:sz w:val="21"/>
                      <w:szCs w:val="22"/>
                      <w:lang w:val="en-US" w:eastAsia="zh-CN" w:bidi="ar-SA"/>
                    </w:rPr>
                    <w:t>（</w:t>
                  </w:r>
                  <w:r>
                    <w:rPr>
                      <w:rFonts w:ascii="Times New Roman" w:hAnsi="Times New Roman" w:eastAsia="宋体" w:cs="宋体"/>
                      <w:color w:val="auto"/>
                      <w:spacing w:val="3"/>
                      <w:kern w:val="2"/>
                      <w:sz w:val="21"/>
                      <w:szCs w:val="22"/>
                      <w:lang w:val="en-US" w:eastAsia="en-US" w:bidi="ar-SA"/>
                    </w:rPr>
                    <w:t>不含使用天然气、</w:t>
                  </w:r>
                  <w:r>
                    <w:rPr>
                      <w:rFonts w:ascii="Times New Roman" w:hAnsi="Times New Roman" w:eastAsia="宋体" w:cs="宋体"/>
                      <w:color w:val="auto"/>
                      <w:spacing w:val="-8"/>
                      <w:kern w:val="2"/>
                      <w:sz w:val="21"/>
                      <w:szCs w:val="22"/>
                      <w:lang w:val="en-US" w:eastAsia="en-US" w:bidi="ar-SA"/>
                    </w:rPr>
                    <w:t>液化石油气等作为燃料</w:t>
                  </w:r>
                  <w:r>
                    <w:rPr>
                      <w:rFonts w:ascii="Times New Roman" w:hAnsi="Times New Roman" w:eastAsia="宋体" w:cs="宋体"/>
                      <w:color w:val="auto"/>
                      <w:spacing w:val="-6"/>
                      <w:kern w:val="2"/>
                      <w:sz w:val="21"/>
                      <w:szCs w:val="22"/>
                      <w:lang w:val="en-US" w:eastAsia="en-US" w:bidi="ar-SA"/>
                    </w:rPr>
                    <w:t>的非火电锅炉和工业炉</w:t>
                  </w:r>
                  <w:r>
                    <w:rPr>
                      <w:rFonts w:ascii="Times New Roman" w:hAnsi="Times New Roman" w:eastAsia="宋体" w:cs="宋体"/>
                      <w:color w:val="auto"/>
                      <w:spacing w:val="-3"/>
                      <w:kern w:val="2"/>
                      <w:sz w:val="21"/>
                      <w:szCs w:val="22"/>
                      <w:lang w:val="en-US" w:eastAsia="en-US" w:bidi="ar-SA"/>
                    </w:rPr>
                    <w:t>窑</w:t>
                  </w:r>
                  <w:r>
                    <w:rPr>
                      <w:rFonts w:hint="eastAsia" w:ascii="Times New Roman" w:hAnsi="Times New Roman" w:eastAsia="宋体" w:cs="宋体"/>
                      <w:color w:val="auto"/>
                      <w:spacing w:val="-3"/>
                      <w:kern w:val="2"/>
                      <w:sz w:val="21"/>
                      <w:szCs w:val="22"/>
                      <w:lang w:val="en-US" w:eastAsia="zh-CN" w:bidi="ar-SA"/>
                    </w:rPr>
                    <w:t>）</w:t>
                  </w:r>
                  <w:r>
                    <w:rPr>
                      <w:rFonts w:ascii="Times New Roman" w:hAnsi="Times New Roman" w:eastAsia="宋体" w:cs="宋体"/>
                      <w:color w:val="auto"/>
                      <w:spacing w:val="-3"/>
                      <w:kern w:val="2"/>
                      <w:sz w:val="21"/>
                      <w:szCs w:val="22"/>
                      <w:lang w:val="en-US" w:eastAsia="en-US" w:bidi="ar-SA"/>
                    </w:rPr>
                    <w:t>。</w:t>
                  </w:r>
                </w:p>
                <w:p w14:paraId="1C3226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hint="eastAsia" w:ascii="Times New Roman" w:hAnsi="Times New Roman" w:eastAsia="宋体" w:cs="宋体"/>
                      <w:color w:val="auto"/>
                      <w:kern w:val="2"/>
                      <w:sz w:val="21"/>
                      <w:szCs w:val="22"/>
                      <w:lang w:val="en-US" w:eastAsia="zh-CN" w:bidi="ar-SA"/>
                    </w:rPr>
                    <w:t>2.</w:t>
                  </w:r>
                  <w:r>
                    <w:rPr>
                      <w:rFonts w:ascii="Times New Roman" w:hAnsi="Times New Roman" w:eastAsia="宋体" w:cs="宋体"/>
                      <w:color w:val="auto"/>
                      <w:kern w:val="2"/>
                      <w:sz w:val="21"/>
                      <w:szCs w:val="22"/>
                      <w:lang w:val="en-US" w:eastAsia="en-US" w:bidi="ar-SA"/>
                    </w:rPr>
                    <w:t>新、改、扩建项目新</w:t>
                  </w:r>
                  <w:r>
                    <w:rPr>
                      <w:rFonts w:ascii="Times New Roman" w:hAnsi="Times New Roman" w:eastAsia="宋体" w:cs="宋体"/>
                      <w:color w:val="auto"/>
                      <w:spacing w:val="-1"/>
                      <w:kern w:val="2"/>
                      <w:sz w:val="21"/>
                      <w:szCs w:val="22"/>
                      <w:lang w:val="en-US" w:eastAsia="en-US" w:bidi="ar-SA"/>
                    </w:rPr>
                    <w:t>增VOCs排放量实行倍</w:t>
                  </w:r>
                </w:p>
                <w:p w14:paraId="142D9A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kern w:val="2"/>
                      <w:sz w:val="21"/>
                      <w:szCs w:val="22"/>
                      <w:lang w:val="en-US" w:eastAsia="en-US" w:bidi="ar-SA"/>
                    </w:rPr>
                    <w:t>量削减替代。</w:t>
                  </w:r>
                </w:p>
                <w:p w14:paraId="4C5E8A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ascii="Times New Roman" w:hAnsi="Times New Roman" w:eastAsia="宋体" w:cs="宋体"/>
                      <w:color w:val="auto"/>
                      <w:kern w:val="2"/>
                      <w:sz w:val="21"/>
                      <w:szCs w:val="22"/>
                      <w:lang w:val="en-US" w:eastAsia="zh-CN" w:bidi="ar-SA"/>
                    </w:rPr>
                  </w:pPr>
                  <w:r>
                    <w:rPr>
                      <w:rFonts w:hint="eastAsia" w:ascii="Times New Roman" w:hAnsi="Times New Roman" w:eastAsia="宋体" w:cs="宋体"/>
                      <w:color w:val="auto"/>
                      <w:spacing w:val="1"/>
                      <w:kern w:val="2"/>
                      <w:sz w:val="21"/>
                      <w:szCs w:val="22"/>
                      <w:lang w:val="en-US" w:eastAsia="zh-CN" w:bidi="ar-SA"/>
                    </w:rPr>
                    <w:t>3.</w:t>
                  </w:r>
                  <w:r>
                    <w:rPr>
                      <w:rFonts w:ascii="Times New Roman" w:hAnsi="Times New Roman" w:eastAsia="宋体" w:cs="宋体"/>
                      <w:color w:val="auto"/>
                      <w:spacing w:val="1"/>
                      <w:kern w:val="2"/>
                      <w:sz w:val="21"/>
                      <w:szCs w:val="22"/>
                      <w:lang w:val="en-US" w:eastAsia="en-US" w:bidi="ar-SA"/>
                    </w:rPr>
                    <w:t>工业企业废水全部纳</w:t>
                  </w:r>
                  <w:r>
                    <w:rPr>
                      <w:rFonts w:ascii="Times New Roman" w:hAnsi="Times New Roman" w:eastAsia="宋体" w:cs="宋体"/>
                      <w:color w:val="auto"/>
                      <w:kern w:val="2"/>
                      <w:sz w:val="21"/>
                      <w:szCs w:val="22"/>
                      <w:lang w:val="en-US" w:eastAsia="en-US" w:bidi="ar-SA"/>
                    </w:rPr>
                    <w:t>管进入</w:t>
                  </w:r>
                  <w:r>
                    <w:rPr>
                      <w:rFonts w:hint="eastAsia" w:ascii="Times New Roman" w:hAnsi="Times New Roman" w:eastAsia="宋体" w:cs="宋体"/>
                      <w:color w:val="auto"/>
                      <w:kern w:val="2"/>
                      <w:sz w:val="21"/>
                      <w:szCs w:val="22"/>
                      <w:lang w:val="en-US" w:eastAsia="zh-CN" w:bidi="ar-SA"/>
                    </w:rPr>
                    <w:t>污水处理厂</w:t>
                  </w:r>
                  <w:r>
                    <w:rPr>
                      <w:rFonts w:ascii="Times New Roman" w:hAnsi="Times New Roman" w:eastAsia="宋体" w:cs="宋体"/>
                      <w:color w:val="auto"/>
                      <w:kern w:val="2"/>
                      <w:sz w:val="21"/>
                      <w:szCs w:val="22"/>
                      <w:lang w:val="en-US" w:eastAsia="en-US" w:bidi="ar-SA"/>
                    </w:rPr>
                    <w:t>集中处理</w:t>
                  </w:r>
                  <w:r>
                    <w:rPr>
                      <w:rFonts w:ascii="Times New Roman" w:hAnsi="Times New Roman" w:eastAsia="宋体" w:cs="宋体"/>
                      <w:color w:val="auto"/>
                      <w:spacing w:val="-1"/>
                      <w:kern w:val="2"/>
                      <w:sz w:val="21"/>
                      <w:szCs w:val="22"/>
                      <w:lang w:val="en-US" w:eastAsia="en-US" w:bidi="ar-SA"/>
                    </w:rPr>
                    <w:t>后达标排放。</w:t>
                  </w:r>
                </w:p>
              </w:tc>
              <w:tc>
                <w:tcPr>
                  <w:tcW w:w="2520" w:type="dxa"/>
                  <w:shd w:val="clear" w:color="auto" w:fill="auto"/>
                  <w:vAlign w:val="center"/>
                </w:tcPr>
                <w:p w14:paraId="09DCCE59">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1"/>
                      <w:kern w:val="2"/>
                      <w:sz w:val="21"/>
                      <w:szCs w:val="22"/>
                      <w:lang w:val="en-US" w:eastAsia="en-US" w:bidi="ar-SA"/>
                    </w:rPr>
                  </w:pPr>
                  <w:r>
                    <w:rPr>
                      <w:rFonts w:hint="eastAsia" w:ascii="Times New Roman" w:hAnsi="Times New Roman" w:eastAsia="宋体" w:cs="宋体"/>
                      <w:color w:val="auto"/>
                      <w:spacing w:val="1"/>
                      <w:kern w:val="2"/>
                      <w:sz w:val="21"/>
                      <w:szCs w:val="22"/>
                      <w:lang w:val="en-US" w:eastAsia="zh-CN" w:bidi="ar-SA"/>
                    </w:rPr>
                    <w:t>1.</w:t>
                  </w:r>
                  <w:r>
                    <w:rPr>
                      <w:rFonts w:ascii="Times New Roman" w:hAnsi="Times New Roman" w:eastAsia="宋体" w:cs="宋体"/>
                      <w:color w:val="auto"/>
                      <w:spacing w:val="1"/>
                      <w:kern w:val="2"/>
                      <w:sz w:val="21"/>
                      <w:szCs w:val="22"/>
                      <w:lang w:val="en-US" w:eastAsia="en-US" w:bidi="ar-SA"/>
                    </w:rPr>
                    <w:t>本项目新增大气污染物SO₂、NOx</w:t>
                  </w:r>
                  <w:r>
                    <w:rPr>
                      <w:rFonts w:hint="eastAsia" w:ascii="Times New Roman" w:hAnsi="Times New Roman" w:eastAsia="宋体" w:cs="宋体"/>
                      <w:color w:val="auto"/>
                      <w:spacing w:val="1"/>
                      <w:kern w:val="2"/>
                      <w:sz w:val="21"/>
                      <w:szCs w:val="22"/>
                      <w:lang w:val="en-US" w:eastAsia="zh-CN" w:bidi="ar-SA"/>
                    </w:rPr>
                    <w:t>，</w:t>
                  </w:r>
                  <w:r>
                    <w:rPr>
                      <w:rFonts w:ascii="Times New Roman" w:hAnsi="Times New Roman" w:eastAsia="宋体" w:cs="宋体"/>
                      <w:color w:val="auto"/>
                      <w:spacing w:val="1"/>
                      <w:kern w:val="2"/>
                      <w:sz w:val="21"/>
                      <w:szCs w:val="22"/>
                      <w:lang w:val="en-US" w:eastAsia="en-US" w:bidi="ar-SA"/>
                    </w:rPr>
                    <w:t>排放量实行1.5倍削减替代；</w:t>
                  </w:r>
                </w:p>
                <w:p w14:paraId="12ED604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1"/>
                      <w:kern w:val="2"/>
                      <w:sz w:val="21"/>
                      <w:szCs w:val="22"/>
                      <w:lang w:val="en-US" w:eastAsia="zh-CN" w:bidi="ar-SA"/>
                    </w:rPr>
                  </w:pPr>
                  <w:r>
                    <w:rPr>
                      <w:rFonts w:hint="eastAsia" w:ascii="Times New Roman" w:hAnsi="Times New Roman" w:eastAsia="宋体" w:cs="宋体"/>
                      <w:color w:val="auto"/>
                      <w:spacing w:val="1"/>
                      <w:kern w:val="2"/>
                      <w:sz w:val="21"/>
                      <w:szCs w:val="22"/>
                      <w:lang w:val="en-US" w:eastAsia="zh-CN" w:bidi="ar-SA"/>
                    </w:rPr>
                    <w:t>2.</w:t>
                  </w:r>
                  <w:r>
                    <w:rPr>
                      <w:rFonts w:ascii="Times New Roman" w:hAnsi="Times New Roman" w:eastAsia="宋体" w:cs="宋体"/>
                      <w:color w:val="auto"/>
                      <w:spacing w:val="1"/>
                      <w:kern w:val="2"/>
                      <w:sz w:val="21"/>
                      <w:szCs w:val="22"/>
                      <w:lang w:val="en-US" w:eastAsia="en-US" w:bidi="ar-SA"/>
                    </w:rPr>
                    <w:t>本项目新增VOCs排放量</w:t>
                  </w:r>
                  <w:r>
                    <w:rPr>
                      <w:rFonts w:ascii="Times New Roman" w:hAnsi="Times New Roman" w:eastAsia="宋体" w:cs="宋体"/>
                      <w:color w:val="auto"/>
                      <w:spacing w:val="-1"/>
                      <w:kern w:val="2"/>
                      <w:sz w:val="21"/>
                      <w:szCs w:val="22"/>
                      <w:lang w:val="en-US" w:eastAsia="en-US" w:bidi="ar-SA"/>
                    </w:rPr>
                    <w:t>实行倍</w:t>
                  </w:r>
                  <w:r>
                    <w:rPr>
                      <w:rFonts w:ascii="Times New Roman" w:hAnsi="Times New Roman" w:eastAsia="宋体" w:cs="宋体"/>
                      <w:color w:val="auto"/>
                      <w:kern w:val="2"/>
                      <w:sz w:val="21"/>
                      <w:szCs w:val="22"/>
                      <w:lang w:val="en-US" w:eastAsia="en-US" w:bidi="ar-SA"/>
                    </w:rPr>
                    <w:t>量削减替代</w:t>
                  </w:r>
                  <w:r>
                    <w:rPr>
                      <w:rFonts w:hint="eastAsia" w:ascii="Times New Roman" w:hAnsi="Times New Roman" w:eastAsia="宋体" w:cs="宋体"/>
                      <w:color w:val="auto"/>
                      <w:kern w:val="2"/>
                      <w:sz w:val="21"/>
                      <w:szCs w:val="22"/>
                      <w:lang w:val="en-US" w:eastAsia="zh-CN" w:bidi="ar-SA"/>
                    </w:rPr>
                    <w:t>。</w:t>
                  </w:r>
                </w:p>
                <w:p w14:paraId="7FFE59D0">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1"/>
                      <w:kern w:val="2"/>
                      <w:sz w:val="21"/>
                      <w:szCs w:val="22"/>
                      <w:lang w:val="en-US" w:eastAsia="en-US" w:bidi="ar-SA"/>
                    </w:rPr>
                  </w:pPr>
                  <w:r>
                    <w:rPr>
                      <w:rFonts w:hint="eastAsia" w:ascii="Times New Roman" w:hAnsi="Times New Roman" w:eastAsia="宋体" w:cs="宋体"/>
                      <w:color w:val="auto"/>
                      <w:spacing w:val="1"/>
                      <w:kern w:val="2"/>
                      <w:sz w:val="21"/>
                      <w:szCs w:val="22"/>
                      <w:lang w:val="en-US" w:eastAsia="zh-CN" w:bidi="ar-SA"/>
                    </w:rPr>
                    <w:t>3.</w:t>
                  </w:r>
                  <w:r>
                    <w:rPr>
                      <w:rFonts w:ascii="Times New Roman" w:hAnsi="Times New Roman" w:eastAsia="宋体" w:cs="宋体"/>
                      <w:color w:val="auto"/>
                      <w:spacing w:val="1"/>
                      <w:kern w:val="2"/>
                      <w:sz w:val="21"/>
                      <w:szCs w:val="22"/>
                      <w:lang w:val="en-US" w:eastAsia="en-US" w:bidi="ar-SA"/>
                    </w:rPr>
                    <w:t>本项目生产废水</w:t>
                  </w:r>
                  <w:r>
                    <w:rPr>
                      <w:rFonts w:hint="eastAsia" w:ascii="Times New Roman" w:hAnsi="Times New Roman" w:eastAsia="宋体" w:cs="宋体"/>
                      <w:color w:val="auto"/>
                      <w:spacing w:val="1"/>
                      <w:kern w:val="2"/>
                      <w:sz w:val="21"/>
                      <w:szCs w:val="22"/>
                      <w:lang w:val="en-US" w:eastAsia="zh-CN" w:bidi="ar-SA"/>
                    </w:rPr>
                    <w:t>经</w:t>
                  </w:r>
                  <w:r>
                    <w:rPr>
                      <w:rFonts w:hint="eastAsia" w:cs="宋体"/>
                      <w:color w:val="auto"/>
                      <w:spacing w:val="1"/>
                      <w:kern w:val="2"/>
                      <w:sz w:val="21"/>
                      <w:szCs w:val="22"/>
                      <w:lang w:val="en-US" w:eastAsia="zh-CN" w:bidi="ar-SA"/>
                    </w:rPr>
                    <w:t>废水处理设施</w:t>
                  </w:r>
                  <w:r>
                    <w:rPr>
                      <w:rFonts w:hint="eastAsia" w:ascii="Times New Roman" w:hAnsi="Times New Roman" w:eastAsia="宋体" w:cs="宋体"/>
                      <w:color w:val="auto"/>
                      <w:spacing w:val="1"/>
                      <w:kern w:val="2"/>
                      <w:sz w:val="21"/>
                      <w:szCs w:val="22"/>
                      <w:lang w:val="en-US" w:eastAsia="zh-CN" w:bidi="ar-SA"/>
                    </w:rPr>
                    <w:t>处理达标后经过污水管网送往福清市第二污水处理厂；</w:t>
                  </w:r>
                  <w:r>
                    <w:rPr>
                      <w:rFonts w:ascii="Times New Roman" w:hAnsi="Times New Roman" w:eastAsia="宋体" w:cs="宋体"/>
                      <w:color w:val="auto"/>
                      <w:spacing w:val="1"/>
                      <w:kern w:val="2"/>
                      <w:sz w:val="21"/>
                      <w:szCs w:val="22"/>
                      <w:lang w:val="en-US" w:eastAsia="en-US" w:bidi="ar-SA"/>
                    </w:rPr>
                    <w:t>生活污水依托现有已建的化粪池处理后经污</w:t>
                  </w:r>
                </w:p>
                <w:p w14:paraId="55D00E8F">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1"/>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水管网送往福清市第二</w:t>
                  </w:r>
                </w:p>
                <w:p w14:paraId="5B56AFBE">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spacing w:val="1"/>
                      <w:kern w:val="2"/>
                      <w:sz w:val="21"/>
                      <w:szCs w:val="22"/>
                      <w:lang w:val="en-US" w:eastAsia="zh-CN" w:bidi="ar-SA"/>
                    </w:rPr>
                  </w:pPr>
                  <w:r>
                    <w:rPr>
                      <w:rFonts w:hint="eastAsia" w:ascii="Times New Roman" w:hAnsi="Times New Roman" w:eastAsia="宋体" w:cs="宋体"/>
                      <w:color w:val="auto"/>
                      <w:spacing w:val="1"/>
                      <w:kern w:val="2"/>
                      <w:sz w:val="21"/>
                      <w:szCs w:val="22"/>
                      <w:lang w:val="en-US" w:eastAsia="zh-CN" w:bidi="ar-SA"/>
                    </w:rPr>
                    <w:t>污水处理厂集中处理。</w:t>
                  </w:r>
                </w:p>
              </w:tc>
              <w:tc>
                <w:tcPr>
                  <w:tcW w:w="1119" w:type="dxa"/>
                  <w:shd w:val="clear" w:color="auto" w:fill="auto"/>
                  <w:vAlign w:val="center"/>
                </w:tcPr>
                <w:p w14:paraId="1003778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符合</w:t>
                  </w:r>
                </w:p>
              </w:tc>
            </w:tr>
          </w:tbl>
          <w:p w14:paraId="1A731A5A">
            <w:pPr>
              <w:keepNext/>
              <w:keepLines/>
              <w:pageBreakBefore w:val="0"/>
              <w:widowControl w:val="0"/>
              <w:numPr>
                <w:ilvl w:val="7"/>
                <w:numId w:val="1"/>
              </w:numPr>
              <w:kinsoku/>
              <w:wordWrap/>
              <w:overflowPunct/>
              <w:topLinePunct w:val="0"/>
              <w:autoSpaceDE/>
              <w:autoSpaceDN/>
              <w:bidi w:val="0"/>
              <w:adjustRightInd/>
              <w:snapToGrid/>
              <w:spacing w:before="157" w:beforeLines="50" w:after="0" w:line="240" w:lineRule="auto"/>
              <w:ind w:left="420" w:leftChars="0" w:firstLine="0" w:firstLineChars="0"/>
              <w:jc w:val="center"/>
              <w:textAlignment w:val="auto"/>
              <w:rPr>
                <w:rFonts w:hint="eastAsia"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Times New Roman"/>
                <w:b/>
                <w:bCs/>
                <w:color w:val="auto"/>
                <w:kern w:val="2"/>
                <w:sz w:val="24"/>
                <w:szCs w:val="21"/>
                <w:highlight w:val="none"/>
                <w:lang w:val="en-US" w:eastAsia="zh-CN" w:bidi="ar-SA"/>
              </w:rPr>
              <w:t>审查意见符合性分析对照表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95"/>
              <w:gridCol w:w="2189"/>
              <w:gridCol w:w="713"/>
            </w:tblGrid>
            <w:tr w14:paraId="43F1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5" w:type="dxa"/>
                  <w:gridSpan w:val="2"/>
                  <w:shd w:val="clear" w:color="auto" w:fill="auto"/>
                  <w:vAlign w:val="center"/>
                </w:tcPr>
                <w:p w14:paraId="2CDECCB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b/>
                      <w:bCs/>
                      <w:color w:val="auto"/>
                      <w:spacing w:val="-4"/>
                      <w:kern w:val="2"/>
                      <w:sz w:val="21"/>
                      <w:szCs w:val="22"/>
                      <w:lang w:val="en-US" w:eastAsia="en-US" w:bidi="ar-SA"/>
                    </w:rPr>
                    <w:t>关于《福清融侨经济技术开发区总体</w:t>
                  </w:r>
                </w:p>
                <w:p w14:paraId="6A57A2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b/>
                      <w:bCs/>
                      <w:color w:val="auto"/>
                      <w:spacing w:val="-3"/>
                      <w:kern w:val="2"/>
                      <w:sz w:val="21"/>
                      <w:szCs w:val="22"/>
                      <w:lang w:val="en-US" w:eastAsia="en-US" w:bidi="ar-SA"/>
                    </w:rPr>
                    <w:t>规划</w:t>
                  </w:r>
                  <w:r>
                    <w:rPr>
                      <w:rFonts w:hint="eastAsia" w:ascii="Times New Roman" w:hAnsi="Times New Roman" w:eastAsia="宋体" w:cs="宋体"/>
                      <w:b/>
                      <w:bCs/>
                      <w:color w:val="auto"/>
                      <w:spacing w:val="-3"/>
                      <w:kern w:val="2"/>
                      <w:sz w:val="21"/>
                      <w:szCs w:val="22"/>
                      <w:lang w:val="en-US" w:eastAsia="zh-CN" w:bidi="ar-SA"/>
                    </w:rPr>
                    <w:t>（</w:t>
                  </w:r>
                  <w:r>
                    <w:rPr>
                      <w:rFonts w:ascii="Times New Roman" w:hAnsi="Times New Roman" w:eastAsia="宋体" w:cs="宋体"/>
                      <w:b/>
                      <w:bCs/>
                      <w:color w:val="auto"/>
                      <w:spacing w:val="-3"/>
                      <w:kern w:val="2"/>
                      <w:sz w:val="21"/>
                      <w:szCs w:val="22"/>
                      <w:lang w:val="en-US" w:eastAsia="en-US" w:bidi="ar-SA"/>
                    </w:rPr>
                    <w:t>2018</w:t>
                  </w:r>
                  <w:r>
                    <w:rPr>
                      <w:rFonts w:hint="eastAsia" w:ascii="Times New Roman" w:hAnsi="Times New Roman" w:eastAsia="宋体" w:cs="宋体"/>
                      <w:b/>
                      <w:bCs/>
                      <w:color w:val="auto"/>
                      <w:spacing w:val="-3"/>
                      <w:kern w:val="2"/>
                      <w:sz w:val="21"/>
                      <w:szCs w:val="22"/>
                      <w:lang w:val="en-US" w:eastAsia="zh-CN" w:bidi="ar-SA"/>
                    </w:rPr>
                    <w:t>—</w:t>
                  </w:r>
                  <w:r>
                    <w:rPr>
                      <w:rFonts w:ascii="Times New Roman" w:hAnsi="Times New Roman" w:eastAsia="宋体" w:cs="宋体"/>
                      <w:b/>
                      <w:bCs/>
                      <w:color w:val="auto"/>
                      <w:spacing w:val="-3"/>
                      <w:kern w:val="2"/>
                      <w:sz w:val="21"/>
                      <w:szCs w:val="22"/>
                      <w:lang w:val="en-US" w:eastAsia="en-US" w:bidi="ar-SA"/>
                    </w:rPr>
                    <w:t>2035年</w:t>
                  </w:r>
                  <w:r>
                    <w:rPr>
                      <w:rFonts w:hint="eastAsia" w:ascii="Times New Roman" w:hAnsi="Times New Roman" w:eastAsia="宋体" w:cs="宋体"/>
                      <w:b/>
                      <w:bCs/>
                      <w:color w:val="auto"/>
                      <w:spacing w:val="-3"/>
                      <w:kern w:val="2"/>
                      <w:sz w:val="21"/>
                      <w:szCs w:val="22"/>
                      <w:lang w:val="en-US" w:eastAsia="zh-CN" w:bidi="ar-SA"/>
                    </w:rPr>
                    <w:t>）</w:t>
                  </w:r>
                  <w:r>
                    <w:rPr>
                      <w:rFonts w:ascii="Times New Roman" w:hAnsi="Times New Roman" w:eastAsia="宋体" w:cs="宋体"/>
                      <w:b/>
                      <w:bCs/>
                      <w:color w:val="auto"/>
                      <w:spacing w:val="-3"/>
                      <w:kern w:val="2"/>
                      <w:sz w:val="21"/>
                      <w:szCs w:val="22"/>
                      <w:lang w:val="en-US" w:eastAsia="en-US" w:bidi="ar-SA"/>
                    </w:rPr>
                    <w:t>环境影响报告</w:t>
                  </w:r>
                </w:p>
                <w:p w14:paraId="238C9F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b/>
                      <w:bCs/>
                      <w:color w:val="auto"/>
                      <w:spacing w:val="-1"/>
                      <w:kern w:val="2"/>
                      <w:sz w:val="21"/>
                      <w:szCs w:val="22"/>
                      <w:lang w:val="en-US" w:eastAsia="en-US" w:bidi="ar-SA"/>
                    </w:rPr>
                    <w:t>书》的审查意见</w:t>
                  </w:r>
                  <w:r>
                    <w:rPr>
                      <w:rFonts w:hint="eastAsia" w:ascii="Times New Roman" w:hAnsi="Times New Roman" w:eastAsia="宋体" w:cs="宋体"/>
                      <w:b/>
                      <w:bCs/>
                      <w:color w:val="auto"/>
                      <w:spacing w:val="-1"/>
                      <w:kern w:val="2"/>
                      <w:sz w:val="21"/>
                      <w:szCs w:val="22"/>
                      <w:lang w:val="en-US" w:eastAsia="zh-CN" w:bidi="ar-SA"/>
                    </w:rPr>
                    <w:t>（</w:t>
                  </w:r>
                  <w:r>
                    <w:rPr>
                      <w:rFonts w:ascii="Times New Roman" w:hAnsi="Times New Roman" w:eastAsia="宋体" w:cs="宋体"/>
                      <w:b/>
                      <w:bCs/>
                      <w:color w:val="auto"/>
                      <w:spacing w:val="-1"/>
                      <w:kern w:val="2"/>
                      <w:sz w:val="21"/>
                      <w:szCs w:val="22"/>
                      <w:lang w:val="en-US" w:eastAsia="en-US" w:bidi="ar-SA"/>
                    </w:rPr>
                    <w:t>环审</w:t>
                  </w:r>
                  <w:r>
                    <w:rPr>
                      <w:rFonts w:hint="eastAsia" w:ascii="Times New Roman" w:hAnsi="Times New Roman" w:eastAsia="宋体" w:cs="宋体"/>
                      <w:b/>
                      <w:bCs/>
                      <w:color w:val="auto"/>
                      <w:spacing w:val="-1"/>
                      <w:kern w:val="2"/>
                      <w:sz w:val="21"/>
                      <w:szCs w:val="22"/>
                      <w:lang w:val="en-US" w:eastAsia="zh-CN" w:bidi="ar-SA"/>
                    </w:rPr>
                    <w:t>〔2020〕80号）</w:t>
                  </w:r>
                </w:p>
                <w:p w14:paraId="23F505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1"/>
                      <w:kern w:val="2"/>
                      <w:sz w:val="21"/>
                      <w:szCs w:val="22"/>
                      <w:lang w:val="en-US" w:eastAsia="en-US" w:bidi="ar-SA"/>
                    </w:rPr>
                  </w:pPr>
                  <w:r>
                    <w:rPr>
                      <w:rFonts w:ascii="Times New Roman" w:hAnsi="Times New Roman" w:eastAsia="宋体" w:cs="宋体"/>
                      <w:b/>
                      <w:bCs/>
                      <w:color w:val="auto"/>
                      <w:spacing w:val="-5"/>
                      <w:kern w:val="2"/>
                      <w:sz w:val="21"/>
                      <w:szCs w:val="22"/>
                      <w:lang w:val="en-US" w:eastAsia="en-US" w:bidi="ar-SA"/>
                    </w:rPr>
                    <w:t>摘录</w:t>
                  </w:r>
                </w:p>
              </w:tc>
              <w:tc>
                <w:tcPr>
                  <w:tcW w:w="2189" w:type="dxa"/>
                  <w:shd w:val="clear" w:color="auto" w:fill="auto"/>
                  <w:vAlign w:val="center"/>
                </w:tcPr>
                <w:p w14:paraId="0AA4B39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宋体"/>
                      <w:color w:val="auto"/>
                      <w:spacing w:val="-7"/>
                      <w:kern w:val="2"/>
                      <w:sz w:val="21"/>
                      <w:szCs w:val="22"/>
                      <w:lang w:val="en-US" w:eastAsia="en-US" w:bidi="ar-SA"/>
                    </w:rPr>
                  </w:pPr>
                  <w:r>
                    <w:rPr>
                      <w:rFonts w:ascii="Times New Roman" w:hAnsi="Times New Roman" w:eastAsia="宋体" w:cs="宋体"/>
                      <w:b/>
                      <w:bCs/>
                      <w:color w:val="auto"/>
                      <w:spacing w:val="-5"/>
                      <w:kern w:val="2"/>
                      <w:sz w:val="21"/>
                      <w:szCs w:val="28"/>
                      <w:lang w:val="en-US" w:eastAsia="en-US" w:bidi="ar-SA"/>
                    </w:rPr>
                    <w:t>本项目情况</w:t>
                  </w:r>
                </w:p>
              </w:tc>
              <w:tc>
                <w:tcPr>
                  <w:tcW w:w="713" w:type="dxa"/>
                  <w:vAlign w:val="center"/>
                </w:tcPr>
                <w:p w14:paraId="056EC74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cs="宋体"/>
                      <w:color w:val="auto"/>
                      <w:spacing w:val="-3"/>
                      <w:kern w:val="2"/>
                      <w:sz w:val="21"/>
                      <w:szCs w:val="22"/>
                      <w:lang w:val="en-US" w:eastAsia="en-US" w:bidi="ar-SA"/>
                    </w:rPr>
                  </w:pPr>
                  <w:r>
                    <w:rPr>
                      <w:rFonts w:ascii="Times New Roman" w:hAnsi="Times New Roman" w:eastAsia="宋体" w:cs="宋体"/>
                      <w:b/>
                      <w:bCs/>
                      <w:color w:val="auto"/>
                      <w:spacing w:val="-8"/>
                      <w:kern w:val="2"/>
                      <w:sz w:val="21"/>
                      <w:szCs w:val="22"/>
                      <w:lang w:val="en-US" w:eastAsia="en-US" w:bidi="ar-SA"/>
                    </w:rPr>
                    <w:t>符合</w:t>
                  </w:r>
                  <w:r>
                    <w:rPr>
                      <w:rFonts w:ascii="Times New Roman" w:hAnsi="Times New Roman" w:eastAsia="宋体" w:cs="宋体"/>
                      <w:b/>
                      <w:bCs/>
                      <w:color w:val="auto"/>
                      <w:spacing w:val="-3"/>
                      <w:kern w:val="2"/>
                      <w:sz w:val="21"/>
                      <w:szCs w:val="22"/>
                      <w:lang w:val="en-US" w:eastAsia="en-US" w:bidi="ar-SA"/>
                    </w:rPr>
                    <w:t>性</w:t>
                  </w:r>
                </w:p>
              </w:tc>
            </w:tr>
            <w:tr w14:paraId="1ED8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shd w:val="clear" w:color="auto" w:fill="auto"/>
                  <w:vAlign w:val="center"/>
                </w:tcPr>
                <w:p w14:paraId="0198FB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2"/>
                      <w:kern w:val="2"/>
                      <w:sz w:val="21"/>
                      <w:szCs w:val="22"/>
                      <w:lang w:val="en-US" w:eastAsia="en-US" w:bidi="ar-SA"/>
                    </w:rPr>
                    <w:t>坚持绿色</w:t>
                  </w:r>
                  <w:r>
                    <w:rPr>
                      <w:rFonts w:ascii="Times New Roman" w:hAnsi="Times New Roman" w:eastAsia="宋体" w:cs="宋体"/>
                      <w:color w:val="auto"/>
                      <w:spacing w:val="18"/>
                      <w:kern w:val="2"/>
                      <w:sz w:val="21"/>
                      <w:szCs w:val="22"/>
                      <w:lang w:val="en-US" w:eastAsia="en-US" w:bidi="ar-SA"/>
                    </w:rPr>
                    <w:t>发展和协</w:t>
                  </w:r>
                  <w:r>
                    <w:rPr>
                      <w:rFonts w:ascii="Times New Roman" w:hAnsi="Times New Roman" w:eastAsia="宋体" w:cs="宋体"/>
                      <w:color w:val="auto"/>
                      <w:spacing w:val="12"/>
                      <w:kern w:val="2"/>
                      <w:sz w:val="21"/>
                      <w:szCs w:val="22"/>
                      <w:lang w:val="en-US" w:eastAsia="en-US" w:bidi="ar-SA"/>
                    </w:rPr>
                    <w:t>调发展理</w:t>
                  </w:r>
                  <w:r>
                    <w:rPr>
                      <w:rFonts w:ascii="Times New Roman" w:hAnsi="Times New Roman" w:eastAsia="宋体" w:cs="宋体"/>
                      <w:color w:val="auto"/>
                      <w:spacing w:val="-2"/>
                      <w:kern w:val="2"/>
                      <w:sz w:val="21"/>
                      <w:szCs w:val="22"/>
                      <w:lang w:val="en-US" w:eastAsia="en-US" w:bidi="ar-SA"/>
                    </w:rPr>
                    <w:t>念，加强规</w:t>
                  </w:r>
                  <w:r>
                    <w:rPr>
                      <w:rFonts w:ascii="Times New Roman" w:hAnsi="Times New Roman" w:eastAsia="宋体" w:cs="宋体"/>
                      <w:color w:val="auto"/>
                      <w:spacing w:val="28"/>
                      <w:kern w:val="2"/>
                      <w:sz w:val="21"/>
                      <w:szCs w:val="22"/>
                      <w:lang w:val="en-US" w:eastAsia="en-US" w:bidi="ar-SA"/>
                    </w:rPr>
                    <w:t>划引导</w:t>
                  </w:r>
                </w:p>
              </w:tc>
              <w:tc>
                <w:tcPr>
                  <w:tcW w:w="2195" w:type="dxa"/>
                  <w:shd w:val="clear" w:color="auto" w:fill="auto"/>
                  <w:vAlign w:val="center"/>
                </w:tcPr>
                <w:p w14:paraId="386A9F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1"/>
                      <w:kern w:val="2"/>
                      <w:sz w:val="21"/>
                      <w:szCs w:val="22"/>
                      <w:lang w:val="en-US" w:eastAsia="en-US" w:bidi="ar-SA"/>
                    </w:rPr>
                    <w:t>进一步优化《规划》范</w:t>
                  </w:r>
                  <w:r>
                    <w:rPr>
                      <w:rFonts w:ascii="Times New Roman" w:hAnsi="Times New Roman" w:eastAsia="宋体" w:cs="宋体"/>
                      <w:color w:val="auto"/>
                      <w:spacing w:val="3"/>
                      <w:kern w:val="2"/>
                      <w:sz w:val="21"/>
                      <w:szCs w:val="22"/>
                      <w:lang w:val="en-US" w:eastAsia="en-US" w:bidi="ar-SA"/>
                    </w:rPr>
                    <w:t>围、布局、发展规模和</w:t>
                  </w:r>
                  <w:r>
                    <w:rPr>
                      <w:rFonts w:ascii="Times New Roman" w:hAnsi="Times New Roman" w:eastAsia="宋体" w:cs="宋体"/>
                      <w:color w:val="auto"/>
                      <w:spacing w:val="2"/>
                      <w:kern w:val="2"/>
                      <w:sz w:val="21"/>
                      <w:szCs w:val="22"/>
                      <w:lang w:val="en-US" w:eastAsia="en-US" w:bidi="ar-SA"/>
                    </w:rPr>
                    <w:t>产业结构等，做好与省</w:t>
                  </w:r>
                  <w:r>
                    <w:rPr>
                      <w:rFonts w:ascii="Times New Roman" w:hAnsi="Times New Roman" w:eastAsia="宋体" w:cs="宋体"/>
                      <w:color w:val="auto"/>
                      <w:spacing w:val="1"/>
                      <w:kern w:val="2"/>
                      <w:sz w:val="21"/>
                      <w:szCs w:val="22"/>
                      <w:lang w:val="en-US" w:eastAsia="en-US" w:bidi="ar-SA"/>
                    </w:rPr>
                    <w:t>市国土空间规划和“三</w:t>
                  </w:r>
                  <w:r>
                    <w:rPr>
                      <w:rFonts w:ascii="Times New Roman" w:hAnsi="Times New Roman" w:eastAsia="宋体" w:cs="宋体"/>
                      <w:color w:val="auto"/>
                      <w:spacing w:val="-2"/>
                      <w:kern w:val="2"/>
                      <w:sz w:val="21"/>
                      <w:szCs w:val="22"/>
                      <w:lang w:val="en-US" w:eastAsia="en-US" w:bidi="ar-SA"/>
                    </w:rPr>
                    <w:t>线一单”的协调衔接</w:t>
                  </w:r>
                </w:p>
              </w:tc>
              <w:tc>
                <w:tcPr>
                  <w:tcW w:w="2189" w:type="dxa"/>
                  <w:shd w:val="clear" w:color="auto" w:fill="auto"/>
                  <w:vAlign w:val="center"/>
                </w:tcPr>
                <w:p w14:paraId="5288ECF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项目位于福清融侨经</w:t>
                  </w:r>
                </w:p>
                <w:p w14:paraId="27EC694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0"/>
                      <w:kern w:val="2"/>
                      <w:sz w:val="21"/>
                      <w:szCs w:val="22"/>
                      <w:lang w:val="en-US" w:eastAsia="en-US" w:bidi="ar-SA"/>
                    </w:rPr>
                    <w:t>济开发区范围内，项目</w:t>
                  </w:r>
                </w:p>
                <w:p w14:paraId="12F4A0D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7"/>
                      <w:kern w:val="2"/>
                      <w:sz w:val="21"/>
                      <w:szCs w:val="22"/>
                      <w:lang w:val="en-US" w:eastAsia="en-US" w:bidi="ar-SA"/>
                    </w:rPr>
                    <w:t>符合园区产业发展定位，符合国土空间规划</w:t>
                  </w:r>
                  <w:r>
                    <w:rPr>
                      <w:rFonts w:ascii="Times New Roman" w:hAnsi="Times New Roman" w:eastAsia="宋体" w:cs="宋体"/>
                      <w:color w:val="auto"/>
                      <w:spacing w:val="1"/>
                      <w:kern w:val="2"/>
                      <w:sz w:val="21"/>
                      <w:szCs w:val="22"/>
                      <w:lang w:val="en-US" w:eastAsia="en-US" w:bidi="ar-SA"/>
                    </w:rPr>
                    <w:t>和“三线一单”要求。</w:t>
                  </w:r>
                </w:p>
              </w:tc>
              <w:tc>
                <w:tcPr>
                  <w:tcW w:w="713" w:type="dxa"/>
                  <w:vAlign w:val="center"/>
                </w:tcPr>
                <w:p w14:paraId="2849F6C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符合</w:t>
                  </w:r>
                </w:p>
              </w:tc>
            </w:tr>
            <w:tr w14:paraId="63A2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shd w:val="clear" w:color="auto" w:fill="auto"/>
                  <w:vAlign w:val="center"/>
                </w:tcPr>
                <w:p w14:paraId="13836A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着力推动开发区结</w:t>
                  </w:r>
                  <w:r>
                    <w:rPr>
                      <w:rFonts w:ascii="Times New Roman" w:hAnsi="Times New Roman" w:eastAsia="宋体" w:cs="宋体"/>
                      <w:color w:val="auto"/>
                      <w:spacing w:val="4"/>
                      <w:kern w:val="2"/>
                      <w:sz w:val="21"/>
                      <w:szCs w:val="22"/>
                      <w:lang w:val="en-US" w:eastAsia="en-US" w:bidi="ar-SA"/>
                    </w:rPr>
                    <w:t>构调整和</w:t>
                  </w:r>
                  <w:r>
                    <w:rPr>
                      <w:rFonts w:ascii="Times New Roman" w:hAnsi="Times New Roman" w:eastAsia="宋体" w:cs="宋体"/>
                      <w:color w:val="auto"/>
                      <w:spacing w:val="3"/>
                      <w:kern w:val="2"/>
                      <w:sz w:val="21"/>
                      <w:szCs w:val="22"/>
                      <w:lang w:val="en-US" w:eastAsia="en-US" w:bidi="ar-SA"/>
                    </w:rPr>
                    <w:t>转型升级</w:t>
                  </w:r>
                </w:p>
              </w:tc>
              <w:tc>
                <w:tcPr>
                  <w:tcW w:w="2195" w:type="dxa"/>
                  <w:shd w:val="clear" w:color="auto" w:fill="auto"/>
                  <w:vAlign w:val="center"/>
                </w:tcPr>
                <w:p w14:paraId="5483D2F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落实《报告书》提出的</w:t>
                  </w:r>
                  <w:r>
                    <w:rPr>
                      <w:rFonts w:ascii="Times New Roman" w:hAnsi="Times New Roman" w:eastAsia="宋体" w:cs="宋体"/>
                      <w:color w:val="auto"/>
                      <w:spacing w:val="-2"/>
                      <w:kern w:val="2"/>
                      <w:sz w:val="21"/>
                      <w:szCs w:val="22"/>
                      <w:lang w:val="en-US" w:eastAsia="en-US" w:bidi="ar-SA"/>
                    </w:rPr>
                    <w:t>现有重污染企业和用地</w:t>
                  </w:r>
                  <w:r>
                    <w:rPr>
                      <w:rFonts w:ascii="Times New Roman" w:hAnsi="Times New Roman" w:eastAsia="宋体" w:cs="宋体"/>
                      <w:color w:val="auto"/>
                      <w:kern w:val="2"/>
                      <w:sz w:val="21"/>
                      <w:szCs w:val="22"/>
                      <w:lang w:val="en-US" w:eastAsia="en-US" w:bidi="ar-SA"/>
                    </w:rPr>
                    <w:t>布局不合理企业的搬</w:t>
                  </w:r>
                  <w:r>
                    <w:rPr>
                      <w:rFonts w:ascii="Times New Roman" w:hAnsi="Times New Roman" w:eastAsia="宋体" w:cs="宋体"/>
                      <w:color w:val="auto"/>
                      <w:spacing w:val="-1"/>
                      <w:kern w:val="2"/>
                      <w:sz w:val="21"/>
                      <w:szCs w:val="22"/>
                      <w:lang w:val="en-US" w:eastAsia="en-US" w:bidi="ar-SA"/>
                    </w:rPr>
                    <w:t>迁、淘汰进度，强化拟</w:t>
                  </w:r>
                  <w:r>
                    <w:rPr>
                      <w:rFonts w:ascii="Times New Roman" w:hAnsi="Times New Roman" w:eastAsia="宋体" w:cs="宋体"/>
                      <w:color w:val="auto"/>
                      <w:spacing w:val="2"/>
                      <w:kern w:val="2"/>
                      <w:sz w:val="21"/>
                      <w:szCs w:val="22"/>
                      <w:lang w:val="en-US" w:eastAsia="en-US" w:bidi="ar-SA"/>
                    </w:rPr>
                    <w:t>退出污染企业存续期间</w:t>
                  </w:r>
                  <w:r>
                    <w:rPr>
                      <w:rFonts w:ascii="Times New Roman" w:hAnsi="Times New Roman" w:eastAsia="宋体" w:cs="宋体"/>
                      <w:color w:val="auto"/>
                      <w:spacing w:val="5"/>
                      <w:kern w:val="2"/>
                      <w:sz w:val="21"/>
                      <w:szCs w:val="22"/>
                      <w:lang w:val="en-US" w:eastAsia="en-US" w:bidi="ar-SA"/>
                    </w:rPr>
                    <w:t>环境管控和风险防控，</w:t>
                  </w:r>
                  <w:r>
                    <w:rPr>
                      <w:rFonts w:ascii="Times New Roman" w:hAnsi="Times New Roman" w:eastAsia="宋体" w:cs="宋体"/>
                      <w:color w:val="auto"/>
                      <w:spacing w:val="-1"/>
                      <w:kern w:val="2"/>
                      <w:sz w:val="21"/>
                      <w:szCs w:val="22"/>
                      <w:lang w:val="en-US" w:eastAsia="en-US" w:bidi="ar-SA"/>
                    </w:rPr>
                    <w:t>合理安排重污染企业腾</w:t>
                  </w:r>
                  <w:r>
                    <w:rPr>
                      <w:rFonts w:ascii="Times New Roman" w:hAnsi="Times New Roman" w:eastAsia="宋体" w:cs="宋体"/>
                      <w:color w:val="auto"/>
                      <w:spacing w:val="1"/>
                      <w:kern w:val="2"/>
                      <w:sz w:val="21"/>
                      <w:szCs w:val="22"/>
                      <w:lang w:val="en-US" w:eastAsia="en-US" w:bidi="ar-SA"/>
                    </w:rPr>
                    <w:t>退及周边土地开发时</w:t>
                  </w:r>
                </w:p>
                <w:p w14:paraId="4C649D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序，促进开发区</w:t>
                  </w:r>
                  <w:r>
                    <w:rPr>
                      <w:rFonts w:ascii="Times New Roman" w:hAnsi="Times New Roman" w:eastAsia="宋体" w:cs="宋体"/>
                      <w:color w:val="auto"/>
                      <w:spacing w:val="-1"/>
                      <w:kern w:val="2"/>
                      <w:sz w:val="21"/>
                      <w:szCs w:val="22"/>
                      <w:lang w:val="en-US" w:eastAsia="en-US" w:bidi="ar-SA"/>
                    </w:rPr>
                    <w:t>产业转型升级与生态环境保护、人居环境安全</w:t>
                  </w:r>
                  <w:r>
                    <w:rPr>
                      <w:rFonts w:ascii="Times New Roman" w:hAnsi="Times New Roman" w:eastAsia="宋体" w:cs="宋体"/>
                      <w:color w:val="auto"/>
                      <w:kern w:val="2"/>
                      <w:sz w:val="21"/>
                      <w:szCs w:val="22"/>
                      <w:lang w:val="en-US" w:eastAsia="en-US" w:bidi="ar-SA"/>
                    </w:rPr>
                    <w:t>相协调。</w:t>
                  </w:r>
                </w:p>
              </w:tc>
              <w:tc>
                <w:tcPr>
                  <w:tcW w:w="2189" w:type="dxa"/>
                  <w:shd w:val="clear" w:color="auto" w:fill="auto"/>
                  <w:vAlign w:val="center"/>
                </w:tcPr>
                <w:p w14:paraId="6AB1F1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本项目不属于规划环</w:t>
                  </w:r>
                </w:p>
                <w:p w14:paraId="4A0684E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评报告书提出的“搬</w:t>
                  </w:r>
                </w:p>
                <w:p w14:paraId="4844ABD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1"/>
                      <w:kern w:val="2"/>
                      <w:sz w:val="21"/>
                      <w:szCs w:val="22"/>
                      <w:lang w:val="en-US" w:eastAsia="en-US" w:bidi="ar-SA"/>
                    </w:rPr>
                    <w:t>迁、淘汰”项目。</w:t>
                  </w:r>
                </w:p>
              </w:tc>
              <w:tc>
                <w:tcPr>
                  <w:tcW w:w="713" w:type="dxa"/>
                  <w:vAlign w:val="center"/>
                </w:tcPr>
                <w:p w14:paraId="663E73E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符合</w:t>
                  </w:r>
                </w:p>
              </w:tc>
            </w:tr>
            <w:tr w14:paraId="3BD7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shd w:val="clear" w:color="auto" w:fill="auto"/>
                  <w:vAlign w:val="center"/>
                </w:tcPr>
                <w:p w14:paraId="7273D59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5"/>
                      <w:kern w:val="2"/>
                      <w:sz w:val="21"/>
                      <w:szCs w:val="22"/>
                      <w:lang w:val="en-US" w:eastAsia="en-US" w:bidi="ar-SA"/>
                    </w:rPr>
                    <w:t>严格空间</w:t>
                  </w:r>
                </w:p>
                <w:p w14:paraId="39FE91E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管控，优化</w:t>
                  </w:r>
                </w:p>
                <w:p w14:paraId="501207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5"/>
                      <w:kern w:val="2"/>
                      <w:sz w:val="21"/>
                      <w:szCs w:val="22"/>
                      <w:lang w:val="en-US" w:eastAsia="en-US" w:bidi="ar-SA"/>
                    </w:rPr>
                    <w:t>区内空间</w:t>
                  </w:r>
                </w:p>
                <w:p w14:paraId="2D865EC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9"/>
                      <w:kern w:val="2"/>
                      <w:sz w:val="21"/>
                      <w:szCs w:val="22"/>
                      <w:lang w:val="en-US" w:eastAsia="en-US" w:bidi="ar-SA"/>
                    </w:rPr>
                    <w:t>布局</w:t>
                  </w:r>
                </w:p>
              </w:tc>
              <w:tc>
                <w:tcPr>
                  <w:tcW w:w="2195" w:type="dxa"/>
                  <w:shd w:val="clear" w:color="auto" w:fill="auto"/>
                  <w:vAlign w:val="center"/>
                </w:tcPr>
                <w:p w14:paraId="713635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w:t>
                  </w:r>
                  <w:r>
                    <w:rPr>
                      <w:rFonts w:hint="eastAsia" w:ascii="Times New Roman" w:hAnsi="Times New Roman" w:eastAsia="宋体" w:cs="宋体"/>
                      <w:color w:val="auto"/>
                      <w:spacing w:val="1"/>
                      <w:kern w:val="2"/>
                      <w:sz w:val="21"/>
                      <w:szCs w:val="22"/>
                      <w:lang w:val="en-US" w:eastAsia="zh-CN" w:bidi="ar-SA"/>
                    </w:rPr>
                    <w:t>，</w:t>
                  </w:r>
                  <w:r>
                    <w:rPr>
                      <w:rFonts w:ascii="Times New Roman" w:hAnsi="Times New Roman" w:eastAsia="宋体" w:cs="宋体"/>
                      <w:color w:val="auto"/>
                      <w:spacing w:val="1"/>
                      <w:kern w:val="2"/>
                      <w:sz w:val="21"/>
                      <w:szCs w:val="22"/>
                      <w:lang w:val="en-US" w:eastAsia="en-US" w:bidi="ar-SA"/>
                    </w:rPr>
                    <w:t>进一步优化园区</w:t>
                  </w:r>
                </w:p>
                <w:p w14:paraId="37E858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kern w:val="2"/>
                      <w:sz w:val="21"/>
                      <w:szCs w:val="22"/>
                      <w:lang w:val="en-US" w:eastAsia="en-US" w:bidi="ar-SA"/>
                    </w:rPr>
                    <w:t>范围和空间布局，避让</w:t>
                  </w:r>
                  <w:r>
                    <w:rPr>
                      <w:rFonts w:ascii="Times New Roman" w:hAnsi="Times New Roman" w:eastAsia="宋体" w:cs="宋体"/>
                      <w:color w:val="auto"/>
                      <w:spacing w:val="4"/>
                      <w:kern w:val="2"/>
                      <w:sz w:val="21"/>
                      <w:szCs w:val="22"/>
                      <w:lang w:val="en-US" w:eastAsia="en-US" w:bidi="ar-SA"/>
                    </w:rPr>
                    <w:t>永久基本农田</w:t>
                  </w:r>
                </w:p>
              </w:tc>
              <w:tc>
                <w:tcPr>
                  <w:tcW w:w="2189" w:type="dxa"/>
                  <w:shd w:val="clear" w:color="auto" w:fill="auto"/>
                  <w:vAlign w:val="center"/>
                </w:tcPr>
                <w:p w14:paraId="041B542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1"/>
                      <w:kern w:val="2"/>
                      <w:sz w:val="21"/>
                      <w:szCs w:val="22"/>
                      <w:lang w:val="en-US" w:eastAsia="en-US" w:bidi="ar-SA"/>
                    </w:rPr>
                    <w:t>项目位于</w:t>
                  </w:r>
                  <w:r>
                    <w:rPr>
                      <w:rFonts w:hint="eastAsia" w:ascii="Times New Roman" w:hAnsi="Times New Roman" w:eastAsia="宋体" w:cs="宋体"/>
                      <w:color w:val="auto"/>
                      <w:spacing w:val="1"/>
                      <w:kern w:val="2"/>
                      <w:sz w:val="21"/>
                      <w:szCs w:val="22"/>
                      <w:lang w:val="en-US" w:eastAsia="zh-CN" w:bidi="ar-SA"/>
                    </w:rPr>
                    <w:t>福州鼎力机械有限公司</w:t>
                  </w:r>
                  <w:r>
                    <w:rPr>
                      <w:rFonts w:ascii="Times New Roman" w:hAnsi="Times New Roman" w:eastAsia="宋体" w:cs="宋体"/>
                      <w:color w:val="auto"/>
                      <w:spacing w:val="1"/>
                      <w:kern w:val="2"/>
                      <w:sz w:val="21"/>
                      <w:szCs w:val="22"/>
                      <w:lang w:val="en-US" w:eastAsia="en-US" w:bidi="ar-SA"/>
                    </w:rPr>
                    <w:t>现有厂房，不涉及永久基本农田</w:t>
                  </w:r>
                </w:p>
              </w:tc>
              <w:tc>
                <w:tcPr>
                  <w:tcW w:w="713" w:type="dxa"/>
                  <w:vAlign w:val="center"/>
                </w:tcPr>
                <w:p w14:paraId="3F64613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符合</w:t>
                  </w:r>
                </w:p>
              </w:tc>
            </w:tr>
            <w:tr w14:paraId="1896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shd w:val="clear" w:color="auto" w:fill="auto"/>
                  <w:vAlign w:val="center"/>
                </w:tcPr>
                <w:p w14:paraId="535D6BB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3"/>
                      <w:kern w:val="2"/>
                      <w:sz w:val="21"/>
                      <w:szCs w:val="22"/>
                      <w:lang w:val="en-US" w:eastAsia="en-US" w:bidi="ar-SA"/>
                    </w:rPr>
                    <w:t>严守环境</w:t>
                  </w:r>
                  <w:r>
                    <w:rPr>
                      <w:rFonts w:ascii="Times New Roman" w:hAnsi="Times New Roman" w:eastAsia="宋体" w:cs="宋体"/>
                      <w:color w:val="auto"/>
                      <w:spacing w:val="-1"/>
                      <w:kern w:val="2"/>
                      <w:sz w:val="21"/>
                      <w:szCs w:val="22"/>
                      <w:lang w:val="en-US" w:eastAsia="en-US" w:bidi="ar-SA"/>
                    </w:rPr>
                    <w:t>质量底线，</w:t>
                  </w:r>
                  <w:r>
                    <w:rPr>
                      <w:rFonts w:ascii="Times New Roman" w:hAnsi="Times New Roman" w:eastAsia="宋体" w:cs="宋体"/>
                      <w:color w:val="auto"/>
                      <w:spacing w:val="14"/>
                      <w:kern w:val="2"/>
                      <w:sz w:val="21"/>
                      <w:szCs w:val="22"/>
                      <w:lang w:val="en-US" w:eastAsia="en-US" w:bidi="ar-SA"/>
                    </w:rPr>
                    <w:t>强化污染</w:t>
                  </w:r>
                </w:p>
                <w:p w14:paraId="71AA59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4"/>
                      <w:kern w:val="2"/>
                      <w:sz w:val="21"/>
                      <w:szCs w:val="22"/>
                      <w:lang w:val="en-US" w:eastAsia="en-US" w:bidi="ar-SA"/>
                    </w:rPr>
                    <w:t>物排放总</w:t>
                  </w:r>
                  <w:r>
                    <w:rPr>
                      <w:rFonts w:ascii="Times New Roman" w:hAnsi="Times New Roman" w:eastAsia="宋体" w:cs="宋体"/>
                      <w:color w:val="auto"/>
                      <w:spacing w:val="-2"/>
                      <w:kern w:val="2"/>
                      <w:sz w:val="21"/>
                      <w:szCs w:val="22"/>
                      <w:lang w:val="en-US" w:eastAsia="en-US" w:bidi="ar-SA"/>
                    </w:rPr>
                    <w:t>量管控</w:t>
                  </w:r>
                </w:p>
              </w:tc>
              <w:tc>
                <w:tcPr>
                  <w:tcW w:w="2195" w:type="dxa"/>
                  <w:shd w:val="clear" w:color="auto" w:fill="auto"/>
                  <w:vAlign w:val="center"/>
                </w:tcPr>
                <w:p w14:paraId="0E5E80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1"/>
                      <w:kern w:val="2"/>
                      <w:sz w:val="21"/>
                      <w:szCs w:val="22"/>
                      <w:lang w:val="en-US" w:eastAsia="en-US" w:bidi="ar-SA"/>
                    </w:rPr>
                    <w:t>……严格重金属总量管控。采取有效措施减少</w:t>
                  </w:r>
                  <w:r>
                    <w:rPr>
                      <w:rFonts w:ascii="Times New Roman" w:hAnsi="Times New Roman" w:eastAsia="宋体" w:cs="宋体"/>
                      <w:color w:val="auto"/>
                      <w:spacing w:val="-1"/>
                      <w:kern w:val="2"/>
                      <w:sz w:val="21"/>
                      <w:szCs w:val="22"/>
                      <w:lang w:val="en-US" w:eastAsia="en-US" w:bidi="ar-SA"/>
                    </w:rPr>
                    <w:t>主要污染物和特征污染物的排放量，确保区域环境质量持续改善、促进产业发展与城市发</w:t>
                  </w:r>
                  <w:r>
                    <w:rPr>
                      <w:rFonts w:ascii="Times New Roman" w:hAnsi="Times New Roman" w:eastAsia="宋体" w:cs="宋体"/>
                      <w:color w:val="auto"/>
                      <w:spacing w:val="1"/>
                      <w:kern w:val="2"/>
                      <w:sz w:val="21"/>
                      <w:szCs w:val="22"/>
                      <w:lang w:val="en-US" w:eastAsia="en-US" w:bidi="ar-SA"/>
                    </w:rPr>
                    <w:t>展、生态环境保护相协</w:t>
                  </w:r>
                  <w:r>
                    <w:rPr>
                      <w:rFonts w:ascii="Times New Roman" w:hAnsi="Times New Roman" w:eastAsia="宋体" w:cs="宋体"/>
                      <w:color w:val="auto"/>
                      <w:kern w:val="2"/>
                      <w:sz w:val="21"/>
                      <w:szCs w:val="22"/>
                      <w:lang w:val="en-US" w:eastAsia="en-US" w:bidi="ar-SA"/>
                    </w:rPr>
                    <w:t>调</w:t>
                  </w:r>
                </w:p>
              </w:tc>
              <w:tc>
                <w:tcPr>
                  <w:tcW w:w="2189" w:type="dxa"/>
                  <w:shd w:val="clear" w:color="auto" w:fill="auto"/>
                  <w:vAlign w:val="center"/>
                </w:tcPr>
                <w:p w14:paraId="18175C1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1"/>
                      <w:kern w:val="2"/>
                      <w:sz w:val="21"/>
                      <w:szCs w:val="22"/>
                      <w:lang w:val="en-US" w:eastAsia="en-US" w:bidi="ar-SA"/>
                    </w:rPr>
                    <w:t>项目工艺简单，不涉及</w:t>
                  </w:r>
                  <w:r>
                    <w:rPr>
                      <w:rFonts w:ascii="Times New Roman" w:hAnsi="Times New Roman" w:eastAsia="宋体" w:cs="宋体"/>
                      <w:color w:val="auto"/>
                      <w:spacing w:val="-3"/>
                      <w:kern w:val="2"/>
                      <w:sz w:val="21"/>
                      <w:szCs w:val="22"/>
                      <w:lang w:val="en-US" w:eastAsia="en-US" w:bidi="ar-SA"/>
                    </w:rPr>
                    <w:t>重金属排放，项目为轻污染类项目。废气排放</w:t>
                  </w:r>
                  <w:r>
                    <w:rPr>
                      <w:rFonts w:ascii="Times New Roman" w:hAnsi="Times New Roman" w:eastAsia="宋体" w:cs="宋体"/>
                      <w:color w:val="auto"/>
                      <w:kern w:val="2"/>
                      <w:sz w:val="21"/>
                      <w:szCs w:val="22"/>
                      <w:lang w:val="en-US" w:eastAsia="en-US" w:bidi="ar-SA"/>
                    </w:rPr>
                    <w:t>源强较低，对周边环境</w:t>
                  </w:r>
                  <w:r>
                    <w:rPr>
                      <w:rFonts w:ascii="Times New Roman" w:hAnsi="Times New Roman" w:eastAsia="宋体" w:cs="宋体"/>
                      <w:color w:val="auto"/>
                      <w:spacing w:val="-2"/>
                      <w:kern w:val="2"/>
                      <w:sz w:val="21"/>
                      <w:szCs w:val="22"/>
                      <w:lang w:val="en-US" w:eastAsia="en-US" w:bidi="ar-SA"/>
                    </w:rPr>
                    <w:t>影响小；项目厂区已实</w:t>
                  </w:r>
                  <w:r>
                    <w:rPr>
                      <w:rFonts w:ascii="Times New Roman" w:hAnsi="Times New Roman" w:eastAsia="宋体" w:cs="宋体"/>
                      <w:color w:val="auto"/>
                      <w:spacing w:val="3"/>
                      <w:kern w:val="2"/>
                      <w:sz w:val="21"/>
                      <w:szCs w:val="22"/>
                      <w:lang w:val="en-US" w:eastAsia="en-US" w:bidi="ar-SA"/>
                    </w:rPr>
                    <w:t>现“雨污分流”</w:t>
                  </w:r>
                  <w:r>
                    <w:rPr>
                      <w:rFonts w:hint="eastAsia" w:ascii="Times New Roman" w:hAnsi="Times New Roman" w:eastAsia="宋体" w:cs="宋体"/>
                      <w:color w:val="auto"/>
                      <w:spacing w:val="3"/>
                      <w:kern w:val="2"/>
                      <w:sz w:val="21"/>
                      <w:szCs w:val="22"/>
                      <w:lang w:val="en-US" w:eastAsia="zh-CN" w:bidi="ar-SA"/>
                    </w:rPr>
                    <w:t>，</w:t>
                  </w:r>
                  <w:r>
                    <w:rPr>
                      <w:rFonts w:ascii="Times New Roman" w:hAnsi="Times New Roman" w:eastAsia="宋体" w:cs="宋体"/>
                      <w:color w:val="auto"/>
                      <w:spacing w:val="3"/>
                      <w:kern w:val="2"/>
                      <w:sz w:val="21"/>
                      <w:szCs w:val="22"/>
                      <w:lang w:val="en-US" w:eastAsia="en-US" w:bidi="ar-SA"/>
                    </w:rPr>
                    <w:t>项目</w:t>
                  </w:r>
                </w:p>
                <w:p w14:paraId="2AA80A6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0"/>
                      <w:kern w:val="2"/>
                      <w:sz w:val="21"/>
                      <w:szCs w:val="22"/>
                      <w:lang w:val="en-US" w:eastAsia="en-US" w:bidi="ar-SA"/>
                    </w:rPr>
                    <w:t>生产废水</w:t>
                  </w:r>
                  <w:r>
                    <w:rPr>
                      <w:rFonts w:hint="eastAsia" w:ascii="Times New Roman" w:hAnsi="Times New Roman" w:eastAsia="宋体" w:cs="宋体"/>
                      <w:color w:val="auto"/>
                      <w:spacing w:val="-10"/>
                      <w:kern w:val="2"/>
                      <w:sz w:val="21"/>
                      <w:szCs w:val="22"/>
                      <w:lang w:val="en-US" w:eastAsia="zh-CN" w:bidi="ar-SA"/>
                    </w:rPr>
                    <w:t>经</w:t>
                  </w:r>
                  <w:r>
                    <w:rPr>
                      <w:rFonts w:hint="eastAsia" w:cs="宋体"/>
                      <w:color w:val="auto"/>
                      <w:spacing w:val="-10"/>
                      <w:kern w:val="2"/>
                      <w:sz w:val="21"/>
                      <w:szCs w:val="22"/>
                      <w:lang w:val="en-US" w:eastAsia="zh-CN" w:bidi="ar-SA"/>
                    </w:rPr>
                    <w:t>废水处理设施</w:t>
                  </w:r>
                  <w:r>
                    <w:rPr>
                      <w:rFonts w:hint="eastAsia" w:ascii="Times New Roman" w:hAnsi="Times New Roman" w:eastAsia="宋体" w:cs="宋体"/>
                      <w:color w:val="auto"/>
                      <w:spacing w:val="-10"/>
                      <w:kern w:val="2"/>
                      <w:sz w:val="21"/>
                      <w:szCs w:val="22"/>
                      <w:lang w:val="en-US" w:eastAsia="zh-CN" w:bidi="ar-SA"/>
                    </w:rPr>
                    <w:t>处理达标后接入污水管网送往福清市第二污水处理厂；</w:t>
                  </w:r>
                </w:p>
                <w:p w14:paraId="315DDF48">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生活污水依托现有已</w:t>
                  </w:r>
                </w:p>
                <w:p w14:paraId="41641AB2">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建的化粪池处理后经</w:t>
                  </w:r>
                </w:p>
                <w:p w14:paraId="75C64A14">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1"/>
                      <w:kern w:val="2"/>
                      <w:sz w:val="21"/>
                      <w:szCs w:val="22"/>
                      <w:lang w:val="en-US" w:eastAsia="en-US" w:bidi="ar-SA"/>
                    </w:rPr>
                    <w:t>污水管网送往福清市</w:t>
                  </w:r>
                </w:p>
                <w:p w14:paraId="356CC69D">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2"/>
                      <w:lang w:val="en-US" w:eastAsia="en-US" w:bidi="ar-SA"/>
                    </w:rPr>
                  </w:pPr>
                  <w:r>
                    <w:rPr>
                      <w:rFonts w:ascii="Times New Roman" w:hAnsi="Times New Roman" w:eastAsia="宋体" w:cs="宋体"/>
                      <w:color w:val="auto"/>
                      <w:spacing w:val="2"/>
                      <w:kern w:val="2"/>
                      <w:sz w:val="21"/>
                      <w:szCs w:val="22"/>
                      <w:lang w:val="en-US" w:eastAsia="en-US" w:bidi="ar-SA"/>
                    </w:rPr>
                    <w:t>第二污水处理厂集中</w:t>
                  </w:r>
                </w:p>
                <w:p w14:paraId="2748DCA8">
                  <w:pPr>
                    <w:keepNext w:val="0"/>
                    <w:keepLines w:val="0"/>
                    <w:pageBreakBefore w:val="0"/>
                    <w:widowControl w:val="0"/>
                    <w:shd w:val="clear"/>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kern w:val="2"/>
                      <w:sz w:val="21"/>
                      <w:szCs w:val="22"/>
                      <w:lang w:val="en-US" w:eastAsia="en-US" w:bidi="ar-SA"/>
                    </w:rPr>
                    <w:t>处理；项目不涉及重金</w:t>
                  </w:r>
                  <w:r>
                    <w:rPr>
                      <w:rFonts w:ascii="Times New Roman" w:hAnsi="Times New Roman" w:eastAsia="宋体" w:cs="宋体"/>
                      <w:color w:val="auto"/>
                      <w:spacing w:val="1"/>
                      <w:kern w:val="2"/>
                      <w:sz w:val="21"/>
                      <w:szCs w:val="22"/>
                      <w:lang w:val="en-US" w:eastAsia="en-US" w:bidi="ar-SA"/>
                    </w:rPr>
                    <w:t>属等污染物，项目将依</w:t>
                  </w:r>
                  <w:r>
                    <w:rPr>
                      <w:rFonts w:ascii="Times New Roman" w:hAnsi="Times New Roman" w:eastAsia="宋体" w:cs="宋体"/>
                      <w:color w:val="auto"/>
                      <w:spacing w:val="-2"/>
                      <w:kern w:val="2"/>
                      <w:sz w:val="21"/>
                      <w:szCs w:val="22"/>
                      <w:lang w:val="en-US" w:eastAsia="en-US" w:bidi="ar-SA"/>
                    </w:rPr>
                    <w:t>法依规做好一般工业</w:t>
                  </w:r>
                  <w:r>
                    <w:rPr>
                      <w:rFonts w:ascii="Times New Roman" w:hAnsi="Times New Roman" w:eastAsia="宋体" w:cs="宋体"/>
                      <w:color w:val="auto"/>
                      <w:spacing w:val="1"/>
                      <w:kern w:val="2"/>
                      <w:sz w:val="21"/>
                      <w:szCs w:val="22"/>
                      <w:lang w:val="en-US" w:eastAsia="en-US" w:bidi="ar-SA"/>
                    </w:rPr>
                    <w:t>固体废物和危险废物</w:t>
                  </w:r>
                  <w:r>
                    <w:rPr>
                      <w:rFonts w:ascii="Times New Roman" w:hAnsi="Times New Roman" w:eastAsia="宋体" w:cs="宋体"/>
                      <w:color w:val="auto"/>
                      <w:spacing w:val="-12"/>
                      <w:kern w:val="2"/>
                      <w:sz w:val="21"/>
                      <w:szCs w:val="22"/>
                      <w:lang w:val="en-US" w:eastAsia="en-US" w:bidi="ar-SA"/>
                    </w:rPr>
                    <w:t>的</w:t>
                  </w:r>
                  <w:r>
                    <w:rPr>
                      <w:rFonts w:ascii="Times New Roman" w:hAnsi="Times New Roman" w:eastAsia="宋体" w:cs="宋体"/>
                      <w:color w:val="auto"/>
                      <w:spacing w:val="-11"/>
                      <w:kern w:val="2"/>
                      <w:sz w:val="21"/>
                      <w:szCs w:val="22"/>
                      <w:lang w:val="en-US" w:eastAsia="en-US" w:bidi="ar-SA"/>
                    </w:rPr>
                    <w:t>分类收集、利用、</w:t>
                  </w:r>
                  <w:r>
                    <w:rPr>
                      <w:rFonts w:ascii="Times New Roman" w:hAnsi="Times New Roman" w:eastAsia="宋体" w:cs="宋体"/>
                      <w:color w:val="auto"/>
                      <w:spacing w:val="-10"/>
                      <w:kern w:val="2"/>
                      <w:sz w:val="21"/>
                      <w:szCs w:val="22"/>
                      <w:lang w:val="en-US" w:eastAsia="en-US" w:bidi="ar-SA"/>
                    </w:rPr>
                    <w:t>处</w:t>
                  </w:r>
                  <w:r>
                    <w:rPr>
                      <w:rFonts w:ascii="Times New Roman" w:hAnsi="Times New Roman" w:eastAsia="宋体" w:cs="宋体"/>
                      <w:color w:val="auto"/>
                      <w:kern w:val="2"/>
                      <w:sz w:val="21"/>
                      <w:szCs w:val="22"/>
                      <w:lang w:val="en-US" w:eastAsia="en-US" w:bidi="ar-SA"/>
                    </w:rPr>
                    <w:t>理处置工作。</w:t>
                  </w:r>
                </w:p>
              </w:tc>
              <w:tc>
                <w:tcPr>
                  <w:tcW w:w="713" w:type="dxa"/>
                  <w:vAlign w:val="center"/>
                </w:tcPr>
                <w:p w14:paraId="6ED2F7A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符合</w:t>
                  </w:r>
                </w:p>
              </w:tc>
            </w:tr>
            <w:tr w14:paraId="4C1B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shd w:val="clear" w:color="auto" w:fill="auto"/>
                  <w:vAlign w:val="center"/>
                </w:tcPr>
                <w:p w14:paraId="4A3FFE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4"/>
                      <w:kern w:val="2"/>
                      <w:sz w:val="21"/>
                      <w:szCs w:val="22"/>
                      <w:lang w:val="en-US" w:eastAsia="en-US" w:bidi="ar-SA"/>
                    </w:rPr>
                    <w:t>严格入区</w:t>
                  </w:r>
                  <w:r>
                    <w:rPr>
                      <w:rFonts w:ascii="Times New Roman" w:hAnsi="Times New Roman" w:eastAsia="宋体" w:cs="宋体"/>
                      <w:color w:val="auto"/>
                      <w:spacing w:val="40"/>
                      <w:kern w:val="2"/>
                      <w:sz w:val="21"/>
                      <w:szCs w:val="22"/>
                      <w:lang w:val="en-US" w:eastAsia="en-US" w:bidi="ar-SA"/>
                    </w:rPr>
                    <w:t>项目生态</w:t>
                  </w:r>
                  <w:r>
                    <w:rPr>
                      <w:rFonts w:ascii="Times New Roman" w:hAnsi="Times New Roman" w:eastAsia="宋体" w:cs="宋体"/>
                      <w:color w:val="auto"/>
                      <w:spacing w:val="-1"/>
                      <w:kern w:val="2"/>
                      <w:sz w:val="21"/>
                      <w:szCs w:val="22"/>
                      <w:lang w:val="en-US" w:eastAsia="en-US" w:bidi="ar-SA"/>
                    </w:rPr>
                    <w:t>环境准入，</w:t>
                  </w:r>
                  <w:r>
                    <w:rPr>
                      <w:rFonts w:ascii="Times New Roman" w:hAnsi="Times New Roman" w:eastAsia="宋体" w:cs="宋体"/>
                      <w:color w:val="auto"/>
                      <w:spacing w:val="21"/>
                      <w:kern w:val="2"/>
                      <w:sz w:val="21"/>
                      <w:szCs w:val="22"/>
                      <w:lang w:val="en-US" w:eastAsia="en-US" w:bidi="ar-SA"/>
                    </w:rPr>
                    <w:t>推动高质</w:t>
                  </w:r>
                  <w:r>
                    <w:rPr>
                      <w:rFonts w:ascii="Times New Roman" w:hAnsi="Times New Roman" w:eastAsia="宋体" w:cs="宋体"/>
                      <w:color w:val="auto"/>
                      <w:spacing w:val="4"/>
                      <w:kern w:val="2"/>
                      <w:sz w:val="21"/>
                      <w:szCs w:val="22"/>
                      <w:lang w:val="en-US" w:eastAsia="en-US" w:bidi="ar-SA"/>
                    </w:rPr>
                    <w:t>量发展</w:t>
                  </w:r>
                </w:p>
              </w:tc>
              <w:tc>
                <w:tcPr>
                  <w:tcW w:w="2195" w:type="dxa"/>
                  <w:shd w:val="clear" w:color="auto" w:fill="auto"/>
                  <w:vAlign w:val="center"/>
                </w:tcPr>
                <w:p w14:paraId="2C5F46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1"/>
                      <w:kern w:val="2"/>
                      <w:sz w:val="21"/>
                      <w:szCs w:val="22"/>
                      <w:lang w:val="en-US" w:eastAsia="en-US" w:bidi="ar-SA"/>
                    </w:rPr>
                    <w:t>落实《报告书》生态环境准入要求，强化现有及入区企业挥发性有机物排放控制，禁止新增排放涉重金属污染物</w:t>
                  </w:r>
                  <w:r>
                    <w:rPr>
                      <w:rFonts w:hint="eastAsia" w:ascii="Times New Roman" w:hAnsi="Times New Roman" w:eastAsia="宋体" w:cs="宋体"/>
                      <w:color w:val="auto"/>
                      <w:spacing w:val="1"/>
                      <w:kern w:val="2"/>
                      <w:sz w:val="21"/>
                      <w:szCs w:val="22"/>
                      <w:lang w:val="en-US" w:eastAsia="zh-CN" w:bidi="ar-SA"/>
                    </w:rPr>
                    <w:t>项目</w:t>
                  </w:r>
                  <w:r>
                    <w:rPr>
                      <w:rFonts w:ascii="Times New Roman" w:hAnsi="Times New Roman" w:eastAsia="宋体" w:cs="宋体"/>
                      <w:color w:val="auto"/>
                      <w:spacing w:val="1"/>
                      <w:kern w:val="2"/>
                      <w:sz w:val="21"/>
                      <w:szCs w:val="22"/>
                      <w:lang w:val="en-US" w:eastAsia="en-US" w:bidi="ar-SA"/>
                    </w:rPr>
                    <w:t>入区，禁止与主导产业不相关且污染物排放量大的项目入区。</w:t>
                  </w:r>
                </w:p>
              </w:tc>
              <w:tc>
                <w:tcPr>
                  <w:tcW w:w="2189" w:type="dxa"/>
                  <w:shd w:val="clear" w:color="auto" w:fill="auto"/>
                  <w:vAlign w:val="center"/>
                </w:tcPr>
                <w:p w14:paraId="67AED48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1"/>
                      <w:kern w:val="2"/>
                      <w:sz w:val="21"/>
                      <w:szCs w:val="22"/>
                      <w:lang w:val="en-US" w:eastAsia="en-US" w:bidi="ar-SA"/>
                    </w:rPr>
                    <w:t>项目符合园区产业规划，不属</w:t>
                  </w:r>
                  <w:r>
                    <w:rPr>
                      <w:rFonts w:hint="eastAsia" w:ascii="Times New Roman" w:hAnsi="Times New Roman" w:eastAsia="宋体" w:cs="宋体"/>
                      <w:color w:val="auto"/>
                      <w:spacing w:val="1"/>
                      <w:kern w:val="2"/>
                      <w:sz w:val="21"/>
                      <w:szCs w:val="22"/>
                      <w:lang w:val="en-US" w:eastAsia="zh-CN" w:bidi="ar-SA"/>
                    </w:rPr>
                    <w:t>于</w:t>
                  </w:r>
                  <w:r>
                    <w:rPr>
                      <w:rFonts w:ascii="Times New Roman" w:hAnsi="Times New Roman" w:eastAsia="宋体" w:cs="宋体"/>
                      <w:color w:val="auto"/>
                      <w:spacing w:val="1"/>
                      <w:kern w:val="2"/>
                      <w:sz w:val="21"/>
                      <w:szCs w:val="22"/>
                      <w:lang w:val="en-US" w:eastAsia="en-US" w:bidi="ar-SA"/>
                    </w:rPr>
                    <w:t>福州市环境总体规划</w:t>
                  </w:r>
                  <w:r>
                    <w:rPr>
                      <w:rFonts w:hint="eastAsia" w:ascii="Times New Roman" w:hAnsi="Times New Roman" w:eastAsia="宋体" w:cs="宋体"/>
                      <w:color w:val="auto"/>
                      <w:spacing w:val="1"/>
                      <w:kern w:val="2"/>
                      <w:sz w:val="21"/>
                      <w:szCs w:val="22"/>
                      <w:lang w:val="en-US" w:eastAsia="zh-CN" w:bidi="ar-SA"/>
                    </w:rPr>
                    <w:t>（</w:t>
                  </w:r>
                  <w:r>
                    <w:rPr>
                      <w:rFonts w:ascii="Times New Roman" w:hAnsi="Times New Roman" w:eastAsia="宋体" w:cs="宋体"/>
                      <w:color w:val="auto"/>
                      <w:spacing w:val="1"/>
                      <w:kern w:val="2"/>
                      <w:sz w:val="21"/>
                      <w:szCs w:val="22"/>
                      <w:lang w:val="en-US" w:eastAsia="en-US" w:bidi="ar-SA"/>
                    </w:rPr>
                    <w:t>2013-2030</w:t>
                  </w:r>
                  <w:r>
                    <w:rPr>
                      <w:rFonts w:hint="eastAsia" w:ascii="Times New Roman" w:hAnsi="Times New Roman" w:eastAsia="宋体" w:cs="宋体"/>
                      <w:color w:val="auto"/>
                      <w:spacing w:val="1"/>
                      <w:kern w:val="2"/>
                      <w:sz w:val="21"/>
                      <w:szCs w:val="22"/>
                      <w:lang w:val="en-US" w:eastAsia="zh-CN" w:bidi="ar-SA"/>
                    </w:rPr>
                    <w:t>）</w:t>
                  </w:r>
                  <w:r>
                    <w:rPr>
                      <w:rFonts w:ascii="Times New Roman" w:hAnsi="Times New Roman" w:eastAsia="宋体" w:cs="宋体"/>
                      <w:color w:val="auto"/>
                      <w:spacing w:val="1"/>
                      <w:kern w:val="2"/>
                      <w:sz w:val="21"/>
                      <w:szCs w:val="22"/>
                      <w:lang w:val="en-US" w:eastAsia="en-US" w:bidi="ar-SA"/>
                    </w:rPr>
                    <w:t>关于禁止大气污染型项目</w:t>
                  </w:r>
                  <w:r>
                    <w:rPr>
                      <w:rFonts w:hint="eastAsia" w:ascii="Times New Roman" w:hAnsi="Times New Roman" w:eastAsia="宋体" w:cs="宋体"/>
                      <w:color w:val="auto"/>
                      <w:spacing w:val="1"/>
                      <w:kern w:val="2"/>
                      <w:sz w:val="21"/>
                      <w:szCs w:val="22"/>
                      <w:lang w:val="en-US" w:eastAsia="zh-CN" w:bidi="ar-SA"/>
                    </w:rPr>
                    <w:t>。</w:t>
                  </w:r>
                </w:p>
              </w:tc>
              <w:tc>
                <w:tcPr>
                  <w:tcW w:w="713" w:type="dxa"/>
                  <w:vAlign w:val="center"/>
                </w:tcPr>
                <w:p w14:paraId="4D211DD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2"/>
                      <w:lang w:val="en-US" w:eastAsia="zh-CN" w:bidi="ar-SA"/>
                    </w:rPr>
                  </w:pPr>
                  <w:r>
                    <w:rPr>
                      <w:rFonts w:ascii="Times New Roman" w:hAnsi="Times New Roman" w:eastAsia="宋体" w:cs="宋体"/>
                      <w:color w:val="auto"/>
                      <w:spacing w:val="-3"/>
                      <w:kern w:val="2"/>
                      <w:sz w:val="21"/>
                      <w:szCs w:val="22"/>
                      <w:lang w:val="en-US" w:eastAsia="en-US" w:bidi="ar-SA"/>
                    </w:rPr>
                    <w:t>符合</w:t>
                  </w:r>
                </w:p>
              </w:tc>
            </w:tr>
          </w:tbl>
          <w:p w14:paraId="1E9D8AEB">
            <w:pPr>
              <w:pStyle w:val="46"/>
              <w:keepNext w:val="0"/>
              <w:keepLines w:val="0"/>
              <w:pageBreakBefore w:val="0"/>
              <w:widowControl w:val="0"/>
              <w:kinsoku/>
              <w:wordWrap/>
              <w:overflowPunct/>
              <w:topLinePunct w:val="0"/>
              <w:bidi w:val="0"/>
              <w:adjustRightInd/>
              <w:snapToGrid/>
              <w:ind w:firstLine="480" w:firstLineChars="200"/>
              <w:textAlignment w:val="auto"/>
              <w:rPr>
                <w:rFonts w:hint="eastAsia"/>
                <w:color w:val="auto"/>
                <w:sz w:val="24"/>
                <w:szCs w:val="24"/>
                <w:highlight w:val="none"/>
                <w:lang w:val="en-US" w:eastAsia="zh-CN"/>
              </w:rPr>
            </w:pPr>
          </w:p>
        </w:tc>
      </w:tr>
      <w:tr w14:paraId="0D8BB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87" w:hRule="atLeast"/>
          <w:jc w:val="center"/>
        </w:trPr>
        <w:tc>
          <w:tcPr>
            <w:tcW w:w="1372" w:type="dxa"/>
            <w:vAlign w:val="center"/>
          </w:tcPr>
          <w:p w14:paraId="4BCB7668">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7498" w:type="dxa"/>
            <w:gridSpan w:val="3"/>
            <w:vAlign w:val="center"/>
          </w:tcPr>
          <w:p w14:paraId="5A2A5B13">
            <w:pPr>
              <w:pStyle w:val="3"/>
              <w:bidi w:val="0"/>
              <w:rPr>
                <w:color w:val="auto"/>
              </w:rPr>
            </w:pPr>
            <w:r>
              <w:rPr>
                <w:rFonts w:hint="eastAsia"/>
                <w:color w:val="auto"/>
              </w:rPr>
              <w:t>产业政策</w:t>
            </w:r>
            <w:r>
              <w:rPr>
                <w:color w:val="auto"/>
              </w:rPr>
              <w:t>项目符合性分析</w:t>
            </w:r>
          </w:p>
          <w:p w14:paraId="1D33CFA4">
            <w:pPr>
              <w:spacing w:line="360" w:lineRule="auto"/>
              <w:ind w:firstLine="480" w:firstLineChars="200"/>
              <w:rPr>
                <w:color w:val="auto"/>
                <w:sz w:val="24"/>
                <w:highlight w:val="none"/>
              </w:rPr>
            </w:pPr>
            <w:r>
              <w:rPr>
                <w:color w:val="auto"/>
                <w:sz w:val="24"/>
                <w:highlight w:val="none"/>
              </w:rPr>
              <w:t>项目主要</w:t>
            </w:r>
            <w:r>
              <w:rPr>
                <w:color w:val="auto"/>
                <w:sz w:val="24"/>
                <w:highlight w:val="none"/>
                <w:shd w:val="clear"/>
              </w:rPr>
              <w:t>从事</w:t>
            </w:r>
            <w:r>
              <w:rPr>
                <w:rFonts w:hint="eastAsia"/>
                <w:color w:val="auto"/>
                <w:sz w:val="24"/>
                <w:highlight w:val="none"/>
                <w:shd w:val="clear"/>
                <w:lang w:eastAsia="zh-CN"/>
              </w:rPr>
              <w:t>汽车座椅骨架</w:t>
            </w:r>
            <w:r>
              <w:rPr>
                <w:color w:val="auto"/>
                <w:sz w:val="24"/>
                <w:highlight w:val="none"/>
              </w:rPr>
              <w:t>的加工生产，项目不属于《产业结构调整指导目录</w:t>
            </w:r>
            <w:r>
              <w:rPr>
                <w:rFonts w:hint="eastAsia"/>
                <w:color w:val="auto"/>
                <w:sz w:val="24"/>
                <w:highlight w:val="none"/>
                <w:lang w:eastAsia="zh-CN"/>
              </w:rPr>
              <w:t>（</w:t>
            </w:r>
            <w:r>
              <w:rPr>
                <w:color w:val="auto"/>
                <w:sz w:val="24"/>
                <w:highlight w:val="none"/>
              </w:rPr>
              <w:t>2024年本</w:t>
            </w:r>
            <w:r>
              <w:rPr>
                <w:rFonts w:hint="eastAsia"/>
                <w:color w:val="auto"/>
                <w:sz w:val="24"/>
                <w:highlight w:val="none"/>
                <w:lang w:eastAsia="zh-CN"/>
              </w:rPr>
              <w:t>）</w:t>
            </w:r>
            <w:r>
              <w:rPr>
                <w:color w:val="auto"/>
                <w:sz w:val="24"/>
                <w:highlight w:val="none"/>
              </w:rPr>
              <w:t>》中限制和淘汰类的项目，属于允许类</w:t>
            </w:r>
            <w:r>
              <w:rPr>
                <w:rFonts w:hint="eastAsia"/>
                <w:color w:val="auto"/>
                <w:sz w:val="24"/>
                <w:highlight w:val="none"/>
                <w:lang w:eastAsia="zh-CN"/>
              </w:rPr>
              <w:t>且</w:t>
            </w:r>
            <w:r>
              <w:rPr>
                <w:color w:val="auto"/>
                <w:sz w:val="24"/>
                <w:highlight w:val="none"/>
              </w:rPr>
              <w:t>该项目</w:t>
            </w:r>
            <w:r>
              <w:rPr>
                <w:color w:val="auto"/>
                <w:sz w:val="24"/>
                <w:highlight w:val="none"/>
                <w:shd w:val="clear"/>
              </w:rPr>
              <w:t>于202</w:t>
            </w:r>
            <w:r>
              <w:rPr>
                <w:rFonts w:hint="eastAsia"/>
                <w:color w:val="auto"/>
                <w:sz w:val="24"/>
                <w:highlight w:val="none"/>
                <w:shd w:val="clear"/>
                <w:lang w:val="en-US" w:eastAsia="zh-CN"/>
              </w:rPr>
              <w:t>5</w:t>
            </w:r>
            <w:r>
              <w:rPr>
                <w:color w:val="auto"/>
                <w:sz w:val="24"/>
                <w:highlight w:val="none"/>
                <w:shd w:val="clear"/>
              </w:rPr>
              <w:t>年</w:t>
            </w:r>
            <w:r>
              <w:rPr>
                <w:rFonts w:hint="eastAsia"/>
                <w:color w:val="auto"/>
                <w:sz w:val="24"/>
                <w:highlight w:val="none"/>
                <w:shd w:val="clear"/>
                <w:lang w:val="en-US" w:eastAsia="zh-CN"/>
              </w:rPr>
              <w:t>12</w:t>
            </w:r>
            <w:r>
              <w:rPr>
                <w:color w:val="auto"/>
                <w:sz w:val="24"/>
                <w:highlight w:val="none"/>
                <w:shd w:val="clear"/>
              </w:rPr>
              <w:t>月</w:t>
            </w:r>
            <w:r>
              <w:rPr>
                <w:rFonts w:hint="eastAsia"/>
                <w:color w:val="auto"/>
                <w:sz w:val="24"/>
                <w:highlight w:val="none"/>
                <w:shd w:val="clear"/>
                <w:lang w:val="en-US" w:eastAsia="zh-CN"/>
              </w:rPr>
              <w:t>31</w:t>
            </w:r>
            <w:r>
              <w:rPr>
                <w:color w:val="auto"/>
                <w:sz w:val="24"/>
                <w:highlight w:val="none"/>
                <w:shd w:val="clear"/>
              </w:rPr>
              <w:t>日通过了福清市发展和改革局的备案</w:t>
            </w:r>
            <w:r>
              <w:rPr>
                <w:rFonts w:hint="eastAsia"/>
                <w:color w:val="auto"/>
                <w:sz w:val="24"/>
                <w:highlight w:val="none"/>
                <w:shd w:val="clear"/>
                <w:lang w:eastAsia="zh-CN"/>
              </w:rPr>
              <w:t>（闽发改备[2025]A060497号</w:t>
            </w:r>
            <w:r>
              <w:rPr>
                <w:color w:val="auto"/>
                <w:sz w:val="24"/>
                <w:highlight w:val="none"/>
                <w:shd w:val="clear"/>
              </w:rPr>
              <w:t>，详见附件</w:t>
            </w:r>
            <w:r>
              <w:rPr>
                <w:rFonts w:hint="eastAsia"/>
                <w:color w:val="auto"/>
                <w:sz w:val="24"/>
                <w:highlight w:val="none"/>
                <w:shd w:val="clear"/>
                <w:lang w:val="en-US" w:eastAsia="zh-CN"/>
              </w:rPr>
              <w:t>2），</w:t>
            </w:r>
            <w:r>
              <w:rPr>
                <w:color w:val="auto"/>
                <w:sz w:val="24"/>
                <w:highlight w:val="none"/>
              </w:rPr>
              <w:t>因此项目的建设内容符合当前国家和地方的产业政策。</w:t>
            </w:r>
          </w:p>
          <w:p w14:paraId="13BE6F29">
            <w:pPr>
              <w:pStyle w:val="3"/>
              <w:bidi w:val="0"/>
              <w:rPr>
                <w:color w:val="auto"/>
              </w:rPr>
            </w:pPr>
            <w:r>
              <w:rPr>
                <w:color w:val="auto"/>
              </w:rPr>
              <w:t>与城市土地利用规划符合性分析</w:t>
            </w:r>
          </w:p>
          <w:p w14:paraId="0192ABC3">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ascii="Times New Roman" w:hAnsi="Times New Roman"/>
                <w:color w:val="auto"/>
                <w:sz w:val="24"/>
                <w:szCs w:val="24"/>
              </w:rPr>
            </w:pPr>
            <w:r>
              <w:rPr>
                <w:rFonts w:hint="default" w:ascii="Times New Roman" w:hAnsi="Times New Roman"/>
                <w:color w:val="auto"/>
                <w:sz w:val="24"/>
                <w:szCs w:val="24"/>
                <w:lang w:val="en-US" w:eastAsia="zh-CN"/>
              </w:rPr>
              <w:t>本项目位于福建省福州市福清市镜洋镇工业区，租赁福州鼎力机械有限公司铸造车间1号。根据《关于规范融侨开发区工业企业准入产业的函》，融侨开发区辖区跨</w:t>
            </w:r>
            <w:r>
              <w:rPr>
                <w:rFonts w:hint="eastAsia" w:ascii="Times New Roman" w:hAnsi="Times New Roman"/>
                <w:color w:val="auto"/>
                <w:sz w:val="24"/>
                <w:szCs w:val="24"/>
                <w:lang w:val="en-US" w:eastAsia="zh-CN"/>
              </w:rPr>
              <w:t>“</w:t>
            </w:r>
            <w:r>
              <w:rPr>
                <w:rFonts w:hint="default" w:ascii="Times New Roman" w:hAnsi="Times New Roman"/>
                <w:color w:val="auto"/>
                <w:sz w:val="24"/>
                <w:szCs w:val="24"/>
                <w:lang w:val="en-US" w:eastAsia="zh-CN"/>
              </w:rPr>
              <w:t>四街一镇</w:t>
            </w:r>
            <w:r>
              <w:rPr>
                <w:rFonts w:hint="eastAsia" w:ascii="Times New Roman" w:hAnsi="Times New Roman"/>
                <w:color w:val="auto"/>
                <w:sz w:val="24"/>
                <w:szCs w:val="24"/>
                <w:lang w:val="en-US" w:eastAsia="zh-CN"/>
              </w:rPr>
              <w:t>”</w:t>
            </w:r>
            <w:r>
              <w:rPr>
                <w:rFonts w:hint="default" w:ascii="Times New Roman" w:hAnsi="Times New Roman"/>
                <w:color w:val="auto"/>
                <w:sz w:val="24"/>
                <w:szCs w:val="24"/>
                <w:lang w:val="en-US" w:eastAsia="zh-CN"/>
              </w:rPr>
              <w:t>（音西街道、宏路街道、石竹街道、阳下街道、镜洋镇），镜洋镇已纳入福清融侨经济开发区管理（托管）。</w:t>
            </w:r>
          </w:p>
          <w:p w14:paraId="54416459">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olor w:val="auto"/>
                <w:sz w:val="24"/>
                <w:szCs w:val="24"/>
              </w:rPr>
            </w:pPr>
            <w:r>
              <w:rPr>
                <w:rFonts w:hint="default" w:ascii="Times New Roman" w:hAnsi="Times New Roman"/>
                <w:color w:val="auto"/>
                <w:sz w:val="24"/>
                <w:szCs w:val="24"/>
                <w:lang w:val="en-US" w:eastAsia="zh-CN"/>
              </w:rPr>
              <w:t>本项目租赁福州鼎力机械有限公司现有厂房，未新增用地。根据出租方提供的不动产权证（详见附件4），该厂区用地性质为工业用地，厂房为工业厂房。本项目从事汽车座椅骨架的加工生产，属于工业企业，符合《融侨经济技术开发区总体规划（2018-2035年）》及福清市城市总体规划要求。因此，项目选址符合当地土地利用规划。</w:t>
            </w:r>
          </w:p>
          <w:p w14:paraId="29D6ADAF">
            <w:pPr>
              <w:pStyle w:val="3"/>
              <w:bidi w:val="0"/>
              <w:rPr>
                <w:rFonts w:hint="eastAsia"/>
                <w:color w:val="auto"/>
              </w:rPr>
            </w:pPr>
            <w:r>
              <w:rPr>
                <w:rFonts w:hint="eastAsia"/>
                <w:color w:val="auto"/>
                <w:lang w:val="en-US" w:eastAsia="zh-CN"/>
              </w:rPr>
              <w:t>环境功能区划符合性分析</w:t>
            </w:r>
          </w:p>
          <w:p w14:paraId="71D49EF3">
            <w:pPr>
              <w:pStyle w:val="11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宋体"/>
                <w:snapToGrid w:val="0"/>
                <w:color w:val="auto"/>
                <w:kern w:val="18"/>
                <w:sz w:val="24"/>
                <w:szCs w:val="20"/>
                <w:u w:val="none"/>
                <w:shd w:val="clear"/>
                <w:lang w:val="en-US" w:eastAsia="zh-CN" w:bidi="ar-SA"/>
              </w:rPr>
            </w:pPr>
            <w:r>
              <w:rPr>
                <w:rFonts w:hint="eastAsia" w:ascii="Times New Roman" w:hAnsi="Times New Roman" w:eastAsia="宋体" w:cs="宋体"/>
                <w:snapToGrid w:val="0"/>
                <w:color w:val="auto"/>
                <w:kern w:val="18"/>
                <w:sz w:val="24"/>
                <w:szCs w:val="20"/>
                <w:u w:val="none"/>
                <w:lang w:val="en-US" w:eastAsia="zh-CN" w:bidi="ar-SA"/>
              </w:rPr>
              <w:t>项目运营期环境空气污染排放源强很低，对周围环境空气不会产生显著影响，符合《环境空气质量标准》</w:t>
            </w:r>
            <w:r>
              <w:rPr>
                <w:rFonts w:hint="eastAsia" w:ascii="Times New Roman" w:hAnsi="Times New Roman" w:cs="宋体"/>
                <w:snapToGrid w:val="0"/>
                <w:color w:val="auto"/>
                <w:kern w:val="18"/>
                <w:sz w:val="24"/>
                <w:szCs w:val="20"/>
                <w:u w:val="none"/>
                <w:lang w:val="en-US" w:eastAsia="zh-CN" w:bidi="ar-SA"/>
              </w:rPr>
              <w:t>（</w:t>
            </w:r>
            <w:r>
              <w:rPr>
                <w:rFonts w:hint="eastAsia" w:ascii="Times New Roman" w:hAnsi="Times New Roman" w:eastAsia="宋体" w:cs="宋体"/>
                <w:snapToGrid w:val="0"/>
                <w:color w:val="auto"/>
                <w:kern w:val="18"/>
                <w:sz w:val="24"/>
                <w:szCs w:val="20"/>
                <w:u w:val="none"/>
                <w:lang w:val="en-US" w:eastAsia="zh-CN" w:bidi="ar-SA"/>
              </w:rPr>
              <w:t>GB3095-20</w:t>
            </w:r>
            <w:r>
              <w:rPr>
                <w:rFonts w:hint="eastAsia" w:ascii="Times New Roman" w:hAnsi="Times New Roman" w:cs="宋体"/>
                <w:snapToGrid w:val="0"/>
                <w:color w:val="auto"/>
                <w:kern w:val="18"/>
                <w:sz w:val="24"/>
                <w:szCs w:val="20"/>
                <w:u w:val="none"/>
                <w:lang w:val="en-US" w:eastAsia="zh-CN" w:bidi="ar-SA"/>
              </w:rPr>
              <w:t>26）</w:t>
            </w:r>
            <w:r>
              <w:rPr>
                <w:rFonts w:hint="eastAsia" w:ascii="Times New Roman" w:hAnsi="Times New Roman" w:eastAsia="宋体" w:cs="宋体"/>
                <w:snapToGrid w:val="0"/>
                <w:color w:val="auto"/>
                <w:kern w:val="18"/>
                <w:sz w:val="24"/>
                <w:szCs w:val="20"/>
                <w:u w:val="none"/>
                <w:lang w:val="en-US" w:eastAsia="zh-CN" w:bidi="ar-SA"/>
              </w:rPr>
              <w:t>中二级标准；</w:t>
            </w:r>
            <w:r>
              <w:rPr>
                <w:rFonts w:hint="eastAsia" w:ascii="Times New Roman" w:hAnsi="Times New Roman" w:eastAsia="宋体" w:cs="宋体"/>
                <w:snapToGrid w:val="0"/>
                <w:color w:val="auto"/>
                <w:kern w:val="18"/>
                <w:sz w:val="24"/>
                <w:szCs w:val="20"/>
                <w:u w:val="none"/>
                <w:shd w:val="clear"/>
                <w:lang w:val="en-US" w:eastAsia="zh-CN" w:bidi="ar-SA"/>
              </w:rPr>
              <w:t>本项目运营期产生生活污水</w:t>
            </w:r>
            <w:r>
              <w:rPr>
                <w:rFonts w:hint="eastAsia" w:ascii="Times New Roman" w:hAnsi="Times New Roman" w:cs="宋体"/>
                <w:snapToGrid w:val="0"/>
                <w:color w:val="auto"/>
                <w:kern w:val="18"/>
                <w:sz w:val="24"/>
                <w:szCs w:val="20"/>
                <w:u w:val="none"/>
                <w:shd w:val="clear"/>
                <w:lang w:val="en-US" w:eastAsia="zh-CN" w:bidi="ar-SA"/>
              </w:rPr>
              <w:t>且</w:t>
            </w:r>
            <w:r>
              <w:rPr>
                <w:rFonts w:hint="eastAsia" w:ascii="Times New Roman" w:hAnsi="Times New Roman" w:eastAsia="宋体" w:cs="宋体"/>
                <w:snapToGrid w:val="0"/>
                <w:color w:val="auto"/>
                <w:kern w:val="18"/>
                <w:sz w:val="24"/>
                <w:szCs w:val="20"/>
                <w:u w:val="none"/>
                <w:shd w:val="clear"/>
                <w:lang w:val="en-US" w:eastAsia="zh-CN" w:bidi="ar-SA"/>
              </w:rPr>
              <w:t>生活污水依托出租方的化粪池处理后进入市政污水管网</w:t>
            </w:r>
            <w:r>
              <w:rPr>
                <w:rFonts w:hint="eastAsia" w:ascii="Times New Roman" w:hAnsi="Times New Roman" w:cs="宋体"/>
                <w:snapToGrid w:val="0"/>
                <w:color w:val="auto"/>
                <w:kern w:val="18"/>
                <w:sz w:val="24"/>
                <w:szCs w:val="20"/>
                <w:u w:val="none"/>
                <w:shd w:val="clear"/>
                <w:lang w:val="en-US" w:eastAsia="zh-CN" w:bidi="ar-SA"/>
              </w:rPr>
              <w:t>（排水接管证明见附件22）</w:t>
            </w:r>
            <w:r>
              <w:rPr>
                <w:rFonts w:hint="eastAsia" w:ascii="Times New Roman" w:hAnsi="Times New Roman" w:eastAsia="宋体" w:cs="宋体"/>
                <w:snapToGrid w:val="0"/>
                <w:color w:val="auto"/>
                <w:kern w:val="18"/>
                <w:sz w:val="24"/>
                <w:szCs w:val="20"/>
                <w:u w:val="none"/>
                <w:shd w:val="clear"/>
                <w:lang w:val="en-US" w:eastAsia="zh-CN" w:bidi="ar-SA"/>
              </w:rPr>
              <w:t>，最终排入福清市第二污水处理厂统一处理后达标排放，不直接排入周边地表水体，纳污水域龙江符合《地表水环境质量标准》</w:t>
            </w:r>
            <w:r>
              <w:rPr>
                <w:rFonts w:hint="eastAsia" w:ascii="Times New Roman" w:hAnsi="Times New Roman" w:cs="宋体"/>
                <w:snapToGrid w:val="0"/>
                <w:color w:val="auto"/>
                <w:kern w:val="18"/>
                <w:sz w:val="24"/>
                <w:szCs w:val="20"/>
                <w:u w:val="none"/>
                <w:shd w:val="clear"/>
                <w:lang w:val="en-US" w:eastAsia="zh-CN" w:bidi="ar-SA"/>
              </w:rPr>
              <w:t>（</w:t>
            </w:r>
            <w:r>
              <w:rPr>
                <w:rFonts w:hint="eastAsia" w:ascii="Times New Roman" w:hAnsi="Times New Roman" w:eastAsia="宋体" w:cs="宋体"/>
                <w:snapToGrid w:val="0"/>
                <w:color w:val="auto"/>
                <w:kern w:val="18"/>
                <w:sz w:val="24"/>
                <w:szCs w:val="20"/>
                <w:u w:val="none"/>
                <w:shd w:val="clear"/>
                <w:lang w:val="en-US" w:eastAsia="zh-CN" w:bidi="ar-SA"/>
              </w:rPr>
              <w:t>GB3838-2002</w:t>
            </w:r>
            <w:r>
              <w:rPr>
                <w:rFonts w:hint="eastAsia" w:ascii="Times New Roman" w:hAnsi="Times New Roman" w:cs="宋体"/>
                <w:snapToGrid w:val="0"/>
                <w:color w:val="auto"/>
                <w:kern w:val="18"/>
                <w:sz w:val="24"/>
                <w:szCs w:val="20"/>
                <w:u w:val="none"/>
                <w:shd w:val="clear"/>
                <w:lang w:val="en-US" w:eastAsia="zh-CN" w:bidi="ar-SA"/>
              </w:rPr>
              <w:t>）</w:t>
            </w:r>
            <w:r>
              <w:rPr>
                <w:rFonts w:hint="eastAsia" w:ascii="Times New Roman" w:hAnsi="Times New Roman" w:eastAsia="宋体" w:cs="宋体"/>
                <w:snapToGrid w:val="0"/>
                <w:color w:val="auto"/>
                <w:kern w:val="18"/>
                <w:sz w:val="24"/>
                <w:szCs w:val="20"/>
                <w:u w:val="none"/>
                <w:shd w:val="clear"/>
                <w:lang w:val="en-US" w:eastAsia="zh-CN" w:bidi="ar-SA"/>
              </w:rPr>
              <w:t>V类标准；项目在采取一定的噪声污染防治措施后，项目产生的噪声不会对周围环境产生显著影响，项目所在区域的环境噪声符合《声环境质量标准》</w:t>
            </w:r>
            <w:r>
              <w:rPr>
                <w:rFonts w:hint="eastAsia" w:ascii="Times New Roman" w:hAnsi="Times New Roman" w:cs="宋体"/>
                <w:snapToGrid w:val="0"/>
                <w:color w:val="auto"/>
                <w:kern w:val="18"/>
                <w:sz w:val="24"/>
                <w:szCs w:val="20"/>
                <w:u w:val="none"/>
                <w:shd w:val="clear"/>
                <w:lang w:val="en-US" w:eastAsia="zh-CN" w:bidi="ar-SA"/>
              </w:rPr>
              <w:t>（</w:t>
            </w:r>
            <w:r>
              <w:rPr>
                <w:rFonts w:hint="eastAsia" w:ascii="Times New Roman" w:hAnsi="Times New Roman" w:eastAsia="宋体" w:cs="宋体"/>
                <w:snapToGrid w:val="0"/>
                <w:color w:val="auto"/>
                <w:kern w:val="18"/>
                <w:sz w:val="24"/>
                <w:szCs w:val="20"/>
                <w:u w:val="none"/>
                <w:shd w:val="clear"/>
                <w:lang w:val="en-US" w:eastAsia="zh-CN" w:bidi="ar-SA"/>
              </w:rPr>
              <w:t>GB3096-2008</w:t>
            </w:r>
            <w:r>
              <w:rPr>
                <w:rFonts w:hint="eastAsia" w:ascii="Times New Roman" w:hAnsi="Times New Roman" w:cs="宋体"/>
                <w:snapToGrid w:val="0"/>
                <w:color w:val="auto"/>
                <w:kern w:val="18"/>
                <w:sz w:val="24"/>
                <w:szCs w:val="20"/>
                <w:u w:val="none"/>
                <w:shd w:val="clear"/>
                <w:lang w:val="en-US" w:eastAsia="zh-CN" w:bidi="ar-SA"/>
              </w:rPr>
              <w:t>）</w:t>
            </w:r>
            <w:r>
              <w:rPr>
                <w:rFonts w:hint="eastAsia" w:ascii="Times New Roman" w:hAnsi="Times New Roman" w:eastAsia="宋体" w:cs="宋体"/>
                <w:snapToGrid w:val="0"/>
                <w:color w:val="auto"/>
                <w:kern w:val="18"/>
                <w:sz w:val="24"/>
                <w:szCs w:val="20"/>
                <w:u w:val="none"/>
                <w:shd w:val="clear"/>
                <w:lang w:val="en-US" w:eastAsia="zh-CN" w:bidi="ar-SA"/>
              </w:rPr>
              <w:t>的</w:t>
            </w:r>
            <w:r>
              <w:rPr>
                <w:rFonts w:hint="eastAsia" w:ascii="Times New Roman" w:hAnsi="Times New Roman" w:cs="宋体"/>
                <w:snapToGrid w:val="0"/>
                <w:color w:val="auto"/>
                <w:kern w:val="18"/>
                <w:sz w:val="24"/>
                <w:szCs w:val="20"/>
                <w:u w:val="none"/>
                <w:shd w:val="clear"/>
                <w:lang w:val="en-US" w:eastAsia="zh-CN" w:bidi="ar-SA"/>
              </w:rPr>
              <w:t>3</w:t>
            </w:r>
            <w:r>
              <w:rPr>
                <w:rFonts w:hint="eastAsia" w:ascii="Times New Roman" w:hAnsi="Times New Roman" w:eastAsia="宋体" w:cs="宋体"/>
                <w:snapToGrid w:val="0"/>
                <w:color w:val="auto"/>
                <w:kern w:val="18"/>
                <w:sz w:val="24"/>
                <w:szCs w:val="20"/>
                <w:u w:val="none"/>
                <w:shd w:val="clear"/>
                <w:lang w:val="en-US" w:eastAsia="zh-CN" w:bidi="ar-SA"/>
              </w:rPr>
              <w:t>类区标准，因此，项目建设符合环境功能规划。</w:t>
            </w:r>
          </w:p>
          <w:p w14:paraId="02BFBB28">
            <w:pPr>
              <w:pStyle w:val="3"/>
              <w:bidi w:val="0"/>
              <w:rPr>
                <w:rFonts w:hint="eastAsia" w:eastAsia="宋体"/>
                <w:color w:val="auto"/>
                <w:lang w:val="en-US" w:eastAsia="zh-CN"/>
              </w:rPr>
            </w:pPr>
            <w:r>
              <w:rPr>
                <w:rFonts w:hint="eastAsia" w:eastAsia="宋体"/>
                <w:color w:val="auto"/>
                <w:lang w:val="en-US" w:eastAsia="zh-CN"/>
              </w:rPr>
              <w:t>与挥发性有机物污染防治相关政策符合性分析</w:t>
            </w:r>
          </w:p>
          <w:p w14:paraId="7CA9EA9B">
            <w:pPr>
              <w:pStyle w:val="134"/>
              <w:spacing w:before="97" w:line="220" w:lineRule="auto"/>
              <w:ind w:left="601"/>
              <w:rPr>
                <w:rFonts w:hint="eastAsia" w:ascii="Times New Roman" w:hAnsi="Times New Roman" w:eastAsia="宋体" w:cs="宋体"/>
                <w:b w:val="0"/>
                <w:snapToGrid w:val="0"/>
                <w:color w:val="auto"/>
                <w:kern w:val="18"/>
                <w:sz w:val="24"/>
                <w:szCs w:val="20"/>
                <w:u w:val="none"/>
                <w:shd w:val="clear"/>
                <w:lang w:val="en-US" w:eastAsia="zh-CN" w:bidi="ar-SA"/>
              </w:rPr>
            </w:pPr>
            <w:r>
              <w:rPr>
                <w:rFonts w:hint="eastAsia" w:ascii="Times New Roman" w:hAnsi="Times New Roman" w:eastAsia="宋体" w:cs="宋体"/>
                <w:b w:val="0"/>
                <w:snapToGrid w:val="0"/>
                <w:color w:val="auto"/>
                <w:kern w:val="18"/>
                <w:sz w:val="24"/>
                <w:szCs w:val="20"/>
                <w:u w:val="none"/>
                <w:shd w:val="clear"/>
                <w:lang w:val="en-US" w:eastAsia="zh-CN" w:bidi="ar-SA"/>
              </w:rPr>
              <w:t>本项目与挥发性有机物污染防治工作的符合性分析见下表。</w:t>
            </w:r>
          </w:p>
          <w:p w14:paraId="1223611D">
            <w:pPr>
              <w:pStyle w:val="44"/>
              <w:keepNext/>
              <w:keepLines/>
              <w:pageBreakBefore w:val="0"/>
              <w:widowControl w:val="0"/>
              <w:kinsoku/>
              <w:wordWrap/>
              <w:overflowPunct/>
              <w:topLinePunct w:val="0"/>
              <w:autoSpaceDE/>
              <w:autoSpaceDN/>
              <w:bidi w:val="0"/>
              <w:adjustRightInd/>
              <w:snapToGrid/>
              <w:spacing w:before="157" w:beforeLines="50" w:after="0"/>
              <w:ind w:left="420" w:leftChars="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与挥发性有机物工作的符合性分析</w:t>
            </w:r>
          </w:p>
          <w:tbl>
            <w:tblPr>
              <w:tblStyle w:val="8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50"/>
              <w:gridCol w:w="1897"/>
              <w:gridCol w:w="3031"/>
              <w:gridCol w:w="1666"/>
              <w:gridCol w:w="415"/>
            </w:tblGrid>
            <w:tr w14:paraId="64B5CB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302" w:type="pct"/>
                  <w:tcBorders>
                    <w:tl2br w:val="nil"/>
                    <w:tr2bl w:val="nil"/>
                  </w:tcBorders>
                  <w:tcMar>
                    <w:top w:w="0" w:type="dxa"/>
                    <w:left w:w="57" w:type="dxa"/>
                    <w:bottom w:w="0" w:type="dxa"/>
                    <w:right w:w="57" w:type="dxa"/>
                  </w:tcMar>
                  <w:vAlign w:val="center"/>
                </w:tcPr>
                <w:p w14:paraId="3CFC213F">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序号</w:t>
                  </w:r>
                </w:p>
              </w:tc>
              <w:tc>
                <w:tcPr>
                  <w:tcW w:w="1271" w:type="pct"/>
                  <w:tcBorders>
                    <w:tl2br w:val="nil"/>
                    <w:tr2bl w:val="nil"/>
                  </w:tcBorders>
                  <w:tcMar>
                    <w:top w:w="0" w:type="dxa"/>
                    <w:left w:w="57" w:type="dxa"/>
                    <w:bottom w:w="0" w:type="dxa"/>
                    <w:right w:w="57" w:type="dxa"/>
                  </w:tcMar>
                  <w:vAlign w:val="center"/>
                </w:tcPr>
                <w:p w14:paraId="79F886A8">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法律、政策</w:t>
                  </w:r>
                </w:p>
              </w:tc>
              <w:tc>
                <w:tcPr>
                  <w:tcW w:w="2031" w:type="pct"/>
                  <w:tcBorders>
                    <w:tl2br w:val="nil"/>
                    <w:tr2bl w:val="nil"/>
                  </w:tcBorders>
                  <w:tcMar>
                    <w:top w:w="0" w:type="dxa"/>
                    <w:left w:w="57" w:type="dxa"/>
                    <w:bottom w:w="0" w:type="dxa"/>
                    <w:right w:w="57" w:type="dxa"/>
                  </w:tcMar>
                  <w:vAlign w:val="center"/>
                </w:tcPr>
                <w:p w14:paraId="02F873F1">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工作要求</w:t>
                  </w:r>
                </w:p>
              </w:tc>
              <w:tc>
                <w:tcPr>
                  <w:tcW w:w="1116" w:type="pct"/>
                  <w:tcBorders>
                    <w:tl2br w:val="nil"/>
                    <w:tr2bl w:val="nil"/>
                  </w:tcBorders>
                  <w:tcMar>
                    <w:top w:w="0" w:type="dxa"/>
                    <w:left w:w="57" w:type="dxa"/>
                    <w:bottom w:w="0" w:type="dxa"/>
                    <w:right w:w="57" w:type="dxa"/>
                  </w:tcMar>
                  <w:vAlign w:val="center"/>
                </w:tcPr>
                <w:p w14:paraId="22F2BB7F">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企业建设内容</w:t>
                  </w:r>
                </w:p>
              </w:tc>
              <w:tc>
                <w:tcPr>
                  <w:tcW w:w="278" w:type="pct"/>
                  <w:tcBorders>
                    <w:tl2br w:val="nil"/>
                    <w:tr2bl w:val="nil"/>
                  </w:tcBorders>
                  <w:tcMar>
                    <w:top w:w="0" w:type="dxa"/>
                    <w:left w:w="57" w:type="dxa"/>
                    <w:bottom w:w="0" w:type="dxa"/>
                    <w:right w:w="57" w:type="dxa"/>
                  </w:tcMar>
                  <w:vAlign w:val="center"/>
                </w:tcPr>
                <w:p w14:paraId="14A21F0A">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相符性</w:t>
                  </w:r>
                </w:p>
              </w:tc>
            </w:tr>
            <w:tr w14:paraId="51F75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02" w:type="pct"/>
                  <w:tcBorders>
                    <w:tl2br w:val="nil"/>
                    <w:tr2bl w:val="nil"/>
                  </w:tcBorders>
                  <w:tcMar>
                    <w:top w:w="0" w:type="dxa"/>
                    <w:left w:w="57" w:type="dxa"/>
                    <w:bottom w:w="0" w:type="dxa"/>
                    <w:right w:w="57" w:type="dxa"/>
                  </w:tcMar>
                  <w:vAlign w:val="center"/>
                </w:tcPr>
                <w:p w14:paraId="39F23412">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1</w:t>
                  </w:r>
                </w:p>
              </w:tc>
              <w:tc>
                <w:tcPr>
                  <w:tcW w:w="1271" w:type="pct"/>
                  <w:tcBorders>
                    <w:tl2br w:val="nil"/>
                    <w:tr2bl w:val="nil"/>
                  </w:tcBorders>
                  <w:tcMar>
                    <w:top w:w="0" w:type="dxa"/>
                    <w:left w:w="57" w:type="dxa"/>
                    <w:bottom w:w="0" w:type="dxa"/>
                    <w:right w:w="57" w:type="dxa"/>
                  </w:tcMar>
                  <w:vAlign w:val="center"/>
                </w:tcPr>
                <w:p w14:paraId="21A54F00">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大气污染防治法</w:t>
                  </w:r>
                </w:p>
              </w:tc>
              <w:tc>
                <w:tcPr>
                  <w:tcW w:w="2031" w:type="pct"/>
                  <w:tcBorders>
                    <w:tl2br w:val="nil"/>
                    <w:tr2bl w:val="nil"/>
                  </w:tcBorders>
                  <w:tcMar>
                    <w:top w:w="0" w:type="dxa"/>
                    <w:left w:w="57" w:type="dxa"/>
                    <w:bottom w:w="0" w:type="dxa"/>
                    <w:right w:w="57" w:type="dxa"/>
                  </w:tcMar>
                  <w:vAlign w:val="center"/>
                </w:tcPr>
                <w:p w14:paraId="1142E724">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第四十五条规定：产生含</w:t>
                  </w:r>
                  <w:r>
                    <w:rPr>
                      <w:rFonts w:hint="eastAsia"/>
                      <w:color w:val="auto"/>
                      <w:kern w:val="2"/>
                      <w:sz w:val="21"/>
                      <w:highlight w:val="none"/>
                      <w:lang w:val="en-US" w:eastAsia="zh-CN"/>
                    </w:rPr>
                    <w:t>挥发性</w:t>
                  </w:r>
                  <w:r>
                    <w:rPr>
                      <w:rFonts w:hint="default" w:eastAsia="宋体"/>
                      <w:color w:val="auto"/>
                      <w:kern w:val="2"/>
                      <w:sz w:val="21"/>
                      <w:highlight w:val="none"/>
                      <w:lang w:val="en-US" w:eastAsia="zh-CN"/>
                    </w:rPr>
                    <w:t>有机废气的生产和服务活动，应当在密闭空间或者设备中进行，并按照规定安装、使用污染防治设施；无法密闭的，应当采取措施减少废气排放</w:t>
                  </w:r>
                </w:p>
              </w:tc>
              <w:tc>
                <w:tcPr>
                  <w:tcW w:w="1116" w:type="pct"/>
                  <w:tcBorders>
                    <w:tl2br w:val="nil"/>
                    <w:tr2bl w:val="nil"/>
                  </w:tcBorders>
                  <w:tcMar>
                    <w:top w:w="0" w:type="dxa"/>
                    <w:left w:w="57" w:type="dxa"/>
                    <w:bottom w:w="0" w:type="dxa"/>
                    <w:right w:w="57" w:type="dxa"/>
                  </w:tcMar>
                  <w:vAlign w:val="center"/>
                </w:tcPr>
                <w:p w14:paraId="72623547">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highlight w:val="none"/>
                    </w:rPr>
                  </w:pPr>
                  <w:r>
                    <w:rPr>
                      <w:rFonts w:hint="eastAsia" w:eastAsia="宋体"/>
                      <w:color w:val="auto"/>
                      <w:kern w:val="2"/>
                      <w:sz w:val="21"/>
                      <w:highlight w:val="none"/>
                      <w:lang w:val="en-US" w:eastAsia="zh-CN"/>
                    </w:rPr>
                    <w:t>本项目为汽车零部件及配件制造</w:t>
                  </w:r>
                  <w:r>
                    <w:rPr>
                      <w:rFonts w:hint="eastAsia"/>
                      <w:color w:val="auto"/>
                      <w:kern w:val="2"/>
                      <w:sz w:val="21"/>
                      <w:highlight w:val="none"/>
                      <w:lang w:val="en-US" w:eastAsia="zh-CN"/>
                    </w:rPr>
                    <w:t>项目</w:t>
                  </w:r>
                  <w:r>
                    <w:rPr>
                      <w:rFonts w:hint="eastAsia" w:eastAsia="宋体"/>
                      <w:color w:val="auto"/>
                      <w:kern w:val="2"/>
                      <w:sz w:val="21"/>
                      <w:highlight w:val="none"/>
                      <w:lang w:val="en-US" w:eastAsia="zh-CN"/>
                    </w:rPr>
                    <w:t>，</w:t>
                  </w:r>
                  <w:r>
                    <w:rPr>
                      <w:rFonts w:hint="default" w:eastAsia="宋体"/>
                      <w:color w:val="auto"/>
                      <w:kern w:val="2"/>
                      <w:sz w:val="21"/>
                      <w:highlight w:val="none"/>
                      <w:lang w:val="en-US" w:eastAsia="zh-CN"/>
                    </w:rPr>
                    <w:t>生产工艺无法做到完全密闭，在产生有机废气部位</w:t>
                  </w:r>
                  <w:r>
                    <w:rPr>
                      <w:rFonts w:hint="eastAsia" w:eastAsia="宋体"/>
                      <w:color w:val="auto"/>
                      <w:kern w:val="2"/>
                      <w:sz w:val="21"/>
                      <w:highlight w:val="none"/>
                      <w:lang w:val="en-US" w:eastAsia="zh-CN"/>
                    </w:rPr>
                    <w:t>安装了VOCs收集及治理措施</w:t>
                  </w:r>
                  <w:r>
                    <w:rPr>
                      <w:rFonts w:hint="default" w:eastAsia="宋体"/>
                      <w:color w:val="auto"/>
                      <w:kern w:val="2"/>
                      <w:sz w:val="21"/>
                      <w:highlight w:val="none"/>
                      <w:lang w:val="en-US" w:eastAsia="zh-CN"/>
                    </w:rPr>
                    <w:t>，</w:t>
                  </w:r>
                  <w:r>
                    <w:rPr>
                      <w:rFonts w:ascii="Times New Roman" w:hAnsi="Times New Roman" w:eastAsia="宋体"/>
                      <w:color w:val="auto"/>
                      <w:spacing w:val="-2"/>
                      <w:sz w:val="21"/>
                      <w:szCs w:val="21"/>
                      <w:highlight w:val="none"/>
                    </w:rPr>
                    <w:t>电泳、</w:t>
                  </w:r>
                  <w:r>
                    <w:rPr>
                      <w:rFonts w:hint="eastAsia" w:ascii="Times New Roman" w:hAnsi="Times New Roman"/>
                      <w:color w:val="auto"/>
                      <w:spacing w:val="-2"/>
                      <w:sz w:val="21"/>
                      <w:szCs w:val="21"/>
                      <w:highlight w:val="none"/>
                      <w:lang w:val="en-US" w:eastAsia="zh-CN"/>
                    </w:rPr>
                    <w:t>电泳</w:t>
                  </w:r>
                  <w:r>
                    <w:rPr>
                      <w:rFonts w:ascii="Times New Roman" w:hAnsi="Times New Roman" w:eastAsia="宋体"/>
                      <w:color w:val="auto"/>
                      <w:spacing w:val="-2"/>
                      <w:sz w:val="21"/>
                      <w:szCs w:val="21"/>
                      <w:highlight w:val="none"/>
                    </w:rPr>
                    <w:t>烘干废气经</w:t>
                  </w:r>
                  <w:r>
                    <w:rPr>
                      <w:rFonts w:hint="eastAsia" w:ascii="Times New Roman" w:hAnsi="Times New Roman"/>
                      <w:color w:val="auto"/>
                      <w:spacing w:val="-2"/>
                      <w:sz w:val="21"/>
                      <w:szCs w:val="21"/>
                      <w:highlight w:val="none"/>
                      <w:lang w:eastAsia="zh-CN"/>
                    </w:rPr>
                    <w:t>喷淋塔+过滤棉+二级活性炭吸附</w:t>
                  </w:r>
                  <w:r>
                    <w:rPr>
                      <w:rFonts w:ascii="Times New Roman" w:hAnsi="Times New Roman" w:eastAsia="宋体"/>
                      <w:color w:val="auto"/>
                      <w:spacing w:val="5"/>
                      <w:position w:val="1"/>
                      <w:sz w:val="21"/>
                      <w:szCs w:val="21"/>
                      <w:highlight w:val="none"/>
                    </w:rPr>
                    <w:t>处理后，通过</w:t>
                  </w:r>
                  <w:r>
                    <w:rPr>
                      <w:rFonts w:ascii="Times New Roman" w:hAnsi="Times New Roman" w:eastAsia="宋体" w:cs="Times New Roman"/>
                      <w:color w:val="auto"/>
                      <w:spacing w:val="5"/>
                      <w:position w:val="1"/>
                      <w:sz w:val="21"/>
                      <w:szCs w:val="21"/>
                      <w:highlight w:val="none"/>
                    </w:rPr>
                    <w:t>1</w:t>
                  </w:r>
                  <w:r>
                    <w:rPr>
                      <w:rFonts w:ascii="Times New Roman" w:hAnsi="Times New Roman" w:eastAsia="宋体"/>
                      <w:color w:val="auto"/>
                      <w:spacing w:val="5"/>
                      <w:position w:val="1"/>
                      <w:sz w:val="21"/>
                      <w:szCs w:val="21"/>
                      <w:highlight w:val="none"/>
                    </w:rPr>
                    <w:t>根</w:t>
                  </w:r>
                  <w:r>
                    <w:rPr>
                      <w:rFonts w:hint="eastAsia" w:ascii="Times New Roman" w:hAnsi="Times New Roman" w:cs="Times New Roman"/>
                      <w:color w:val="auto"/>
                      <w:spacing w:val="6"/>
                      <w:position w:val="1"/>
                      <w:sz w:val="21"/>
                      <w:szCs w:val="21"/>
                      <w:highlight w:val="none"/>
                      <w:lang w:eastAsia="zh-CN"/>
                    </w:rPr>
                    <w:t>15m</w:t>
                  </w:r>
                  <w:r>
                    <w:rPr>
                      <w:rFonts w:ascii="Times New Roman" w:hAnsi="Times New Roman" w:eastAsia="宋体"/>
                      <w:color w:val="auto"/>
                      <w:spacing w:val="6"/>
                      <w:position w:val="1"/>
                      <w:sz w:val="21"/>
                      <w:szCs w:val="21"/>
                      <w:highlight w:val="none"/>
                    </w:rPr>
                    <w:t>高排气筒达标排放</w:t>
                  </w:r>
                </w:p>
                <w:p w14:paraId="0858D4BB">
                  <w:pPr>
                    <w:pStyle w:val="91"/>
                    <w:spacing w:line="240" w:lineRule="auto"/>
                    <w:rPr>
                      <w:rFonts w:hint="default" w:eastAsia="宋体"/>
                      <w:color w:val="auto"/>
                      <w:kern w:val="2"/>
                      <w:sz w:val="21"/>
                      <w:highlight w:val="none"/>
                      <w:lang w:val="en-US" w:eastAsia="zh-CN"/>
                    </w:rPr>
                  </w:pPr>
                  <w:r>
                    <w:rPr>
                      <w:rFonts w:hint="eastAsia"/>
                      <w:color w:val="auto"/>
                      <w:spacing w:val="6"/>
                      <w:position w:val="1"/>
                      <w:sz w:val="21"/>
                      <w:szCs w:val="21"/>
                      <w:highlight w:val="none"/>
                      <w:lang w:eastAsia="zh-CN"/>
                    </w:rPr>
                    <w:t>（</w:t>
                  </w:r>
                  <w:r>
                    <w:rPr>
                      <w:rFonts w:ascii="Times New Roman" w:hAnsi="Times New Roman" w:eastAsia="宋体" w:cs="Times New Roman"/>
                      <w:color w:val="auto"/>
                      <w:position w:val="1"/>
                      <w:sz w:val="21"/>
                      <w:szCs w:val="21"/>
                      <w:highlight w:val="none"/>
                    </w:rPr>
                    <w:t>DA</w:t>
                  </w:r>
                  <w:r>
                    <w:rPr>
                      <w:rFonts w:ascii="Times New Roman" w:hAnsi="Times New Roman" w:eastAsia="宋体" w:cs="Times New Roman"/>
                      <w:color w:val="auto"/>
                      <w:spacing w:val="6"/>
                      <w:position w:val="1"/>
                      <w:sz w:val="21"/>
                      <w:szCs w:val="21"/>
                      <w:highlight w:val="none"/>
                    </w:rPr>
                    <w:t>001</w:t>
                  </w:r>
                  <w:r>
                    <w:rPr>
                      <w:rFonts w:hint="eastAsia" w:cs="Times New Roman"/>
                      <w:color w:val="auto"/>
                      <w:spacing w:val="6"/>
                      <w:position w:val="1"/>
                      <w:sz w:val="21"/>
                      <w:szCs w:val="21"/>
                      <w:highlight w:val="none"/>
                      <w:lang w:eastAsia="zh-CN"/>
                    </w:rPr>
                    <w:t>），</w:t>
                  </w:r>
                  <w:r>
                    <w:rPr>
                      <w:rFonts w:hint="eastAsia" w:cs="Times New Roman"/>
                      <w:color w:val="auto"/>
                      <w:spacing w:val="6"/>
                      <w:position w:val="1"/>
                      <w:sz w:val="21"/>
                      <w:szCs w:val="21"/>
                      <w:highlight w:val="none"/>
                      <w:lang w:val="en-US" w:eastAsia="zh-CN"/>
                    </w:rPr>
                    <w:t>喷粉固化废气、调漆废气、喷漆废气、喷漆固化废气经喷淋塔+过滤棉+二级活性炭吸附处理后，通过1根15m高排气筒达标排放（DA002）</w:t>
                  </w:r>
                </w:p>
              </w:tc>
              <w:tc>
                <w:tcPr>
                  <w:tcW w:w="278" w:type="pct"/>
                  <w:tcBorders>
                    <w:tl2br w:val="nil"/>
                    <w:tr2bl w:val="nil"/>
                  </w:tcBorders>
                  <w:tcMar>
                    <w:top w:w="0" w:type="dxa"/>
                    <w:left w:w="57" w:type="dxa"/>
                    <w:bottom w:w="0" w:type="dxa"/>
                    <w:right w:w="57" w:type="dxa"/>
                  </w:tcMar>
                  <w:vAlign w:val="center"/>
                </w:tcPr>
                <w:p w14:paraId="1A2ACEAD">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76FD71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88" w:hRule="atLeast"/>
                <w:jc w:val="center"/>
              </w:trPr>
              <w:tc>
                <w:tcPr>
                  <w:tcW w:w="302" w:type="pct"/>
                  <w:tcBorders>
                    <w:tl2br w:val="nil"/>
                    <w:tr2bl w:val="nil"/>
                  </w:tcBorders>
                  <w:tcMar>
                    <w:top w:w="0" w:type="dxa"/>
                    <w:left w:w="57" w:type="dxa"/>
                    <w:bottom w:w="0" w:type="dxa"/>
                    <w:right w:w="57" w:type="dxa"/>
                  </w:tcMar>
                  <w:vAlign w:val="center"/>
                </w:tcPr>
                <w:p w14:paraId="21B8CC2A">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2</w:t>
                  </w:r>
                </w:p>
              </w:tc>
              <w:tc>
                <w:tcPr>
                  <w:tcW w:w="1271" w:type="pct"/>
                  <w:tcBorders>
                    <w:tl2br w:val="nil"/>
                    <w:tr2bl w:val="nil"/>
                  </w:tcBorders>
                  <w:tcMar>
                    <w:top w:w="0" w:type="dxa"/>
                    <w:left w:w="57" w:type="dxa"/>
                    <w:bottom w:w="0" w:type="dxa"/>
                    <w:right w:w="57" w:type="dxa"/>
                  </w:tcMar>
                  <w:vAlign w:val="center"/>
                </w:tcPr>
                <w:p w14:paraId="3AAA5743">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福建省大气污染防治条例</w:t>
                  </w:r>
                </w:p>
              </w:tc>
              <w:tc>
                <w:tcPr>
                  <w:tcW w:w="2031" w:type="pct"/>
                  <w:tcBorders>
                    <w:tl2br w:val="nil"/>
                    <w:tr2bl w:val="nil"/>
                  </w:tcBorders>
                  <w:tcMar>
                    <w:top w:w="0" w:type="dxa"/>
                    <w:left w:w="57" w:type="dxa"/>
                    <w:bottom w:w="0" w:type="dxa"/>
                    <w:right w:w="57" w:type="dxa"/>
                  </w:tcMar>
                  <w:vAlign w:val="center"/>
                </w:tcPr>
                <w:p w14:paraId="08A3E981">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第四十二条以下产生含挥发性有机物废气的生产和服务活动，应当在密闭空间或者设备中进行，并按照规定安装、使用污染防治设施；无法密闭的，应当采取措施减少废气排放：（一）石油炼制与石油化工、煤炭加工与转化等含挥发性有机物原料的生产；（二）燃油、溶剂的储存、运输和销售；（三）涂料、油墨、胶粘剂、农药等以挥发性有机物为原料的生产；（四）涂装、印刷、</w:t>
                  </w:r>
                  <w:r>
                    <w:rPr>
                      <w:rFonts w:hint="eastAsia"/>
                      <w:color w:val="auto"/>
                      <w:kern w:val="2"/>
                      <w:sz w:val="21"/>
                      <w:highlight w:val="none"/>
                      <w:lang w:val="en-US" w:eastAsia="zh-CN"/>
                    </w:rPr>
                    <w:t>黏合</w:t>
                  </w:r>
                  <w:r>
                    <w:rPr>
                      <w:rFonts w:hint="eastAsia" w:eastAsia="宋体"/>
                      <w:color w:val="auto"/>
                      <w:kern w:val="2"/>
                      <w:sz w:val="21"/>
                      <w:highlight w:val="none"/>
                      <w:lang w:val="en-US" w:eastAsia="zh-CN"/>
                    </w:rPr>
                    <w:t>、工业清洗等含挥发性有机物的产品使用；（五）其他产生含挥发性有机物废气的生产和服务活动。禁止在人口集中地区从事露天喷漆、喷涂、喷砂、制作玻璃钢以及其他散发有毒有害气体的作业。</w:t>
                  </w:r>
                </w:p>
              </w:tc>
              <w:tc>
                <w:tcPr>
                  <w:tcW w:w="1116" w:type="pct"/>
                  <w:tcBorders>
                    <w:tl2br w:val="nil"/>
                    <w:tr2bl w:val="nil"/>
                  </w:tcBorders>
                  <w:tcMar>
                    <w:top w:w="0" w:type="dxa"/>
                    <w:left w:w="57" w:type="dxa"/>
                    <w:bottom w:w="0" w:type="dxa"/>
                    <w:right w:w="57" w:type="dxa"/>
                  </w:tcMar>
                  <w:vAlign w:val="center"/>
                </w:tcPr>
                <w:p w14:paraId="0BBC62FC">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highlight w:val="none"/>
                    </w:rPr>
                  </w:pPr>
                  <w:r>
                    <w:rPr>
                      <w:rFonts w:hint="eastAsia" w:eastAsia="宋体"/>
                      <w:color w:val="auto"/>
                      <w:kern w:val="2"/>
                      <w:sz w:val="21"/>
                      <w:highlight w:val="none"/>
                      <w:lang w:val="en-US" w:eastAsia="zh-CN"/>
                    </w:rPr>
                    <w:t>本项目为汽车零部件及配件制造项目，</w:t>
                  </w:r>
                  <w:r>
                    <w:rPr>
                      <w:rFonts w:hint="default" w:eastAsia="宋体"/>
                      <w:color w:val="auto"/>
                      <w:kern w:val="2"/>
                      <w:sz w:val="21"/>
                      <w:highlight w:val="none"/>
                      <w:lang w:val="en-US" w:eastAsia="zh-CN"/>
                    </w:rPr>
                    <w:t>生产工艺无法做到完全密闭，在产生有机废气部位</w:t>
                  </w:r>
                  <w:r>
                    <w:rPr>
                      <w:rFonts w:hint="eastAsia" w:eastAsia="宋体"/>
                      <w:color w:val="auto"/>
                      <w:kern w:val="2"/>
                      <w:sz w:val="21"/>
                      <w:highlight w:val="none"/>
                      <w:lang w:val="en-US" w:eastAsia="zh-CN"/>
                    </w:rPr>
                    <w:t>安装了VOCs收集及治理措施</w:t>
                  </w:r>
                  <w:r>
                    <w:rPr>
                      <w:rFonts w:hint="default" w:eastAsia="宋体"/>
                      <w:color w:val="auto"/>
                      <w:kern w:val="2"/>
                      <w:sz w:val="21"/>
                      <w:highlight w:val="none"/>
                      <w:lang w:val="en-US" w:eastAsia="zh-CN"/>
                    </w:rPr>
                    <w:t>，</w:t>
                  </w:r>
                  <w:r>
                    <w:rPr>
                      <w:rFonts w:ascii="Times New Roman" w:hAnsi="Times New Roman" w:eastAsia="宋体"/>
                      <w:color w:val="auto"/>
                      <w:spacing w:val="-2"/>
                      <w:sz w:val="21"/>
                      <w:szCs w:val="21"/>
                      <w:highlight w:val="none"/>
                    </w:rPr>
                    <w:t>电泳、</w:t>
                  </w:r>
                  <w:r>
                    <w:rPr>
                      <w:rFonts w:hint="eastAsia" w:ascii="Times New Roman" w:hAnsi="Times New Roman"/>
                      <w:color w:val="auto"/>
                      <w:spacing w:val="-2"/>
                      <w:sz w:val="21"/>
                      <w:szCs w:val="21"/>
                      <w:highlight w:val="none"/>
                      <w:lang w:val="en-US" w:eastAsia="zh-CN"/>
                    </w:rPr>
                    <w:t>电泳</w:t>
                  </w:r>
                  <w:r>
                    <w:rPr>
                      <w:rFonts w:ascii="Times New Roman" w:hAnsi="Times New Roman" w:eastAsia="宋体"/>
                      <w:color w:val="auto"/>
                      <w:spacing w:val="-2"/>
                      <w:sz w:val="21"/>
                      <w:szCs w:val="21"/>
                      <w:highlight w:val="none"/>
                    </w:rPr>
                    <w:t>烘干废气经</w:t>
                  </w:r>
                  <w:r>
                    <w:rPr>
                      <w:rFonts w:hint="eastAsia" w:ascii="Times New Roman" w:hAnsi="Times New Roman"/>
                      <w:color w:val="auto"/>
                      <w:spacing w:val="-2"/>
                      <w:sz w:val="21"/>
                      <w:szCs w:val="21"/>
                      <w:highlight w:val="none"/>
                      <w:lang w:eastAsia="zh-CN"/>
                    </w:rPr>
                    <w:t>喷淋塔+过滤棉+二级活性炭吸附</w:t>
                  </w:r>
                  <w:r>
                    <w:rPr>
                      <w:rFonts w:ascii="Times New Roman" w:hAnsi="Times New Roman" w:eastAsia="宋体"/>
                      <w:color w:val="auto"/>
                      <w:spacing w:val="5"/>
                      <w:position w:val="1"/>
                      <w:sz w:val="21"/>
                      <w:szCs w:val="21"/>
                      <w:highlight w:val="none"/>
                    </w:rPr>
                    <w:t>处理后，通过</w:t>
                  </w:r>
                  <w:r>
                    <w:rPr>
                      <w:rFonts w:ascii="Times New Roman" w:hAnsi="Times New Roman" w:eastAsia="宋体" w:cs="Times New Roman"/>
                      <w:color w:val="auto"/>
                      <w:spacing w:val="5"/>
                      <w:position w:val="1"/>
                      <w:sz w:val="21"/>
                      <w:szCs w:val="21"/>
                      <w:highlight w:val="none"/>
                    </w:rPr>
                    <w:t>1</w:t>
                  </w:r>
                  <w:r>
                    <w:rPr>
                      <w:rFonts w:ascii="Times New Roman" w:hAnsi="Times New Roman" w:eastAsia="宋体"/>
                      <w:color w:val="auto"/>
                      <w:spacing w:val="5"/>
                      <w:position w:val="1"/>
                      <w:sz w:val="21"/>
                      <w:szCs w:val="21"/>
                      <w:highlight w:val="none"/>
                    </w:rPr>
                    <w:t>根</w:t>
                  </w:r>
                  <w:r>
                    <w:rPr>
                      <w:rFonts w:hint="eastAsia" w:ascii="Times New Roman" w:hAnsi="Times New Roman" w:cs="Times New Roman"/>
                      <w:color w:val="auto"/>
                      <w:spacing w:val="6"/>
                      <w:position w:val="1"/>
                      <w:sz w:val="21"/>
                      <w:szCs w:val="21"/>
                      <w:highlight w:val="none"/>
                      <w:lang w:eastAsia="zh-CN"/>
                    </w:rPr>
                    <w:t>15m</w:t>
                  </w:r>
                  <w:r>
                    <w:rPr>
                      <w:rFonts w:ascii="Times New Roman" w:hAnsi="Times New Roman" w:eastAsia="宋体"/>
                      <w:color w:val="auto"/>
                      <w:spacing w:val="6"/>
                      <w:position w:val="1"/>
                      <w:sz w:val="21"/>
                      <w:szCs w:val="21"/>
                      <w:highlight w:val="none"/>
                    </w:rPr>
                    <w:t>高排气筒达标排放</w:t>
                  </w:r>
                </w:p>
                <w:p w14:paraId="777F6B37">
                  <w:pPr>
                    <w:pStyle w:val="91"/>
                    <w:spacing w:line="240" w:lineRule="auto"/>
                    <w:rPr>
                      <w:rFonts w:hint="eastAsia" w:eastAsia="宋体"/>
                      <w:color w:val="auto"/>
                      <w:kern w:val="2"/>
                      <w:sz w:val="21"/>
                      <w:highlight w:val="none"/>
                      <w:lang w:val="en-US" w:eastAsia="zh-CN"/>
                    </w:rPr>
                  </w:pPr>
                  <w:r>
                    <w:rPr>
                      <w:rFonts w:hint="eastAsia"/>
                      <w:color w:val="auto"/>
                      <w:spacing w:val="6"/>
                      <w:position w:val="1"/>
                      <w:sz w:val="21"/>
                      <w:szCs w:val="21"/>
                      <w:highlight w:val="none"/>
                      <w:lang w:eastAsia="zh-CN"/>
                    </w:rPr>
                    <w:t>（</w:t>
                  </w:r>
                  <w:r>
                    <w:rPr>
                      <w:rFonts w:ascii="Times New Roman" w:hAnsi="Times New Roman" w:eastAsia="宋体" w:cs="Times New Roman"/>
                      <w:color w:val="auto"/>
                      <w:position w:val="1"/>
                      <w:sz w:val="21"/>
                      <w:szCs w:val="21"/>
                      <w:highlight w:val="none"/>
                    </w:rPr>
                    <w:t>DA</w:t>
                  </w:r>
                  <w:r>
                    <w:rPr>
                      <w:rFonts w:ascii="Times New Roman" w:hAnsi="Times New Roman" w:eastAsia="宋体" w:cs="Times New Roman"/>
                      <w:color w:val="auto"/>
                      <w:spacing w:val="6"/>
                      <w:position w:val="1"/>
                      <w:sz w:val="21"/>
                      <w:szCs w:val="21"/>
                      <w:highlight w:val="none"/>
                    </w:rPr>
                    <w:t>001</w:t>
                  </w:r>
                  <w:r>
                    <w:rPr>
                      <w:rFonts w:hint="eastAsia" w:cs="Times New Roman"/>
                      <w:color w:val="auto"/>
                      <w:spacing w:val="6"/>
                      <w:position w:val="1"/>
                      <w:sz w:val="21"/>
                      <w:szCs w:val="21"/>
                      <w:highlight w:val="none"/>
                      <w:lang w:eastAsia="zh-CN"/>
                    </w:rPr>
                    <w:t>），</w:t>
                  </w:r>
                  <w:r>
                    <w:rPr>
                      <w:rFonts w:hint="eastAsia" w:cs="Times New Roman"/>
                      <w:color w:val="auto"/>
                      <w:spacing w:val="6"/>
                      <w:position w:val="1"/>
                      <w:sz w:val="21"/>
                      <w:szCs w:val="21"/>
                      <w:highlight w:val="none"/>
                      <w:lang w:val="en-US" w:eastAsia="zh-CN"/>
                    </w:rPr>
                    <w:t>喷粉固化废气、调漆废气、喷漆废气、喷漆固化废气经喷淋塔+过滤棉+二级活性炭吸附处理后，通过1根15m高排气筒达标排放（DA002）</w:t>
                  </w:r>
                  <w:r>
                    <w:rPr>
                      <w:rFonts w:hint="eastAsia" w:cs="Times New Roman"/>
                      <w:color w:val="auto"/>
                      <w:spacing w:val="6"/>
                      <w:position w:val="1"/>
                      <w:sz w:val="21"/>
                      <w:szCs w:val="21"/>
                      <w:highlight w:val="none"/>
                      <w:lang w:eastAsia="zh-CN"/>
                    </w:rPr>
                    <w:t>。</w:t>
                  </w:r>
                </w:p>
              </w:tc>
              <w:tc>
                <w:tcPr>
                  <w:tcW w:w="278" w:type="pct"/>
                  <w:tcBorders>
                    <w:tl2br w:val="nil"/>
                    <w:tr2bl w:val="nil"/>
                  </w:tcBorders>
                  <w:tcMar>
                    <w:top w:w="0" w:type="dxa"/>
                    <w:left w:w="57" w:type="dxa"/>
                    <w:bottom w:w="0" w:type="dxa"/>
                    <w:right w:w="57" w:type="dxa"/>
                  </w:tcMar>
                  <w:vAlign w:val="center"/>
                </w:tcPr>
                <w:p w14:paraId="79BC5DB4">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19A52C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0" w:hRule="atLeast"/>
                <w:jc w:val="center"/>
              </w:trPr>
              <w:tc>
                <w:tcPr>
                  <w:tcW w:w="302" w:type="pct"/>
                  <w:tcBorders>
                    <w:tl2br w:val="nil"/>
                    <w:tr2bl w:val="nil"/>
                  </w:tcBorders>
                  <w:tcMar>
                    <w:top w:w="0" w:type="dxa"/>
                    <w:left w:w="57" w:type="dxa"/>
                    <w:bottom w:w="0" w:type="dxa"/>
                    <w:right w:w="57" w:type="dxa"/>
                  </w:tcMar>
                  <w:vAlign w:val="center"/>
                </w:tcPr>
                <w:p w14:paraId="725977F9">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3</w:t>
                  </w:r>
                </w:p>
              </w:tc>
              <w:tc>
                <w:tcPr>
                  <w:tcW w:w="1271" w:type="pct"/>
                  <w:tcBorders>
                    <w:tl2br w:val="nil"/>
                    <w:tr2bl w:val="nil"/>
                  </w:tcBorders>
                  <w:tcMar>
                    <w:top w:w="0" w:type="dxa"/>
                    <w:left w:w="57" w:type="dxa"/>
                    <w:bottom w:w="0" w:type="dxa"/>
                    <w:right w:w="57" w:type="dxa"/>
                  </w:tcMar>
                  <w:vAlign w:val="center"/>
                </w:tcPr>
                <w:p w14:paraId="2A16E93D">
                  <w:pPr>
                    <w:pStyle w:val="91"/>
                    <w:spacing w:line="240" w:lineRule="auto"/>
                    <w:rPr>
                      <w:rFonts w:hint="eastAsia"/>
                      <w:color w:val="auto"/>
                      <w:kern w:val="2"/>
                      <w:sz w:val="21"/>
                      <w:highlight w:val="none"/>
                    </w:rPr>
                  </w:pPr>
                  <w:r>
                    <w:rPr>
                      <w:rFonts w:hint="eastAsia"/>
                      <w:color w:val="auto"/>
                      <w:kern w:val="2"/>
                      <w:sz w:val="21"/>
                      <w:highlight w:val="none"/>
                    </w:rPr>
                    <w:t>《福建省“十四五”空气质量改善规划》（2022</w:t>
                  </w:r>
                </w:p>
                <w:p w14:paraId="65EB5E94">
                  <w:pPr>
                    <w:pStyle w:val="91"/>
                    <w:spacing w:line="240" w:lineRule="auto"/>
                    <w:rPr>
                      <w:rFonts w:hint="eastAsia" w:eastAsia="宋体"/>
                      <w:color w:val="auto"/>
                      <w:kern w:val="2"/>
                      <w:sz w:val="21"/>
                      <w:highlight w:val="none"/>
                      <w:lang w:val="en-US" w:eastAsia="zh-CN"/>
                    </w:rPr>
                  </w:pPr>
                  <w:r>
                    <w:rPr>
                      <w:rFonts w:hint="eastAsia"/>
                      <w:color w:val="auto"/>
                      <w:kern w:val="2"/>
                      <w:sz w:val="21"/>
                      <w:highlight w:val="none"/>
                    </w:rPr>
                    <w:t>年）</w:t>
                  </w:r>
                </w:p>
              </w:tc>
              <w:tc>
                <w:tcPr>
                  <w:tcW w:w="2031" w:type="pct"/>
                  <w:tcBorders>
                    <w:tl2br w:val="nil"/>
                    <w:tr2bl w:val="nil"/>
                  </w:tcBorders>
                  <w:tcMar>
                    <w:top w:w="0" w:type="dxa"/>
                    <w:left w:w="57" w:type="dxa"/>
                    <w:bottom w:w="0" w:type="dxa"/>
                    <w:right w:w="57" w:type="dxa"/>
                  </w:tcMar>
                  <w:vAlign w:val="center"/>
                </w:tcPr>
                <w:p w14:paraId="1565BE1C">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对家具、汽修、机电等涂装类产业集群，重点推进低（无）VOCs含量涂料替代，鼓励建设集中喷涂中心。.....推广使用水性、高固体分、无溶剂。粉末等低VOCs含量涂料，......木质家具制造、汽车零部件、工程机械使用比例达50%以上；......严格执行涂料、油墨、胶粘剂、清洗剂VOCs含量限值标准，加大抽检力度，确保生产、销售、进口、使用符合标准的产品。严格涉 VOCs建设项目环境影响评价，VOCs排放实行区域内等量替代，福州、厦门、漳州、泉州、莆田、宁德实施VOCs倍量替代。.....按照“应收尽收、分质收集”原则，将无组织排放转变为有组织排放，进行集中处理。</w:t>
                  </w:r>
                </w:p>
              </w:tc>
              <w:tc>
                <w:tcPr>
                  <w:tcW w:w="1116" w:type="pct"/>
                  <w:tcBorders>
                    <w:tl2br w:val="nil"/>
                    <w:tr2bl w:val="nil"/>
                  </w:tcBorders>
                  <w:tcMar>
                    <w:top w:w="0" w:type="dxa"/>
                    <w:left w:w="57" w:type="dxa"/>
                    <w:bottom w:w="0" w:type="dxa"/>
                    <w:right w:w="57" w:type="dxa"/>
                  </w:tcMar>
                  <w:vAlign w:val="center"/>
                </w:tcPr>
                <w:p w14:paraId="58879763">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本项目</w:t>
                  </w:r>
                  <w:r>
                    <w:rPr>
                      <w:rFonts w:hint="eastAsia"/>
                      <w:color w:val="auto"/>
                      <w:kern w:val="2"/>
                      <w:sz w:val="21"/>
                      <w:highlight w:val="none"/>
                      <w:lang w:val="en-US" w:eastAsia="zh-CN"/>
                    </w:rPr>
                    <w:t>电泳工序使用均为低VOCs涂料</w:t>
                  </w:r>
                  <w:r>
                    <w:rPr>
                      <w:rFonts w:hint="eastAsia" w:eastAsia="宋体"/>
                      <w:color w:val="auto"/>
                      <w:kern w:val="2"/>
                      <w:sz w:val="21"/>
                      <w:highlight w:val="none"/>
                      <w:lang w:val="en-US" w:eastAsia="zh-CN"/>
                    </w:rPr>
                    <w:t>；产生的VOCs经收集处理后可实现达标高空排放，VOCs排放实行区域内</w:t>
                  </w:r>
                  <w:r>
                    <w:rPr>
                      <w:rFonts w:hint="eastAsia"/>
                      <w:color w:val="auto"/>
                      <w:kern w:val="2"/>
                      <w:sz w:val="21"/>
                      <w:highlight w:val="none"/>
                      <w:lang w:val="en-US" w:eastAsia="zh-CN"/>
                    </w:rPr>
                    <w:t>倍量</w:t>
                  </w:r>
                  <w:r>
                    <w:rPr>
                      <w:rFonts w:hint="eastAsia" w:eastAsia="宋体"/>
                      <w:color w:val="auto"/>
                      <w:kern w:val="2"/>
                      <w:sz w:val="21"/>
                      <w:highlight w:val="none"/>
                      <w:lang w:val="en-US" w:eastAsia="zh-CN"/>
                    </w:rPr>
                    <w:t>替代</w:t>
                  </w:r>
                  <w:r>
                    <w:rPr>
                      <w:rFonts w:hint="eastAsia"/>
                      <w:color w:val="auto"/>
                      <w:kern w:val="2"/>
                      <w:sz w:val="21"/>
                      <w:highlight w:val="none"/>
                      <w:lang w:val="en-US" w:eastAsia="zh-CN"/>
                    </w:rPr>
                    <w:t>。</w:t>
                  </w:r>
                </w:p>
              </w:tc>
              <w:tc>
                <w:tcPr>
                  <w:tcW w:w="278" w:type="pct"/>
                  <w:tcBorders>
                    <w:tl2br w:val="nil"/>
                    <w:tr2bl w:val="nil"/>
                  </w:tcBorders>
                  <w:tcMar>
                    <w:top w:w="0" w:type="dxa"/>
                    <w:left w:w="57" w:type="dxa"/>
                    <w:bottom w:w="0" w:type="dxa"/>
                    <w:right w:w="57" w:type="dxa"/>
                  </w:tcMar>
                  <w:vAlign w:val="center"/>
                </w:tcPr>
                <w:p w14:paraId="4CD10C6F">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720A61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63" w:hRule="atLeast"/>
                <w:jc w:val="center"/>
              </w:trPr>
              <w:tc>
                <w:tcPr>
                  <w:tcW w:w="302" w:type="pct"/>
                  <w:vMerge w:val="restart"/>
                  <w:tcBorders>
                    <w:tl2br w:val="nil"/>
                    <w:tr2bl w:val="nil"/>
                  </w:tcBorders>
                  <w:tcMar>
                    <w:top w:w="0" w:type="dxa"/>
                    <w:left w:w="57" w:type="dxa"/>
                    <w:bottom w:w="0" w:type="dxa"/>
                    <w:right w:w="57" w:type="dxa"/>
                  </w:tcMar>
                  <w:vAlign w:val="center"/>
                </w:tcPr>
                <w:p w14:paraId="5B7FA554">
                  <w:pPr>
                    <w:pStyle w:val="91"/>
                    <w:spacing w:line="240" w:lineRule="auto"/>
                    <w:rPr>
                      <w:rFonts w:hint="default" w:eastAsia="宋体"/>
                      <w:color w:val="auto"/>
                      <w:kern w:val="2"/>
                      <w:sz w:val="21"/>
                      <w:highlight w:val="none"/>
                      <w:lang w:val="en-US" w:eastAsia="zh-CN"/>
                    </w:rPr>
                  </w:pPr>
                  <w:r>
                    <w:rPr>
                      <w:rFonts w:hint="eastAsia"/>
                      <w:color w:val="auto"/>
                      <w:kern w:val="2"/>
                      <w:sz w:val="21"/>
                      <w:highlight w:val="none"/>
                      <w:lang w:val="en-US" w:eastAsia="zh-CN"/>
                    </w:rPr>
                    <w:t>4</w:t>
                  </w:r>
                </w:p>
              </w:tc>
              <w:tc>
                <w:tcPr>
                  <w:tcW w:w="1271" w:type="pct"/>
                  <w:vMerge w:val="restart"/>
                  <w:tcBorders>
                    <w:tl2br w:val="nil"/>
                    <w:tr2bl w:val="nil"/>
                  </w:tcBorders>
                  <w:tcMar>
                    <w:top w:w="0" w:type="dxa"/>
                    <w:left w:w="57" w:type="dxa"/>
                    <w:bottom w:w="0" w:type="dxa"/>
                    <w:right w:w="57" w:type="dxa"/>
                  </w:tcMar>
                  <w:vAlign w:val="center"/>
                </w:tcPr>
                <w:p w14:paraId="7088DC99">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挥发性有机物</w:t>
                  </w:r>
                  <w:r>
                    <w:rPr>
                      <w:rFonts w:hint="eastAsia"/>
                      <w:color w:val="auto"/>
                      <w:kern w:val="2"/>
                      <w:sz w:val="21"/>
                      <w:highlight w:val="none"/>
                      <w:lang w:val="en-US" w:eastAsia="zh-CN"/>
                    </w:rPr>
                    <w:t>（</w:t>
                  </w:r>
                  <w:r>
                    <w:rPr>
                      <w:rFonts w:hint="default" w:eastAsia="宋体"/>
                      <w:color w:val="auto"/>
                      <w:kern w:val="2"/>
                      <w:sz w:val="21"/>
                      <w:highlight w:val="none"/>
                      <w:lang w:val="en-US" w:eastAsia="zh-CN"/>
                    </w:rPr>
                    <w:t>VOCs</w:t>
                  </w:r>
                  <w:r>
                    <w:rPr>
                      <w:rFonts w:hint="eastAsia"/>
                      <w:color w:val="auto"/>
                      <w:kern w:val="2"/>
                      <w:sz w:val="21"/>
                      <w:highlight w:val="none"/>
                      <w:lang w:val="en-US" w:eastAsia="zh-CN"/>
                    </w:rPr>
                    <w:t>）</w:t>
                  </w:r>
                  <w:r>
                    <w:rPr>
                      <w:rFonts w:hint="default" w:eastAsia="宋体"/>
                      <w:color w:val="auto"/>
                      <w:kern w:val="2"/>
                      <w:sz w:val="21"/>
                      <w:highlight w:val="none"/>
                      <w:lang w:val="en-US" w:eastAsia="zh-CN"/>
                    </w:rPr>
                    <w:t>污染防治技术政策</w:t>
                  </w:r>
                  <w:r>
                    <w:rPr>
                      <w:rFonts w:hint="eastAsia"/>
                      <w:color w:val="auto"/>
                      <w:kern w:val="2"/>
                      <w:sz w:val="21"/>
                      <w:highlight w:val="none"/>
                      <w:lang w:val="en-US" w:eastAsia="zh-CN"/>
                    </w:rPr>
                    <w:t>（</w:t>
                  </w:r>
                  <w:r>
                    <w:rPr>
                      <w:rFonts w:hint="default" w:eastAsia="宋体"/>
                      <w:color w:val="auto"/>
                      <w:kern w:val="2"/>
                      <w:sz w:val="21"/>
                      <w:highlight w:val="none"/>
                      <w:lang w:val="en-US" w:eastAsia="zh-CN"/>
                    </w:rPr>
                    <w:t>公告2013年第31号</w:t>
                  </w:r>
                  <w:r>
                    <w:rPr>
                      <w:rFonts w:hint="eastAsia"/>
                      <w:color w:val="auto"/>
                      <w:kern w:val="2"/>
                      <w:sz w:val="21"/>
                      <w:highlight w:val="none"/>
                      <w:lang w:val="en-US" w:eastAsia="zh-CN"/>
                    </w:rPr>
                    <w:t>）</w:t>
                  </w:r>
                </w:p>
              </w:tc>
              <w:tc>
                <w:tcPr>
                  <w:tcW w:w="2031" w:type="pct"/>
                  <w:tcBorders>
                    <w:tl2br w:val="nil"/>
                    <w:tr2bl w:val="nil"/>
                  </w:tcBorders>
                  <w:tcMar>
                    <w:top w:w="0" w:type="dxa"/>
                    <w:left w:w="57" w:type="dxa"/>
                    <w:bottom w:w="0" w:type="dxa"/>
                    <w:right w:w="57" w:type="dxa"/>
                  </w:tcMar>
                  <w:vAlign w:val="center"/>
                </w:tcPr>
                <w:p w14:paraId="1F82BCF7">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源头和过程控制含VOCs产品的使用过程中，应采取废气收集措施，提高废气收集效率，减少废气的无组织排放与逸散，并对收集后的废气进行回收或处理后达标排放。</w:t>
                  </w:r>
                </w:p>
              </w:tc>
              <w:tc>
                <w:tcPr>
                  <w:tcW w:w="1116" w:type="pct"/>
                  <w:tcBorders>
                    <w:tl2br w:val="nil"/>
                    <w:tr2bl w:val="nil"/>
                  </w:tcBorders>
                  <w:tcMar>
                    <w:top w:w="0" w:type="dxa"/>
                    <w:left w:w="57" w:type="dxa"/>
                    <w:bottom w:w="0" w:type="dxa"/>
                    <w:right w:w="57" w:type="dxa"/>
                  </w:tcMar>
                  <w:vAlign w:val="center"/>
                </w:tcPr>
                <w:p w14:paraId="69B0725A">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highlight w:val="none"/>
                    </w:rPr>
                  </w:pPr>
                  <w:r>
                    <w:rPr>
                      <w:rFonts w:hint="eastAsia" w:eastAsia="宋体"/>
                      <w:color w:val="auto"/>
                      <w:kern w:val="2"/>
                      <w:sz w:val="21"/>
                      <w:highlight w:val="none"/>
                      <w:lang w:val="en-US" w:eastAsia="zh-CN"/>
                    </w:rPr>
                    <w:t>本项目为汽车零部件及配件制造项目，</w:t>
                  </w:r>
                  <w:r>
                    <w:rPr>
                      <w:rFonts w:hint="default" w:eastAsia="宋体"/>
                      <w:color w:val="auto"/>
                      <w:kern w:val="2"/>
                      <w:sz w:val="21"/>
                      <w:highlight w:val="none"/>
                      <w:lang w:val="en-US" w:eastAsia="zh-CN"/>
                    </w:rPr>
                    <w:t>生产工艺无法做到完全密闭，在产生有机废气部位</w:t>
                  </w:r>
                  <w:r>
                    <w:rPr>
                      <w:rFonts w:hint="eastAsia" w:eastAsia="宋体"/>
                      <w:color w:val="auto"/>
                      <w:kern w:val="2"/>
                      <w:sz w:val="21"/>
                      <w:highlight w:val="none"/>
                      <w:lang w:val="en-US" w:eastAsia="zh-CN"/>
                    </w:rPr>
                    <w:t>安装了VOCs收集及治理措施</w:t>
                  </w:r>
                  <w:r>
                    <w:rPr>
                      <w:rFonts w:hint="default" w:eastAsia="宋体"/>
                      <w:color w:val="auto"/>
                      <w:kern w:val="2"/>
                      <w:sz w:val="21"/>
                      <w:highlight w:val="none"/>
                      <w:lang w:val="en-US" w:eastAsia="zh-CN"/>
                    </w:rPr>
                    <w:t>，</w:t>
                  </w:r>
                  <w:r>
                    <w:rPr>
                      <w:rFonts w:ascii="Times New Roman" w:hAnsi="Times New Roman" w:eastAsia="宋体"/>
                      <w:color w:val="auto"/>
                      <w:spacing w:val="-2"/>
                      <w:sz w:val="21"/>
                      <w:szCs w:val="21"/>
                      <w:highlight w:val="none"/>
                    </w:rPr>
                    <w:t>电泳、</w:t>
                  </w:r>
                  <w:r>
                    <w:rPr>
                      <w:rFonts w:hint="eastAsia" w:ascii="Times New Roman" w:hAnsi="Times New Roman"/>
                      <w:color w:val="auto"/>
                      <w:spacing w:val="-2"/>
                      <w:sz w:val="21"/>
                      <w:szCs w:val="21"/>
                      <w:highlight w:val="none"/>
                      <w:lang w:val="en-US" w:eastAsia="zh-CN"/>
                    </w:rPr>
                    <w:t>电泳</w:t>
                  </w:r>
                  <w:r>
                    <w:rPr>
                      <w:rFonts w:ascii="Times New Roman" w:hAnsi="Times New Roman" w:eastAsia="宋体"/>
                      <w:color w:val="auto"/>
                      <w:spacing w:val="-2"/>
                      <w:sz w:val="21"/>
                      <w:szCs w:val="21"/>
                      <w:highlight w:val="none"/>
                    </w:rPr>
                    <w:t>烘干废气经</w:t>
                  </w:r>
                  <w:r>
                    <w:rPr>
                      <w:rFonts w:hint="eastAsia" w:ascii="Times New Roman" w:hAnsi="Times New Roman"/>
                      <w:color w:val="auto"/>
                      <w:spacing w:val="-2"/>
                      <w:sz w:val="21"/>
                      <w:szCs w:val="21"/>
                      <w:highlight w:val="none"/>
                      <w:lang w:eastAsia="zh-CN"/>
                    </w:rPr>
                    <w:t>喷淋塔+过滤棉+二级活性炭吸附</w:t>
                  </w:r>
                  <w:r>
                    <w:rPr>
                      <w:rFonts w:ascii="Times New Roman" w:hAnsi="Times New Roman" w:eastAsia="宋体"/>
                      <w:color w:val="auto"/>
                      <w:spacing w:val="5"/>
                      <w:position w:val="1"/>
                      <w:sz w:val="21"/>
                      <w:szCs w:val="21"/>
                      <w:highlight w:val="none"/>
                    </w:rPr>
                    <w:t>处理后，通过</w:t>
                  </w:r>
                  <w:r>
                    <w:rPr>
                      <w:rFonts w:ascii="Times New Roman" w:hAnsi="Times New Roman" w:eastAsia="宋体" w:cs="Times New Roman"/>
                      <w:color w:val="auto"/>
                      <w:spacing w:val="5"/>
                      <w:position w:val="1"/>
                      <w:sz w:val="21"/>
                      <w:szCs w:val="21"/>
                      <w:highlight w:val="none"/>
                    </w:rPr>
                    <w:t>1</w:t>
                  </w:r>
                  <w:r>
                    <w:rPr>
                      <w:rFonts w:ascii="Times New Roman" w:hAnsi="Times New Roman" w:eastAsia="宋体"/>
                      <w:color w:val="auto"/>
                      <w:spacing w:val="5"/>
                      <w:position w:val="1"/>
                      <w:sz w:val="21"/>
                      <w:szCs w:val="21"/>
                      <w:highlight w:val="none"/>
                    </w:rPr>
                    <w:t>根</w:t>
                  </w:r>
                  <w:r>
                    <w:rPr>
                      <w:rFonts w:hint="eastAsia" w:ascii="Times New Roman" w:hAnsi="Times New Roman" w:cs="Times New Roman"/>
                      <w:color w:val="auto"/>
                      <w:spacing w:val="6"/>
                      <w:position w:val="1"/>
                      <w:sz w:val="21"/>
                      <w:szCs w:val="21"/>
                      <w:highlight w:val="none"/>
                      <w:lang w:eastAsia="zh-CN"/>
                    </w:rPr>
                    <w:t>15m</w:t>
                  </w:r>
                  <w:r>
                    <w:rPr>
                      <w:rFonts w:ascii="Times New Roman" w:hAnsi="Times New Roman" w:eastAsia="宋体"/>
                      <w:color w:val="auto"/>
                      <w:spacing w:val="6"/>
                      <w:position w:val="1"/>
                      <w:sz w:val="21"/>
                      <w:szCs w:val="21"/>
                      <w:highlight w:val="none"/>
                    </w:rPr>
                    <w:t>高排气筒达标排放</w:t>
                  </w:r>
                </w:p>
                <w:p w14:paraId="41EBEA1B">
                  <w:pPr>
                    <w:pStyle w:val="91"/>
                    <w:spacing w:line="240" w:lineRule="auto"/>
                    <w:jc w:val="center"/>
                    <w:rPr>
                      <w:rFonts w:hint="default" w:eastAsia="宋体"/>
                      <w:color w:val="auto"/>
                      <w:kern w:val="2"/>
                      <w:sz w:val="21"/>
                      <w:highlight w:val="none"/>
                      <w:lang w:val="en-US" w:eastAsia="zh-CN"/>
                    </w:rPr>
                  </w:pPr>
                  <w:r>
                    <w:rPr>
                      <w:rFonts w:hint="eastAsia"/>
                      <w:color w:val="auto"/>
                      <w:spacing w:val="6"/>
                      <w:position w:val="1"/>
                      <w:sz w:val="21"/>
                      <w:szCs w:val="21"/>
                      <w:highlight w:val="none"/>
                      <w:lang w:eastAsia="zh-CN"/>
                    </w:rPr>
                    <w:t>（</w:t>
                  </w:r>
                  <w:r>
                    <w:rPr>
                      <w:rFonts w:ascii="Times New Roman" w:hAnsi="Times New Roman" w:eastAsia="宋体" w:cs="Times New Roman"/>
                      <w:color w:val="auto"/>
                      <w:position w:val="1"/>
                      <w:sz w:val="21"/>
                      <w:szCs w:val="21"/>
                      <w:highlight w:val="none"/>
                    </w:rPr>
                    <w:t>DA</w:t>
                  </w:r>
                  <w:r>
                    <w:rPr>
                      <w:rFonts w:ascii="Times New Roman" w:hAnsi="Times New Roman" w:eastAsia="宋体" w:cs="Times New Roman"/>
                      <w:color w:val="auto"/>
                      <w:spacing w:val="6"/>
                      <w:position w:val="1"/>
                      <w:sz w:val="21"/>
                      <w:szCs w:val="21"/>
                      <w:highlight w:val="none"/>
                    </w:rPr>
                    <w:t>001</w:t>
                  </w:r>
                  <w:r>
                    <w:rPr>
                      <w:rFonts w:hint="eastAsia" w:cs="Times New Roman"/>
                      <w:color w:val="auto"/>
                      <w:spacing w:val="6"/>
                      <w:position w:val="1"/>
                      <w:sz w:val="21"/>
                      <w:szCs w:val="21"/>
                      <w:highlight w:val="none"/>
                      <w:lang w:eastAsia="zh-CN"/>
                    </w:rPr>
                    <w:t>），</w:t>
                  </w:r>
                  <w:r>
                    <w:rPr>
                      <w:rFonts w:hint="eastAsia" w:cs="Times New Roman"/>
                      <w:color w:val="auto"/>
                      <w:spacing w:val="6"/>
                      <w:position w:val="1"/>
                      <w:sz w:val="21"/>
                      <w:szCs w:val="21"/>
                      <w:highlight w:val="none"/>
                      <w:lang w:val="en-US" w:eastAsia="zh-CN"/>
                    </w:rPr>
                    <w:t>喷粉固化废气、调漆废气、喷漆废气、喷漆固化废气经喷淋塔+过滤棉+二级活性炭吸附处理后，通过1根15m高排气筒达标排放（DA002）</w:t>
                  </w:r>
                  <w:r>
                    <w:rPr>
                      <w:rFonts w:hint="eastAsia" w:cs="Times New Roman"/>
                      <w:color w:val="auto"/>
                      <w:spacing w:val="6"/>
                      <w:position w:val="1"/>
                      <w:sz w:val="21"/>
                      <w:szCs w:val="21"/>
                      <w:highlight w:val="none"/>
                      <w:lang w:eastAsia="zh-CN"/>
                    </w:rPr>
                    <w:t>。</w:t>
                  </w:r>
                </w:p>
              </w:tc>
              <w:tc>
                <w:tcPr>
                  <w:tcW w:w="278" w:type="pct"/>
                  <w:tcBorders>
                    <w:tl2br w:val="nil"/>
                    <w:tr2bl w:val="nil"/>
                  </w:tcBorders>
                  <w:tcMar>
                    <w:top w:w="0" w:type="dxa"/>
                    <w:left w:w="57" w:type="dxa"/>
                    <w:bottom w:w="0" w:type="dxa"/>
                    <w:right w:w="57" w:type="dxa"/>
                  </w:tcMar>
                  <w:vAlign w:val="center"/>
                </w:tcPr>
                <w:p w14:paraId="40AC7CA1">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7804D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81" w:hRule="atLeast"/>
                <w:jc w:val="center"/>
              </w:trPr>
              <w:tc>
                <w:tcPr>
                  <w:tcW w:w="302" w:type="pct"/>
                  <w:vMerge w:val="continue"/>
                  <w:tcBorders>
                    <w:tl2br w:val="nil"/>
                    <w:tr2bl w:val="nil"/>
                  </w:tcBorders>
                  <w:tcMar>
                    <w:top w:w="0" w:type="dxa"/>
                    <w:left w:w="57" w:type="dxa"/>
                    <w:bottom w:w="0" w:type="dxa"/>
                    <w:right w:w="57" w:type="dxa"/>
                  </w:tcMar>
                  <w:vAlign w:val="center"/>
                </w:tcPr>
                <w:p w14:paraId="6DABAC2D">
                  <w:pPr>
                    <w:pStyle w:val="91"/>
                    <w:spacing w:line="240" w:lineRule="auto"/>
                    <w:rPr>
                      <w:rFonts w:hint="default" w:eastAsia="宋体"/>
                      <w:color w:val="auto"/>
                      <w:kern w:val="2"/>
                      <w:sz w:val="21"/>
                      <w:highlight w:val="none"/>
                      <w:lang w:val="en-US" w:eastAsia="zh-CN"/>
                    </w:rPr>
                  </w:pPr>
                </w:p>
              </w:tc>
              <w:tc>
                <w:tcPr>
                  <w:tcW w:w="1271" w:type="pct"/>
                  <w:vMerge w:val="continue"/>
                  <w:tcBorders>
                    <w:tl2br w:val="nil"/>
                    <w:tr2bl w:val="nil"/>
                  </w:tcBorders>
                  <w:tcMar>
                    <w:top w:w="0" w:type="dxa"/>
                    <w:left w:w="57" w:type="dxa"/>
                    <w:bottom w:w="0" w:type="dxa"/>
                    <w:right w:w="57" w:type="dxa"/>
                  </w:tcMar>
                  <w:vAlign w:val="center"/>
                </w:tcPr>
                <w:p w14:paraId="11B17D8A">
                  <w:pPr>
                    <w:pStyle w:val="91"/>
                    <w:spacing w:line="240" w:lineRule="auto"/>
                    <w:rPr>
                      <w:rFonts w:hint="default" w:eastAsia="宋体"/>
                      <w:color w:val="auto"/>
                      <w:kern w:val="2"/>
                      <w:sz w:val="21"/>
                      <w:highlight w:val="none"/>
                      <w:lang w:val="en-US" w:eastAsia="zh-CN"/>
                    </w:rPr>
                  </w:pPr>
                </w:p>
              </w:tc>
              <w:tc>
                <w:tcPr>
                  <w:tcW w:w="2031" w:type="pct"/>
                  <w:tcBorders>
                    <w:tl2br w:val="nil"/>
                    <w:tr2bl w:val="nil"/>
                  </w:tcBorders>
                  <w:tcMar>
                    <w:top w:w="0" w:type="dxa"/>
                    <w:left w:w="57" w:type="dxa"/>
                    <w:bottom w:w="0" w:type="dxa"/>
                    <w:right w:w="57" w:type="dxa"/>
                  </w:tcMar>
                  <w:vAlign w:val="center"/>
                </w:tcPr>
                <w:p w14:paraId="4F493057">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三、末端治理与综合利用</w:t>
                  </w:r>
                  <w:r>
                    <w:rPr>
                      <w:rFonts w:hint="eastAsia"/>
                      <w:color w:val="auto"/>
                      <w:kern w:val="2"/>
                      <w:sz w:val="21"/>
                      <w:highlight w:val="none"/>
                      <w:lang w:val="en-US" w:eastAsia="zh-CN"/>
                    </w:rPr>
                    <w:t>（</w:t>
                  </w:r>
                  <w:r>
                    <w:rPr>
                      <w:rFonts w:hint="default" w:eastAsia="宋体"/>
                      <w:color w:val="auto"/>
                      <w:kern w:val="2"/>
                      <w:sz w:val="21"/>
                      <w:highlight w:val="none"/>
                      <w:lang w:val="en-US" w:eastAsia="zh-CN"/>
                    </w:rPr>
                    <w:t>十五</w:t>
                  </w:r>
                  <w:r>
                    <w:rPr>
                      <w:rFonts w:hint="eastAsia"/>
                      <w:color w:val="auto"/>
                      <w:kern w:val="2"/>
                      <w:sz w:val="21"/>
                      <w:highlight w:val="none"/>
                      <w:lang w:val="en-US" w:eastAsia="zh-CN"/>
                    </w:rPr>
                    <w:t>）</w:t>
                  </w:r>
                  <w:r>
                    <w:rPr>
                      <w:rFonts w:hint="default" w:eastAsia="宋体"/>
                      <w:color w:val="auto"/>
                      <w:kern w:val="2"/>
                      <w:sz w:val="21"/>
                      <w:highlight w:val="none"/>
                      <w:lang w:val="en-US" w:eastAsia="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116" w:type="pct"/>
                  <w:tcBorders>
                    <w:tl2br w:val="nil"/>
                    <w:tr2bl w:val="nil"/>
                  </w:tcBorders>
                  <w:tcMar>
                    <w:top w:w="0" w:type="dxa"/>
                    <w:left w:w="57" w:type="dxa"/>
                    <w:bottom w:w="0" w:type="dxa"/>
                    <w:right w:w="57" w:type="dxa"/>
                  </w:tcMar>
                  <w:vAlign w:val="center"/>
                </w:tcPr>
                <w:p w14:paraId="0FC1F9CF">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本项目有机废气浓度较低，采用</w:t>
                  </w:r>
                  <w:r>
                    <w:rPr>
                      <w:rFonts w:hint="eastAsia"/>
                      <w:color w:val="auto"/>
                      <w:kern w:val="2"/>
                      <w:sz w:val="21"/>
                      <w:highlight w:val="none"/>
                      <w:lang w:val="en-US" w:eastAsia="zh-CN"/>
                    </w:rPr>
                    <w:t>喷淋塔+过滤棉+二级活性炭吸附</w:t>
                  </w:r>
                  <w:r>
                    <w:rPr>
                      <w:rFonts w:hint="default" w:eastAsia="宋体"/>
                      <w:color w:val="auto"/>
                      <w:kern w:val="2"/>
                      <w:sz w:val="21"/>
                      <w:highlight w:val="none"/>
                      <w:lang w:val="en-US" w:eastAsia="zh-CN"/>
                    </w:rPr>
                    <w:t>装置+</w:t>
                  </w:r>
                  <w:r>
                    <w:rPr>
                      <w:rFonts w:hint="eastAsia"/>
                      <w:color w:val="auto"/>
                      <w:kern w:val="2"/>
                      <w:sz w:val="21"/>
                      <w:highlight w:val="none"/>
                      <w:lang w:val="en-US" w:eastAsia="zh-CN"/>
                    </w:rPr>
                    <w:t>15m</w:t>
                  </w:r>
                  <w:r>
                    <w:rPr>
                      <w:rFonts w:hint="default" w:eastAsia="宋体"/>
                      <w:color w:val="auto"/>
                      <w:kern w:val="2"/>
                      <w:sz w:val="21"/>
                      <w:highlight w:val="none"/>
                      <w:lang w:val="en-US" w:eastAsia="zh-CN"/>
                    </w:rPr>
                    <w:t>排气筒外排</w:t>
                  </w:r>
                  <w:r>
                    <w:rPr>
                      <w:rFonts w:hint="eastAsia" w:eastAsia="宋体"/>
                      <w:color w:val="auto"/>
                      <w:kern w:val="2"/>
                      <w:sz w:val="21"/>
                      <w:highlight w:val="none"/>
                      <w:lang w:val="en-US" w:eastAsia="zh-CN"/>
                    </w:rPr>
                    <w:t>。</w:t>
                  </w:r>
                </w:p>
              </w:tc>
              <w:tc>
                <w:tcPr>
                  <w:tcW w:w="278" w:type="pct"/>
                  <w:tcBorders>
                    <w:tl2br w:val="nil"/>
                    <w:tr2bl w:val="nil"/>
                  </w:tcBorders>
                  <w:tcMar>
                    <w:top w:w="0" w:type="dxa"/>
                    <w:left w:w="57" w:type="dxa"/>
                    <w:bottom w:w="0" w:type="dxa"/>
                    <w:right w:w="57" w:type="dxa"/>
                  </w:tcMar>
                  <w:vAlign w:val="center"/>
                </w:tcPr>
                <w:p w14:paraId="15FB88DF">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53D526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302" w:type="pct"/>
                  <w:vMerge w:val="continue"/>
                  <w:tcBorders>
                    <w:tl2br w:val="nil"/>
                    <w:tr2bl w:val="nil"/>
                  </w:tcBorders>
                  <w:tcMar>
                    <w:top w:w="0" w:type="dxa"/>
                    <w:left w:w="57" w:type="dxa"/>
                    <w:bottom w:w="0" w:type="dxa"/>
                    <w:right w:w="57" w:type="dxa"/>
                  </w:tcMar>
                  <w:vAlign w:val="center"/>
                </w:tcPr>
                <w:p w14:paraId="56816B5C">
                  <w:pPr>
                    <w:pStyle w:val="91"/>
                    <w:spacing w:line="240" w:lineRule="auto"/>
                    <w:rPr>
                      <w:rFonts w:hint="default" w:eastAsia="宋体"/>
                      <w:color w:val="auto"/>
                      <w:kern w:val="2"/>
                      <w:sz w:val="21"/>
                      <w:highlight w:val="none"/>
                      <w:lang w:val="en-US" w:eastAsia="zh-CN"/>
                    </w:rPr>
                  </w:pPr>
                </w:p>
              </w:tc>
              <w:tc>
                <w:tcPr>
                  <w:tcW w:w="1271" w:type="pct"/>
                  <w:vMerge w:val="continue"/>
                  <w:tcBorders>
                    <w:tl2br w:val="nil"/>
                    <w:tr2bl w:val="nil"/>
                  </w:tcBorders>
                  <w:tcMar>
                    <w:top w:w="0" w:type="dxa"/>
                    <w:left w:w="57" w:type="dxa"/>
                    <w:bottom w:w="0" w:type="dxa"/>
                    <w:right w:w="57" w:type="dxa"/>
                  </w:tcMar>
                  <w:vAlign w:val="center"/>
                </w:tcPr>
                <w:p w14:paraId="1EACA006">
                  <w:pPr>
                    <w:pStyle w:val="91"/>
                    <w:spacing w:line="240" w:lineRule="auto"/>
                    <w:rPr>
                      <w:rFonts w:hint="default" w:eastAsia="宋体"/>
                      <w:color w:val="auto"/>
                      <w:kern w:val="2"/>
                      <w:sz w:val="21"/>
                      <w:highlight w:val="none"/>
                      <w:lang w:val="en-US" w:eastAsia="zh-CN"/>
                    </w:rPr>
                  </w:pPr>
                </w:p>
              </w:tc>
              <w:tc>
                <w:tcPr>
                  <w:tcW w:w="2031" w:type="pct"/>
                  <w:tcBorders>
                    <w:tl2br w:val="nil"/>
                    <w:tr2bl w:val="nil"/>
                  </w:tcBorders>
                  <w:tcMar>
                    <w:top w:w="0" w:type="dxa"/>
                    <w:left w:w="57" w:type="dxa"/>
                    <w:bottom w:w="0" w:type="dxa"/>
                    <w:right w:w="57" w:type="dxa"/>
                  </w:tcMar>
                  <w:vAlign w:val="center"/>
                </w:tcPr>
                <w:p w14:paraId="27F2E71C">
                  <w:pPr>
                    <w:pStyle w:val="91"/>
                    <w:spacing w:line="240" w:lineRule="auto"/>
                    <w:rPr>
                      <w:rFonts w:hint="default" w:eastAsia="宋体"/>
                      <w:color w:val="auto"/>
                      <w:kern w:val="2"/>
                      <w:sz w:val="21"/>
                      <w:highlight w:val="none"/>
                      <w:lang w:val="en-US" w:eastAsia="zh-CN"/>
                    </w:rPr>
                  </w:pPr>
                  <w:r>
                    <w:rPr>
                      <w:rFonts w:hint="eastAsia"/>
                      <w:color w:val="auto"/>
                      <w:kern w:val="2"/>
                      <w:sz w:val="21"/>
                      <w:highlight w:val="none"/>
                      <w:lang w:val="en-US" w:eastAsia="zh-CN"/>
                    </w:rPr>
                    <w:t>（二十）</w:t>
                  </w:r>
                  <w:r>
                    <w:rPr>
                      <w:rFonts w:hint="default" w:eastAsia="宋体"/>
                      <w:color w:val="auto"/>
                      <w:kern w:val="2"/>
                      <w:sz w:val="21"/>
                      <w:highlight w:val="none"/>
                      <w:lang w:val="en-US" w:eastAsia="zh-CN"/>
                    </w:rPr>
                    <w:t>对于不能再生的过滤材料、吸附剂及催化剂等净化材料，应按照国家固体废物管理的相关规定处理处置。</w:t>
                  </w:r>
                </w:p>
              </w:tc>
              <w:tc>
                <w:tcPr>
                  <w:tcW w:w="1116" w:type="pct"/>
                  <w:tcBorders>
                    <w:tl2br w:val="nil"/>
                    <w:tr2bl w:val="nil"/>
                  </w:tcBorders>
                  <w:tcMar>
                    <w:top w:w="0" w:type="dxa"/>
                    <w:left w:w="57" w:type="dxa"/>
                    <w:bottom w:w="0" w:type="dxa"/>
                    <w:right w:w="57" w:type="dxa"/>
                  </w:tcMar>
                  <w:vAlign w:val="center"/>
                </w:tcPr>
                <w:p w14:paraId="355EFD5D">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本项目废气处理设施中产生的废活性炭委托有资质的单位进行处置</w:t>
                  </w:r>
                  <w:r>
                    <w:rPr>
                      <w:rFonts w:hint="eastAsia" w:eastAsia="宋体"/>
                      <w:color w:val="auto"/>
                      <w:kern w:val="2"/>
                      <w:sz w:val="21"/>
                      <w:highlight w:val="none"/>
                      <w:lang w:val="en-US" w:eastAsia="zh-CN"/>
                    </w:rPr>
                    <w:t>。</w:t>
                  </w:r>
                </w:p>
              </w:tc>
              <w:tc>
                <w:tcPr>
                  <w:tcW w:w="278" w:type="pct"/>
                  <w:tcBorders>
                    <w:tl2br w:val="nil"/>
                    <w:tr2bl w:val="nil"/>
                  </w:tcBorders>
                  <w:tcMar>
                    <w:top w:w="0" w:type="dxa"/>
                    <w:left w:w="57" w:type="dxa"/>
                    <w:bottom w:w="0" w:type="dxa"/>
                    <w:right w:w="57" w:type="dxa"/>
                  </w:tcMar>
                  <w:vAlign w:val="center"/>
                </w:tcPr>
                <w:p w14:paraId="124D5B67">
                  <w:pPr>
                    <w:pStyle w:val="91"/>
                    <w:spacing w:line="240" w:lineRule="auto"/>
                    <w:rPr>
                      <w:rFonts w:hint="default"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0BE4E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302" w:type="pct"/>
                  <w:tcBorders>
                    <w:tl2br w:val="nil"/>
                    <w:tr2bl w:val="nil"/>
                  </w:tcBorders>
                  <w:tcMar>
                    <w:top w:w="0" w:type="dxa"/>
                    <w:left w:w="57" w:type="dxa"/>
                    <w:bottom w:w="0" w:type="dxa"/>
                    <w:right w:w="57" w:type="dxa"/>
                  </w:tcMar>
                  <w:vAlign w:val="center"/>
                </w:tcPr>
                <w:p w14:paraId="0FF18206">
                  <w:pPr>
                    <w:pStyle w:val="91"/>
                    <w:spacing w:line="240" w:lineRule="auto"/>
                    <w:rPr>
                      <w:rFonts w:hint="default" w:eastAsia="宋体"/>
                      <w:color w:val="auto"/>
                      <w:kern w:val="2"/>
                      <w:sz w:val="21"/>
                      <w:highlight w:val="none"/>
                      <w:lang w:val="en-US" w:eastAsia="zh-CN"/>
                    </w:rPr>
                  </w:pPr>
                  <w:r>
                    <w:rPr>
                      <w:rFonts w:hint="eastAsia"/>
                      <w:color w:val="auto"/>
                      <w:kern w:val="2"/>
                      <w:sz w:val="21"/>
                      <w:highlight w:val="none"/>
                      <w:lang w:val="en-US" w:eastAsia="zh-CN"/>
                    </w:rPr>
                    <w:t>5</w:t>
                  </w:r>
                </w:p>
              </w:tc>
              <w:tc>
                <w:tcPr>
                  <w:tcW w:w="1271" w:type="pct"/>
                  <w:tcBorders>
                    <w:tl2br w:val="nil"/>
                    <w:tr2bl w:val="nil"/>
                  </w:tcBorders>
                  <w:tcMar>
                    <w:top w:w="0" w:type="dxa"/>
                    <w:left w:w="57" w:type="dxa"/>
                    <w:bottom w:w="0" w:type="dxa"/>
                    <w:right w:w="57" w:type="dxa"/>
                  </w:tcMar>
                  <w:vAlign w:val="center"/>
                </w:tcPr>
                <w:p w14:paraId="4EDA4D88">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《挥发性有机物无组织排放控制标准》（GB37822-2019）</w:t>
                  </w:r>
                </w:p>
              </w:tc>
              <w:tc>
                <w:tcPr>
                  <w:tcW w:w="2031" w:type="pct"/>
                  <w:tcBorders>
                    <w:tl2br w:val="nil"/>
                    <w:tr2bl w:val="nil"/>
                  </w:tcBorders>
                  <w:tcMar>
                    <w:top w:w="0" w:type="dxa"/>
                    <w:left w:w="57" w:type="dxa"/>
                    <w:bottom w:w="0" w:type="dxa"/>
                    <w:right w:w="57" w:type="dxa"/>
                  </w:tcMar>
                  <w:vAlign w:val="center"/>
                </w:tcPr>
                <w:p w14:paraId="6F3DBEFF">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7 工艺工程VOCs无组织排放控制要求</w:t>
                  </w:r>
                </w:p>
                <w:p w14:paraId="35E51976">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7.2.1 VOCs质量占比大于等于10%的含VOCs产品，其使用过程应采用密闭设备或在密闭空间内操作，废气应排至VOCs废气收集处理系统；无法密闭的，应采取局部气体收集措施，废气应排至VOCs废气收集处理系统。</w:t>
                  </w:r>
                </w:p>
                <w:p w14:paraId="1A327900">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10 VOCs无组织排放废气收集处理系统要求</w:t>
                  </w:r>
                </w:p>
                <w:p w14:paraId="7617B136">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10.1VOCs废气收集处理系统应与生产工艺设备同步运行。VOCs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w:t>
                  </w:r>
                </w:p>
                <w:p w14:paraId="0213B460">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10.2企业应考虑生产工艺、操作方式、废气性质、处理方法等因素，对VOCs废气进行分类收集。废气收集系统排风罩</w:t>
                  </w:r>
                  <w:r>
                    <w:rPr>
                      <w:rFonts w:hint="eastAsia"/>
                      <w:color w:val="auto"/>
                      <w:kern w:val="2"/>
                      <w:sz w:val="21"/>
                      <w:highlight w:val="none"/>
                      <w:lang w:val="en-US" w:eastAsia="zh-CN"/>
                    </w:rPr>
                    <w:t>（</w:t>
                  </w:r>
                  <w:r>
                    <w:rPr>
                      <w:rFonts w:hint="default" w:eastAsia="宋体"/>
                      <w:color w:val="auto"/>
                      <w:kern w:val="2"/>
                      <w:sz w:val="21"/>
                      <w:highlight w:val="none"/>
                      <w:lang w:val="en-US" w:eastAsia="zh-CN"/>
                    </w:rPr>
                    <w:t>集气罩</w:t>
                  </w:r>
                  <w:r>
                    <w:rPr>
                      <w:rFonts w:hint="eastAsia"/>
                      <w:color w:val="auto"/>
                      <w:kern w:val="2"/>
                      <w:sz w:val="21"/>
                      <w:highlight w:val="none"/>
                      <w:lang w:val="en-US" w:eastAsia="zh-CN"/>
                    </w:rPr>
                    <w:t>）</w:t>
                  </w:r>
                  <w:r>
                    <w:rPr>
                      <w:rFonts w:hint="default" w:eastAsia="宋体"/>
                      <w:color w:val="auto"/>
                      <w:kern w:val="2"/>
                      <w:sz w:val="21"/>
                      <w:highlight w:val="none"/>
                      <w:lang w:val="en-US" w:eastAsia="zh-CN"/>
                    </w:rPr>
                    <w:t>的设置应符合GB/T16758的规定。</w:t>
                  </w:r>
                </w:p>
                <w:p w14:paraId="0B46800E">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10.3收集的废气中</w:t>
                  </w:r>
                  <w:r>
                    <w:rPr>
                      <w:rFonts w:hint="eastAsia"/>
                      <w:color w:val="auto"/>
                      <w:kern w:val="2"/>
                      <w:sz w:val="21"/>
                      <w:highlight w:val="none"/>
                      <w:lang w:val="en-US" w:eastAsia="zh-CN"/>
                    </w:rPr>
                    <w:t>非甲烷总烃</w:t>
                  </w:r>
                  <w:r>
                    <w:rPr>
                      <w:rFonts w:hint="default" w:eastAsia="宋体"/>
                      <w:color w:val="auto"/>
                      <w:kern w:val="2"/>
                      <w:sz w:val="21"/>
                      <w:highlight w:val="none"/>
                      <w:lang w:val="en-US" w:eastAsia="zh-CN"/>
                    </w:rPr>
                    <w:t>初始排放速率≥3kg/h时，应配置VOCs处理设施，处理效率不应低于80%；对于重点地区，收集的废气中</w:t>
                  </w:r>
                  <w:r>
                    <w:rPr>
                      <w:rFonts w:hint="eastAsia"/>
                      <w:color w:val="auto"/>
                      <w:kern w:val="2"/>
                      <w:sz w:val="21"/>
                      <w:highlight w:val="none"/>
                      <w:lang w:val="en-US" w:eastAsia="zh-CN"/>
                    </w:rPr>
                    <w:t>非甲烷总烃</w:t>
                  </w:r>
                  <w:r>
                    <w:rPr>
                      <w:rFonts w:hint="default" w:eastAsia="宋体"/>
                      <w:color w:val="auto"/>
                      <w:kern w:val="2"/>
                      <w:sz w:val="21"/>
                      <w:highlight w:val="none"/>
                      <w:lang w:val="en-US" w:eastAsia="zh-CN"/>
                    </w:rPr>
                    <w:t>初始排放速率≥2kg/h时，应配置VOCs处理设施，处理效率不应低于80%；采用的原辅材料符合国家有关低VOCs含量产品规定的除外</w:t>
                  </w:r>
                </w:p>
              </w:tc>
              <w:tc>
                <w:tcPr>
                  <w:tcW w:w="1116" w:type="pct"/>
                  <w:tcBorders>
                    <w:tl2br w:val="nil"/>
                    <w:tr2bl w:val="nil"/>
                  </w:tcBorders>
                  <w:tcMar>
                    <w:top w:w="0" w:type="dxa"/>
                    <w:left w:w="57" w:type="dxa"/>
                    <w:bottom w:w="0" w:type="dxa"/>
                    <w:right w:w="57" w:type="dxa"/>
                  </w:tcMar>
                  <w:vAlign w:val="center"/>
                </w:tcPr>
                <w:p w14:paraId="7EF62558">
                  <w:pPr>
                    <w:pStyle w:val="91"/>
                    <w:spacing w:line="240" w:lineRule="auto"/>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项目使用VOCs物料</w:t>
                  </w:r>
                  <w:r>
                    <w:rPr>
                      <w:rFonts w:hint="eastAsia"/>
                      <w:color w:val="auto"/>
                      <w:kern w:val="2"/>
                      <w:sz w:val="21"/>
                      <w:highlight w:val="none"/>
                      <w:lang w:val="en-US" w:eastAsia="zh-CN"/>
                    </w:rPr>
                    <w:t>均</w:t>
                  </w:r>
                  <w:r>
                    <w:rPr>
                      <w:rFonts w:hint="default" w:eastAsia="宋体"/>
                      <w:color w:val="auto"/>
                      <w:kern w:val="2"/>
                      <w:sz w:val="21"/>
                      <w:highlight w:val="none"/>
                      <w:lang w:val="en-US" w:eastAsia="zh-CN"/>
                    </w:rPr>
                    <w:t>储存于密封桶内并放置于化学品仓库中</w:t>
                  </w:r>
                  <w:r>
                    <w:rPr>
                      <w:rFonts w:hint="eastAsia"/>
                      <w:color w:val="auto"/>
                      <w:kern w:val="2"/>
                      <w:sz w:val="21"/>
                      <w:highlight w:val="none"/>
                      <w:lang w:val="en-US" w:eastAsia="zh-CN"/>
                    </w:rPr>
                    <w:t>且</w:t>
                  </w:r>
                  <w:r>
                    <w:rPr>
                      <w:rFonts w:hint="default" w:eastAsia="宋体"/>
                      <w:color w:val="auto"/>
                      <w:kern w:val="2"/>
                      <w:sz w:val="21"/>
                      <w:highlight w:val="none"/>
                      <w:lang w:val="en-US" w:eastAsia="zh-CN"/>
                    </w:rPr>
                    <w:t>项目产生的有机废气均通过配套的集气罩进行收集，减少了废气无组织排放与逸散，废气收集处理系统与生产工艺设备同步进行，废气经集气罩集中收集后通过活性炭吸附装置处理后</w:t>
                  </w:r>
                  <w:r>
                    <w:rPr>
                      <w:rFonts w:hint="eastAsia"/>
                      <w:color w:val="auto"/>
                      <w:kern w:val="2"/>
                      <w:sz w:val="21"/>
                      <w:highlight w:val="none"/>
                      <w:lang w:val="en-US" w:eastAsia="zh-CN"/>
                    </w:rPr>
                    <w:t>通过排气筒排放</w:t>
                  </w:r>
                  <w:r>
                    <w:rPr>
                      <w:rFonts w:hint="default" w:eastAsia="宋体"/>
                      <w:color w:val="auto"/>
                      <w:kern w:val="2"/>
                      <w:sz w:val="21"/>
                      <w:highlight w:val="none"/>
                      <w:lang w:val="en-US" w:eastAsia="zh-CN"/>
                    </w:rPr>
                    <w:t>，能够实现达标</w:t>
                  </w:r>
                </w:p>
              </w:tc>
              <w:tc>
                <w:tcPr>
                  <w:tcW w:w="278" w:type="pct"/>
                  <w:tcBorders>
                    <w:tl2br w:val="nil"/>
                    <w:tr2bl w:val="nil"/>
                  </w:tcBorders>
                  <w:tcMar>
                    <w:top w:w="0" w:type="dxa"/>
                    <w:left w:w="57" w:type="dxa"/>
                    <w:bottom w:w="0" w:type="dxa"/>
                    <w:right w:w="57" w:type="dxa"/>
                  </w:tcMar>
                  <w:vAlign w:val="center"/>
                </w:tcPr>
                <w:p w14:paraId="26900E8D">
                  <w:pPr>
                    <w:pStyle w:val="91"/>
                    <w:spacing w:line="240" w:lineRule="auto"/>
                    <w:rPr>
                      <w:rFonts w:hint="eastAsia" w:eastAsia="宋体"/>
                      <w:color w:val="auto"/>
                      <w:kern w:val="2"/>
                      <w:sz w:val="21"/>
                      <w:highlight w:val="none"/>
                      <w:lang w:val="en-US" w:eastAsia="zh-CN"/>
                    </w:rPr>
                  </w:pPr>
                  <w:r>
                    <w:rPr>
                      <w:rFonts w:hint="eastAsia" w:eastAsia="宋体"/>
                      <w:color w:val="auto"/>
                      <w:kern w:val="2"/>
                      <w:sz w:val="21"/>
                      <w:highlight w:val="none"/>
                      <w:lang w:val="en-US" w:eastAsia="zh-CN"/>
                    </w:rPr>
                    <w:t>符合</w:t>
                  </w:r>
                </w:p>
              </w:tc>
            </w:tr>
            <w:tr w14:paraId="555C72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302" w:type="pct"/>
                  <w:tcBorders>
                    <w:tl2br w:val="nil"/>
                    <w:tr2bl w:val="nil"/>
                  </w:tcBorders>
                  <w:tcMar>
                    <w:top w:w="0" w:type="dxa"/>
                    <w:left w:w="57" w:type="dxa"/>
                    <w:bottom w:w="0" w:type="dxa"/>
                    <w:right w:w="57" w:type="dxa"/>
                  </w:tcMar>
                  <w:vAlign w:val="center"/>
                </w:tcPr>
                <w:p w14:paraId="7FC2062B">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6</w:t>
                  </w:r>
                </w:p>
              </w:tc>
              <w:tc>
                <w:tcPr>
                  <w:tcW w:w="1271" w:type="pct"/>
                  <w:tcBorders>
                    <w:tl2br w:val="nil"/>
                    <w:tr2bl w:val="nil"/>
                  </w:tcBorders>
                  <w:shd w:val="clear" w:color="auto" w:fill="auto"/>
                  <w:tcMar>
                    <w:top w:w="0" w:type="dxa"/>
                    <w:left w:w="57" w:type="dxa"/>
                    <w:bottom w:w="0" w:type="dxa"/>
                    <w:right w:w="57" w:type="dxa"/>
                  </w:tcMar>
                  <w:vAlign w:val="center"/>
                </w:tcPr>
                <w:p w14:paraId="256F7E23">
                  <w:pPr>
                    <w:pStyle w:val="91"/>
                    <w:spacing w:line="240" w:lineRule="auto"/>
                    <w:jc w:val="both"/>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《福州市生态环境局关于开展福州市重点行业挥发性有机物综合治理工作</w:t>
                  </w:r>
                  <w:r>
                    <w:rPr>
                      <w:rFonts w:hint="eastAsia"/>
                      <w:color w:val="auto"/>
                      <w:kern w:val="2"/>
                      <w:sz w:val="21"/>
                      <w:highlight w:val="none"/>
                      <w:lang w:val="en-US" w:eastAsia="zh-CN"/>
                    </w:rPr>
                    <w:t>（</w:t>
                  </w:r>
                  <w:r>
                    <w:rPr>
                      <w:rFonts w:hint="default" w:eastAsia="宋体"/>
                      <w:color w:val="auto"/>
                      <w:kern w:val="2"/>
                      <w:sz w:val="21"/>
                      <w:highlight w:val="none"/>
                      <w:lang w:val="en-US" w:eastAsia="zh-CN"/>
                    </w:rPr>
                    <w:t>VOCs2.0</w:t>
                  </w:r>
                  <w:r>
                    <w:rPr>
                      <w:rFonts w:hint="eastAsia"/>
                      <w:color w:val="auto"/>
                      <w:kern w:val="2"/>
                      <w:sz w:val="21"/>
                      <w:highlight w:val="none"/>
                      <w:lang w:val="en-US" w:eastAsia="zh-CN"/>
                    </w:rPr>
                    <w:t>）</w:t>
                  </w:r>
                  <w:r>
                    <w:rPr>
                      <w:rFonts w:hint="default" w:eastAsia="宋体"/>
                      <w:color w:val="auto"/>
                      <w:kern w:val="2"/>
                      <w:sz w:val="21"/>
                      <w:highlight w:val="none"/>
                      <w:lang w:val="en-US" w:eastAsia="zh-CN"/>
                    </w:rPr>
                    <w:t>的通知》</w:t>
                  </w:r>
                </w:p>
              </w:tc>
              <w:tc>
                <w:tcPr>
                  <w:tcW w:w="2031" w:type="pct"/>
                  <w:tcBorders>
                    <w:tl2br w:val="nil"/>
                    <w:tr2bl w:val="nil"/>
                  </w:tcBorders>
                  <w:shd w:val="clear" w:color="auto" w:fill="auto"/>
                  <w:tcMar>
                    <w:top w:w="0" w:type="dxa"/>
                    <w:left w:w="57" w:type="dxa"/>
                    <w:bottom w:w="0" w:type="dxa"/>
                    <w:right w:w="57" w:type="dxa"/>
                  </w:tcMar>
                  <w:vAlign w:val="top"/>
                </w:tcPr>
                <w:p w14:paraId="1C319B72">
                  <w:pPr>
                    <w:pStyle w:val="91"/>
                    <w:spacing w:line="240" w:lineRule="auto"/>
                    <w:jc w:val="left"/>
                    <w:rPr>
                      <w:rFonts w:hint="default" w:eastAsia="宋体"/>
                      <w:color w:val="auto"/>
                      <w:kern w:val="2"/>
                      <w:sz w:val="21"/>
                      <w:highlight w:val="none"/>
                      <w:lang w:val="en-US" w:eastAsia="zh-CN"/>
                    </w:rPr>
                  </w:pPr>
                  <w:r>
                    <w:rPr>
                      <w:rFonts w:hint="eastAsia"/>
                      <w:color w:val="auto"/>
                      <w:kern w:val="2"/>
                      <w:sz w:val="21"/>
                      <w:highlight w:val="none"/>
                      <w:lang w:val="en-US" w:eastAsia="zh-CN"/>
                    </w:rPr>
                    <w:t>（三）</w:t>
                  </w:r>
                  <w:r>
                    <w:rPr>
                      <w:rFonts w:hint="default" w:eastAsia="宋体"/>
                      <w:color w:val="auto"/>
                      <w:kern w:val="2"/>
                      <w:sz w:val="21"/>
                      <w:highlight w:val="none"/>
                      <w:lang w:val="en-US" w:eastAsia="zh-CN"/>
                    </w:rPr>
                    <w:t>严格审批，加强管控1.严格涉挥发性有机物建设项目环境</w:t>
                  </w:r>
                </w:p>
                <w:p w14:paraId="26EA488C">
                  <w:pPr>
                    <w:pStyle w:val="91"/>
                    <w:spacing w:line="240" w:lineRule="auto"/>
                    <w:jc w:val="left"/>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影响评价审批。新、改、扩建排放挥发性有机物的建设项目实行倍量替代。鼓励使用低</w:t>
                  </w:r>
                  <w:r>
                    <w:rPr>
                      <w:rFonts w:hint="eastAsia"/>
                      <w:color w:val="auto"/>
                      <w:kern w:val="2"/>
                      <w:sz w:val="21"/>
                      <w:highlight w:val="none"/>
                      <w:lang w:val="en-US" w:eastAsia="zh-CN"/>
                    </w:rPr>
                    <w:t>（</w:t>
                  </w:r>
                  <w:r>
                    <w:rPr>
                      <w:rFonts w:hint="default" w:eastAsia="宋体"/>
                      <w:color w:val="auto"/>
                      <w:kern w:val="2"/>
                      <w:sz w:val="21"/>
                      <w:highlight w:val="none"/>
                      <w:lang w:val="en-US" w:eastAsia="zh-CN"/>
                    </w:rPr>
                    <w:t>无</w:t>
                  </w:r>
                  <w:r>
                    <w:rPr>
                      <w:rFonts w:hint="eastAsia"/>
                      <w:color w:val="auto"/>
                      <w:kern w:val="2"/>
                      <w:sz w:val="21"/>
                      <w:highlight w:val="none"/>
                      <w:lang w:val="en-US" w:eastAsia="zh-CN"/>
                    </w:rPr>
                    <w:t>）</w:t>
                  </w:r>
                  <w:r>
                    <w:rPr>
                      <w:rFonts w:hint="default" w:eastAsia="宋体"/>
                      <w:color w:val="auto"/>
                      <w:kern w:val="2"/>
                      <w:sz w:val="21"/>
                      <w:highlight w:val="none"/>
                      <w:lang w:val="en-US" w:eastAsia="zh-CN"/>
                    </w:rPr>
                    <w:t>挥发性有机物含量的原辅材料</w:t>
                  </w:r>
                  <w:r>
                    <w:rPr>
                      <w:rFonts w:hint="eastAsia"/>
                      <w:color w:val="auto"/>
                      <w:kern w:val="2"/>
                      <w:sz w:val="21"/>
                      <w:highlight w:val="none"/>
                      <w:lang w:val="en-US" w:eastAsia="zh-CN"/>
                    </w:rPr>
                    <w:t>。</w:t>
                  </w:r>
                </w:p>
              </w:tc>
              <w:tc>
                <w:tcPr>
                  <w:tcW w:w="1116" w:type="pct"/>
                  <w:tcBorders>
                    <w:tl2br w:val="nil"/>
                    <w:tr2bl w:val="nil"/>
                  </w:tcBorders>
                  <w:shd w:val="clear" w:color="auto" w:fill="auto"/>
                  <w:tcMar>
                    <w:top w:w="0" w:type="dxa"/>
                    <w:left w:w="57" w:type="dxa"/>
                    <w:bottom w:w="0" w:type="dxa"/>
                    <w:right w:w="57" w:type="dxa"/>
                  </w:tcMar>
                  <w:vAlign w:val="top"/>
                </w:tcPr>
                <w:p w14:paraId="38EF356A">
                  <w:pPr>
                    <w:pStyle w:val="91"/>
                    <w:spacing w:line="240" w:lineRule="auto"/>
                    <w:jc w:val="center"/>
                    <w:rPr>
                      <w:rFonts w:hint="default" w:eastAsia="宋体"/>
                      <w:color w:val="auto"/>
                      <w:kern w:val="2"/>
                      <w:sz w:val="21"/>
                      <w:highlight w:val="none"/>
                      <w:lang w:val="en-US" w:eastAsia="zh-CN"/>
                    </w:rPr>
                  </w:pPr>
                  <w:r>
                    <w:rPr>
                      <w:rFonts w:hint="eastAsia"/>
                      <w:color w:val="auto"/>
                      <w:kern w:val="2"/>
                      <w:sz w:val="21"/>
                      <w:highlight w:val="none"/>
                      <w:lang w:val="en-US" w:eastAsia="zh-CN"/>
                    </w:rPr>
                    <w:t>1.</w:t>
                  </w:r>
                  <w:r>
                    <w:rPr>
                      <w:rFonts w:hint="default" w:eastAsia="宋体"/>
                      <w:color w:val="auto"/>
                      <w:kern w:val="2"/>
                      <w:sz w:val="21"/>
                      <w:highlight w:val="none"/>
                      <w:lang w:val="en-US" w:eastAsia="zh-CN"/>
                    </w:rPr>
                    <w:t>挥发性有机物的排放实行倍量替代</w:t>
                  </w:r>
                  <w:r>
                    <w:rPr>
                      <w:rFonts w:hint="eastAsia"/>
                      <w:color w:val="auto"/>
                      <w:kern w:val="2"/>
                      <w:sz w:val="21"/>
                      <w:highlight w:val="none"/>
                      <w:lang w:val="en-US" w:eastAsia="zh-CN"/>
                    </w:rPr>
                    <w:t>；</w:t>
                  </w:r>
                </w:p>
                <w:p w14:paraId="20B00003">
                  <w:pPr>
                    <w:pStyle w:val="91"/>
                    <w:spacing w:line="240" w:lineRule="auto"/>
                    <w:jc w:val="center"/>
                    <w:rPr>
                      <w:rFonts w:hint="default" w:eastAsia="宋体"/>
                      <w:color w:val="auto"/>
                      <w:kern w:val="2"/>
                      <w:sz w:val="21"/>
                      <w:highlight w:val="none"/>
                      <w:lang w:val="en-US" w:eastAsia="zh-CN"/>
                    </w:rPr>
                  </w:pPr>
                  <w:r>
                    <w:rPr>
                      <w:rFonts w:hint="eastAsia"/>
                      <w:color w:val="auto"/>
                      <w:kern w:val="2"/>
                      <w:sz w:val="21"/>
                      <w:highlight w:val="none"/>
                      <w:lang w:val="en-US" w:eastAsia="zh-CN"/>
                    </w:rPr>
                    <w:t>2.</w:t>
                  </w:r>
                  <w:r>
                    <w:rPr>
                      <w:rFonts w:hint="default" w:eastAsia="宋体"/>
                      <w:color w:val="auto"/>
                      <w:kern w:val="2"/>
                      <w:sz w:val="21"/>
                      <w:highlight w:val="none"/>
                      <w:lang w:val="en-US" w:eastAsia="zh-CN"/>
                    </w:rPr>
                    <w:t>项目拟使用的原料均为低VOCs原料</w:t>
                  </w:r>
                </w:p>
              </w:tc>
              <w:tc>
                <w:tcPr>
                  <w:tcW w:w="278" w:type="pct"/>
                  <w:tcBorders>
                    <w:tl2br w:val="nil"/>
                    <w:tr2bl w:val="nil"/>
                  </w:tcBorders>
                  <w:tcMar>
                    <w:top w:w="0" w:type="dxa"/>
                    <w:left w:w="57" w:type="dxa"/>
                    <w:bottom w:w="0" w:type="dxa"/>
                    <w:right w:w="57" w:type="dxa"/>
                  </w:tcMar>
                  <w:vAlign w:val="center"/>
                </w:tcPr>
                <w:p w14:paraId="01E9F03A">
                  <w:pPr>
                    <w:pStyle w:val="91"/>
                    <w:spacing w:line="240" w:lineRule="auto"/>
                    <w:rPr>
                      <w:rFonts w:hint="default" w:eastAsia="宋体"/>
                      <w:color w:val="auto"/>
                      <w:kern w:val="2"/>
                      <w:sz w:val="21"/>
                      <w:highlight w:val="none"/>
                      <w:lang w:val="en-US" w:eastAsia="zh-CN"/>
                    </w:rPr>
                  </w:pPr>
                  <w:r>
                    <w:rPr>
                      <w:rFonts w:hint="eastAsia"/>
                      <w:color w:val="auto"/>
                      <w:kern w:val="2"/>
                      <w:sz w:val="21"/>
                      <w:highlight w:val="none"/>
                      <w:lang w:val="en-US" w:eastAsia="zh-CN"/>
                    </w:rPr>
                    <w:t>符合</w:t>
                  </w:r>
                </w:p>
              </w:tc>
            </w:tr>
            <w:tr w14:paraId="5AD1A0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302" w:type="pct"/>
                  <w:tcBorders>
                    <w:tl2br w:val="nil"/>
                    <w:tr2bl w:val="nil"/>
                  </w:tcBorders>
                  <w:tcMar>
                    <w:top w:w="0" w:type="dxa"/>
                    <w:left w:w="57" w:type="dxa"/>
                    <w:bottom w:w="0" w:type="dxa"/>
                    <w:right w:w="57" w:type="dxa"/>
                  </w:tcMar>
                  <w:vAlign w:val="center"/>
                </w:tcPr>
                <w:p w14:paraId="039C2FB1">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7</w:t>
                  </w:r>
                </w:p>
              </w:tc>
              <w:tc>
                <w:tcPr>
                  <w:tcW w:w="1271" w:type="pct"/>
                  <w:tcBorders>
                    <w:tl2br w:val="nil"/>
                    <w:tr2bl w:val="nil"/>
                  </w:tcBorders>
                  <w:shd w:val="clear" w:color="auto" w:fill="auto"/>
                  <w:tcMar>
                    <w:top w:w="0" w:type="dxa"/>
                    <w:left w:w="57" w:type="dxa"/>
                    <w:bottom w:w="0" w:type="dxa"/>
                    <w:right w:w="57" w:type="dxa"/>
                  </w:tcMar>
                  <w:vAlign w:val="top"/>
                </w:tcPr>
                <w:p w14:paraId="27135A03">
                  <w:pPr>
                    <w:pStyle w:val="91"/>
                    <w:spacing w:line="240" w:lineRule="auto"/>
                    <w:jc w:val="both"/>
                    <w:rPr>
                      <w:rFonts w:hint="default" w:eastAsia="宋体"/>
                      <w:color w:val="auto"/>
                      <w:kern w:val="2"/>
                      <w:sz w:val="21"/>
                      <w:highlight w:val="none"/>
                      <w:lang w:val="en-US" w:eastAsia="zh-CN"/>
                    </w:rPr>
                  </w:pPr>
                </w:p>
                <w:p w14:paraId="23EC71F0">
                  <w:pPr>
                    <w:pStyle w:val="91"/>
                    <w:spacing w:line="240" w:lineRule="auto"/>
                    <w:jc w:val="both"/>
                    <w:rPr>
                      <w:rFonts w:hint="default" w:eastAsia="宋体"/>
                      <w:color w:val="auto"/>
                      <w:kern w:val="2"/>
                      <w:sz w:val="21"/>
                      <w:highlight w:val="none"/>
                      <w:lang w:val="en-US" w:eastAsia="zh-CN"/>
                    </w:rPr>
                  </w:pPr>
                </w:p>
                <w:p w14:paraId="188839A6">
                  <w:pPr>
                    <w:pStyle w:val="91"/>
                    <w:spacing w:line="240" w:lineRule="auto"/>
                    <w:jc w:val="both"/>
                    <w:rPr>
                      <w:rFonts w:hint="default" w:eastAsia="宋体"/>
                      <w:color w:val="auto"/>
                      <w:kern w:val="2"/>
                      <w:sz w:val="21"/>
                      <w:highlight w:val="none"/>
                      <w:lang w:val="en-US" w:eastAsia="zh-CN"/>
                    </w:rPr>
                  </w:pPr>
                </w:p>
                <w:p w14:paraId="6954260B">
                  <w:pPr>
                    <w:pStyle w:val="91"/>
                    <w:spacing w:line="240" w:lineRule="auto"/>
                    <w:jc w:val="both"/>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《福州市“十四五”生态环境保护规划》</w:t>
                  </w:r>
                  <w:r>
                    <w:rPr>
                      <w:rFonts w:hint="eastAsia"/>
                      <w:color w:val="auto"/>
                      <w:kern w:val="2"/>
                      <w:sz w:val="21"/>
                      <w:highlight w:val="none"/>
                      <w:lang w:val="en-US" w:eastAsia="zh-CN"/>
                    </w:rPr>
                    <w:t>（</w:t>
                  </w:r>
                  <w:r>
                    <w:rPr>
                      <w:rFonts w:hint="default" w:eastAsia="宋体"/>
                      <w:color w:val="auto"/>
                      <w:kern w:val="2"/>
                      <w:sz w:val="21"/>
                      <w:highlight w:val="none"/>
                      <w:lang w:val="en-US" w:eastAsia="zh-CN"/>
                    </w:rPr>
                    <w:t>榕政办〔2021〕123号</w:t>
                  </w:r>
                  <w:r>
                    <w:rPr>
                      <w:rFonts w:hint="eastAsia"/>
                      <w:color w:val="auto"/>
                      <w:kern w:val="2"/>
                      <w:sz w:val="21"/>
                      <w:highlight w:val="none"/>
                      <w:lang w:val="en-US" w:eastAsia="zh-CN"/>
                    </w:rPr>
                    <w:t>）</w:t>
                  </w:r>
                </w:p>
              </w:tc>
              <w:tc>
                <w:tcPr>
                  <w:tcW w:w="2031" w:type="pct"/>
                  <w:tcBorders>
                    <w:tl2br w:val="nil"/>
                    <w:tr2bl w:val="nil"/>
                  </w:tcBorders>
                  <w:shd w:val="clear" w:color="auto" w:fill="auto"/>
                  <w:tcMar>
                    <w:top w:w="0" w:type="dxa"/>
                    <w:left w:w="57" w:type="dxa"/>
                    <w:bottom w:w="0" w:type="dxa"/>
                    <w:right w:w="57" w:type="dxa"/>
                  </w:tcMar>
                  <w:vAlign w:val="top"/>
                </w:tcPr>
                <w:p w14:paraId="5BCBAF8A">
                  <w:pPr>
                    <w:pStyle w:val="91"/>
                    <w:spacing w:line="240" w:lineRule="auto"/>
                    <w:jc w:val="both"/>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强化挥发性有机物整治。实行挥发性有机物排放倍量替代。加大涉VOCs企业源头替代力度，推广使用低</w:t>
                  </w:r>
                  <w:r>
                    <w:rPr>
                      <w:rFonts w:hint="eastAsia"/>
                      <w:color w:val="auto"/>
                      <w:kern w:val="2"/>
                      <w:sz w:val="21"/>
                      <w:highlight w:val="none"/>
                      <w:lang w:val="en-US" w:eastAsia="zh-CN"/>
                    </w:rPr>
                    <w:t>（</w:t>
                  </w:r>
                  <w:r>
                    <w:rPr>
                      <w:rFonts w:hint="default" w:eastAsia="宋体"/>
                      <w:color w:val="auto"/>
                      <w:kern w:val="2"/>
                      <w:sz w:val="21"/>
                      <w:highlight w:val="none"/>
                      <w:lang w:val="en-US" w:eastAsia="zh-CN"/>
                    </w:rPr>
                    <w:t>无</w:t>
                  </w:r>
                  <w:r>
                    <w:rPr>
                      <w:rFonts w:hint="eastAsia"/>
                      <w:color w:val="auto"/>
                      <w:kern w:val="2"/>
                      <w:sz w:val="21"/>
                      <w:highlight w:val="none"/>
                      <w:lang w:val="en-US" w:eastAsia="zh-CN"/>
                    </w:rPr>
                    <w:t>）</w:t>
                  </w:r>
                  <w:r>
                    <w:rPr>
                      <w:rFonts w:hint="default" w:eastAsia="宋体"/>
                      <w:color w:val="auto"/>
                      <w:kern w:val="2"/>
                      <w:sz w:val="21"/>
                      <w:highlight w:val="none"/>
                      <w:lang w:val="en-US" w:eastAsia="zh-CN"/>
                    </w:rPr>
                    <w:t>VOCs原辅材料替代，禁止生产高VOCs含量有机溶剂型涂料、油墨和胶黏剂的新、改、扩建项目，推进重点企业“油改水”治理，提高有机溶剂回收率。”</w:t>
                  </w:r>
                </w:p>
              </w:tc>
              <w:tc>
                <w:tcPr>
                  <w:tcW w:w="1116" w:type="pct"/>
                  <w:tcBorders>
                    <w:tl2br w:val="nil"/>
                    <w:tr2bl w:val="nil"/>
                  </w:tcBorders>
                  <w:shd w:val="clear" w:color="auto" w:fill="auto"/>
                  <w:tcMar>
                    <w:top w:w="0" w:type="dxa"/>
                    <w:left w:w="57" w:type="dxa"/>
                    <w:bottom w:w="0" w:type="dxa"/>
                    <w:right w:w="57" w:type="dxa"/>
                  </w:tcMar>
                  <w:vAlign w:val="top"/>
                </w:tcPr>
                <w:p w14:paraId="10E77BD9">
                  <w:pPr>
                    <w:pStyle w:val="91"/>
                    <w:spacing w:line="240" w:lineRule="auto"/>
                    <w:jc w:val="both"/>
                    <w:rPr>
                      <w:rFonts w:hint="default" w:eastAsia="宋体"/>
                      <w:color w:val="auto"/>
                      <w:kern w:val="2"/>
                      <w:sz w:val="21"/>
                      <w:highlight w:val="none"/>
                      <w:lang w:val="en-US" w:eastAsia="zh-CN"/>
                    </w:rPr>
                  </w:pPr>
                </w:p>
                <w:p w14:paraId="5D22D467">
                  <w:pPr>
                    <w:pStyle w:val="91"/>
                    <w:spacing w:line="240" w:lineRule="auto"/>
                    <w:jc w:val="both"/>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项目排放的VOCS拟实行区域内倍量替代；项目使用低VOCs</w:t>
                  </w:r>
                  <w:r>
                    <w:rPr>
                      <w:rFonts w:hint="eastAsia"/>
                      <w:color w:val="auto"/>
                      <w:kern w:val="2"/>
                      <w:sz w:val="21"/>
                      <w:highlight w:val="none"/>
                      <w:lang w:val="en-US" w:eastAsia="zh-CN"/>
                    </w:rPr>
                    <w:t>电泳涂料</w:t>
                  </w:r>
                  <w:r>
                    <w:rPr>
                      <w:rFonts w:hint="default" w:eastAsia="宋体"/>
                      <w:color w:val="auto"/>
                      <w:kern w:val="2"/>
                      <w:sz w:val="21"/>
                      <w:highlight w:val="none"/>
                      <w:lang w:val="en-US" w:eastAsia="zh-CN"/>
                    </w:rPr>
                    <w:t>等原辅料，项目不涉及所需的VOCs原料的生产，全部外购。</w:t>
                  </w:r>
                </w:p>
              </w:tc>
              <w:tc>
                <w:tcPr>
                  <w:tcW w:w="278" w:type="pct"/>
                  <w:tcBorders>
                    <w:tl2br w:val="nil"/>
                    <w:tr2bl w:val="nil"/>
                  </w:tcBorders>
                  <w:shd w:val="clear" w:color="auto" w:fill="auto"/>
                  <w:tcMar>
                    <w:top w:w="0" w:type="dxa"/>
                    <w:left w:w="57" w:type="dxa"/>
                    <w:bottom w:w="0" w:type="dxa"/>
                    <w:right w:w="57" w:type="dxa"/>
                  </w:tcMar>
                  <w:vAlign w:val="top"/>
                </w:tcPr>
                <w:p w14:paraId="20946E37">
                  <w:pPr>
                    <w:pStyle w:val="91"/>
                    <w:spacing w:line="240" w:lineRule="auto"/>
                    <w:jc w:val="both"/>
                    <w:rPr>
                      <w:rFonts w:hint="eastAsia" w:eastAsia="宋体"/>
                      <w:color w:val="auto"/>
                      <w:kern w:val="2"/>
                      <w:sz w:val="21"/>
                      <w:highlight w:val="none"/>
                      <w:lang w:val="en-US" w:eastAsia="zh-CN"/>
                    </w:rPr>
                  </w:pPr>
                  <w:r>
                    <w:rPr>
                      <w:rFonts w:hint="default" w:eastAsia="宋体"/>
                      <w:color w:val="auto"/>
                      <w:kern w:val="2"/>
                      <w:sz w:val="21"/>
                      <w:highlight w:val="none"/>
                      <w:lang w:val="en-US" w:eastAsia="zh-CN"/>
                    </w:rPr>
                    <w:t>符合</w:t>
                  </w:r>
                </w:p>
              </w:tc>
            </w:tr>
            <w:tr w14:paraId="1F3E9D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302" w:type="pct"/>
                  <w:tcBorders>
                    <w:tl2br w:val="nil"/>
                    <w:tr2bl w:val="nil"/>
                  </w:tcBorders>
                  <w:tcMar>
                    <w:top w:w="0" w:type="dxa"/>
                    <w:left w:w="57" w:type="dxa"/>
                    <w:bottom w:w="0" w:type="dxa"/>
                    <w:right w:w="57" w:type="dxa"/>
                  </w:tcMar>
                  <w:vAlign w:val="center"/>
                </w:tcPr>
                <w:p w14:paraId="64032A98">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8</w:t>
                  </w:r>
                </w:p>
              </w:tc>
              <w:tc>
                <w:tcPr>
                  <w:tcW w:w="1271" w:type="pct"/>
                  <w:tcBorders>
                    <w:tl2br w:val="nil"/>
                    <w:tr2bl w:val="nil"/>
                  </w:tcBorders>
                  <w:shd w:val="clear" w:color="auto" w:fill="auto"/>
                  <w:tcMar>
                    <w:top w:w="0" w:type="dxa"/>
                    <w:left w:w="57" w:type="dxa"/>
                    <w:bottom w:w="0" w:type="dxa"/>
                    <w:right w:w="57" w:type="dxa"/>
                  </w:tcMar>
                  <w:vAlign w:val="top"/>
                </w:tcPr>
                <w:p w14:paraId="0D881911">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《福州市生态环境保护委员会办公室关于印发2022年度福州市蓝天碧海净土保卫战行动计划通知》</w:t>
                  </w:r>
                  <w:r>
                    <w:rPr>
                      <w:rFonts w:hint="eastAsia"/>
                      <w:color w:val="auto"/>
                      <w:kern w:val="2"/>
                      <w:sz w:val="21"/>
                      <w:highlight w:val="none"/>
                      <w:lang w:val="en-US" w:eastAsia="zh-CN"/>
                    </w:rPr>
                    <w:t>（</w:t>
                  </w:r>
                  <w:r>
                    <w:rPr>
                      <w:rFonts w:hint="default" w:eastAsia="宋体"/>
                      <w:color w:val="auto"/>
                      <w:kern w:val="2"/>
                      <w:sz w:val="21"/>
                      <w:highlight w:val="none"/>
                      <w:lang w:val="en-US" w:eastAsia="zh-CN"/>
                    </w:rPr>
                    <w:t>榕环委办</w:t>
                  </w:r>
                </w:p>
                <w:p w14:paraId="49427402">
                  <w:pPr>
                    <w:pStyle w:val="91"/>
                    <w:spacing w:line="240" w:lineRule="auto"/>
                    <w:jc w:val="center"/>
                    <w:rPr>
                      <w:rFonts w:hint="default" w:eastAsia="宋体"/>
                      <w:color w:val="auto"/>
                      <w:kern w:val="2"/>
                      <w:sz w:val="21"/>
                      <w:highlight w:val="none"/>
                      <w:lang w:val="en-US" w:eastAsia="zh-CN"/>
                    </w:rPr>
                  </w:pPr>
                  <w:r>
                    <w:rPr>
                      <w:rFonts w:hint="eastAsia"/>
                      <w:color w:val="auto"/>
                      <w:kern w:val="2"/>
                      <w:sz w:val="21"/>
                      <w:highlight w:val="none"/>
                      <w:lang w:val="en-US" w:eastAsia="zh-CN"/>
                    </w:rPr>
                    <w:t>〔2022〕49号）</w:t>
                  </w:r>
                </w:p>
              </w:tc>
              <w:tc>
                <w:tcPr>
                  <w:tcW w:w="2031" w:type="pct"/>
                  <w:tcBorders>
                    <w:tl2br w:val="nil"/>
                    <w:tr2bl w:val="nil"/>
                  </w:tcBorders>
                  <w:shd w:val="clear" w:color="auto" w:fill="auto"/>
                  <w:tcMar>
                    <w:top w:w="0" w:type="dxa"/>
                    <w:left w:w="57" w:type="dxa"/>
                    <w:bottom w:w="0" w:type="dxa"/>
                    <w:right w:w="57" w:type="dxa"/>
                  </w:tcMar>
                  <w:vAlign w:val="top"/>
                </w:tcPr>
                <w:p w14:paraId="79B263A8">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四是严格涉VOCs建设项目环境影响评价审批。新、改、扩建涉</w:t>
                  </w:r>
                </w:p>
                <w:p w14:paraId="63F3F1A1">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VOCs排放项目，应使用低</w:t>
                  </w:r>
                  <w:r>
                    <w:rPr>
                      <w:rFonts w:hint="eastAsia"/>
                      <w:color w:val="auto"/>
                      <w:kern w:val="2"/>
                      <w:sz w:val="21"/>
                      <w:highlight w:val="none"/>
                      <w:lang w:val="en-US" w:eastAsia="zh-CN"/>
                    </w:rPr>
                    <w:t>（</w:t>
                  </w:r>
                  <w:r>
                    <w:rPr>
                      <w:rFonts w:hint="default" w:eastAsia="宋体"/>
                      <w:color w:val="auto"/>
                      <w:kern w:val="2"/>
                      <w:sz w:val="21"/>
                      <w:highlight w:val="none"/>
                      <w:lang w:val="en-US" w:eastAsia="zh-CN"/>
                    </w:rPr>
                    <w:t>无</w:t>
                  </w:r>
                  <w:r>
                    <w:rPr>
                      <w:rFonts w:hint="eastAsia"/>
                      <w:color w:val="auto"/>
                      <w:kern w:val="2"/>
                      <w:sz w:val="21"/>
                      <w:highlight w:val="none"/>
                      <w:lang w:val="en-US" w:eastAsia="zh-CN"/>
                    </w:rPr>
                    <w:t>）</w:t>
                  </w:r>
                  <w:r>
                    <w:rPr>
                      <w:rFonts w:hint="default" w:eastAsia="宋体"/>
                      <w:color w:val="auto"/>
                      <w:kern w:val="2"/>
                      <w:sz w:val="21"/>
                      <w:highlight w:val="none"/>
                      <w:lang w:val="en-US" w:eastAsia="zh-CN"/>
                    </w:rPr>
                    <w:t>VOCs涂料、胶粘剂等，实施新建项目VOCs排放区域内1.2及以上倍量替代。VOCs年排放量大于5吨的新建项目投运前应安装VOCs在线监控设备，并接</w:t>
                  </w:r>
                </w:p>
                <w:p w14:paraId="4CFF5A31">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入市生态云平台。</w:t>
                  </w:r>
                </w:p>
              </w:tc>
              <w:tc>
                <w:tcPr>
                  <w:tcW w:w="1116" w:type="pct"/>
                  <w:tcBorders>
                    <w:tl2br w:val="nil"/>
                    <w:tr2bl w:val="nil"/>
                  </w:tcBorders>
                  <w:shd w:val="clear" w:color="auto" w:fill="auto"/>
                  <w:tcMar>
                    <w:top w:w="0" w:type="dxa"/>
                    <w:left w:w="57" w:type="dxa"/>
                    <w:bottom w:w="0" w:type="dxa"/>
                    <w:right w:w="57" w:type="dxa"/>
                  </w:tcMar>
                  <w:vAlign w:val="top"/>
                </w:tcPr>
                <w:p w14:paraId="7AC2A39E">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项目采用低VOCs原</w:t>
                  </w:r>
                </w:p>
                <w:p w14:paraId="6F3E2A4C">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料，项目VOCs排放拟实行区域内倍量替代，项目VOCs年排放量远小于5吨，不需安装VOCs在线监控设备。</w:t>
                  </w:r>
                </w:p>
              </w:tc>
              <w:tc>
                <w:tcPr>
                  <w:tcW w:w="278" w:type="pct"/>
                  <w:tcBorders>
                    <w:tl2br w:val="nil"/>
                    <w:tr2bl w:val="nil"/>
                  </w:tcBorders>
                  <w:shd w:val="clear" w:color="auto" w:fill="auto"/>
                  <w:tcMar>
                    <w:top w:w="0" w:type="dxa"/>
                    <w:left w:w="57" w:type="dxa"/>
                    <w:bottom w:w="0" w:type="dxa"/>
                    <w:right w:w="57" w:type="dxa"/>
                  </w:tcMar>
                  <w:vAlign w:val="top"/>
                </w:tcPr>
                <w:p w14:paraId="7A360F4A">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符合</w:t>
                  </w:r>
                </w:p>
              </w:tc>
            </w:tr>
            <w:tr w14:paraId="35432E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302" w:type="pct"/>
                  <w:tcBorders>
                    <w:tl2br w:val="nil"/>
                    <w:tr2bl w:val="nil"/>
                  </w:tcBorders>
                  <w:tcMar>
                    <w:top w:w="0" w:type="dxa"/>
                    <w:left w:w="57" w:type="dxa"/>
                    <w:bottom w:w="0" w:type="dxa"/>
                    <w:right w:w="57" w:type="dxa"/>
                  </w:tcMar>
                  <w:vAlign w:val="center"/>
                </w:tcPr>
                <w:p w14:paraId="343FFD73">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9</w:t>
                  </w:r>
                </w:p>
              </w:tc>
              <w:tc>
                <w:tcPr>
                  <w:tcW w:w="1271" w:type="pct"/>
                  <w:tcBorders>
                    <w:tl2br w:val="nil"/>
                    <w:tr2bl w:val="nil"/>
                  </w:tcBorders>
                  <w:shd w:val="clear" w:color="auto" w:fill="auto"/>
                  <w:tcMar>
                    <w:top w:w="0" w:type="dxa"/>
                    <w:left w:w="57" w:type="dxa"/>
                    <w:bottom w:w="0" w:type="dxa"/>
                    <w:right w:w="57" w:type="dxa"/>
                  </w:tcMar>
                  <w:vAlign w:val="top"/>
                </w:tcPr>
                <w:p w14:paraId="3D8054D0">
                  <w:pPr>
                    <w:pStyle w:val="91"/>
                    <w:spacing w:line="240" w:lineRule="auto"/>
                    <w:jc w:val="center"/>
                    <w:rPr>
                      <w:rFonts w:hint="eastAsia"/>
                      <w:color w:val="auto"/>
                      <w:kern w:val="2"/>
                      <w:sz w:val="21"/>
                      <w:highlight w:val="none"/>
                      <w:lang w:val="en-US" w:eastAsia="zh-CN"/>
                    </w:rPr>
                  </w:pPr>
                  <w:r>
                    <w:rPr>
                      <w:rFonts w:hint="default" w:ascii="Times New Roman" w:hAnsi="Times New Roman" w:eastAsia="宋体" w:cs="Times New Roman"/>
                      <w:color w:val="auto"/>
                      <w:sz w:val="21"/>
                      <w:lang w:val="en-US" w:eastAsia="zh-CN"/>
                    </w:rPr>
                    <w:t>《福建省2020年挥发性有机物治理攻坚实施方案》的通知</w:t>
                  </w:r>
                  <w:r>
                    <w:rPr>
                      <w:rFonts w:hint="eastAsia" w:cs="Times New Roman"/>
                      <w:color w:val="auto"/>
                      <w:sz w:val="21"/>
                      <w:lang w:val="en-US" w:eastAsia="zh-CN"/>
                    </w:rPr>
                    <w:t>（</w:t>
                  </w:r>
                  <w:r>
                    <w:rPr>
                      <w:rFonts w:hint="default" w:ascii="Times New Roman" w:hAnsi="Times New Roman" w:eastAsia="宋体" w:cs="Times New Roman"/>
                      <w:color w:val="auto"/>
                      <w:sz w:val="21"/>
                      <w:lang w:val="en-US" w:eastAsia="zh-CN"/>
                    </w:rPr>
                    <w:t>闽环保大气〔2020〕6号</w:t>
                  </w:r>
                  <w:r>
                    <w:rPr>
                      <w:rFonts w:hint="eastAsia" w:cs="Times New Roman"/>
                      <w:color w:val="auto"/>
                      <w:sz w:val="21"/>
                      <w:lang w:val="en-US" w:eastAsia="zh-CN"/>
                    </w:rPr>
                    <w:t>）</w:t>
                  </w:r>
                </w:p>
              </w:tc>
              <w:tc>
                <w:tcPr>
                  <w:tcW w:w="2031" w:type="pct"/>
                  <w:tcBorders>
                    <w:tl2br w:val="nil"/>
                    <w:tr2bl w:val="nil"/>
                  </w:tcBorders>
                  <w:shd w:val="clear" w:color="auto" w:fill="auto"/>
                  <w:tcMar>
                    <w:top w:w="0" w:type="dxa"/>
                    <w:left w:w="57" w:type="dxa"/>
                    <w:bottom w:w="0" w:type="dxa"/>
                    <w:right w:w="57" w:type="dxa"/>
                  </w:tcMar>
                  <w:vAlign w:val="top"/>
                </w:tcPr>
                <w:p w14:paraId="0E78EC34">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（1）大力推进源头替代，有效减少VOCs产生；</w:t>
                  </w:r>
                </w:p>
                <w:p w14:paraId="7D3F84D9">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2）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渣、液）、废吸附剂等通过加盖、封装等方式密闭，妥善存放，集中清运，交有资质的单位处置，不得随意丢弃；</w:t>
                  </w:r>
                </w:p>
                <w:p w14:paraId="43B0326A">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3）聚焦治污设施“三率”，提升综合治理效率。.....。除恶臭异味治理外，一般不采用低温等离子、光催化、光氧化等技术。优先采用密闭设备、在密闭空间中操作或采用全密闭集气罩收集方式；.....。采用活性炭吸附技术的，应选择碘值不低于800毫克/克的活性炭，并按设计要求足量添加</w:t>
                  </w:r>
                  <w:r>
                    <w:rPr>
                      <w:rFonts w:hint="eastAsia"/>
                      <w:color w:val="auto"/>
                      <w:kern w:val="2"/>
                      <w:sz w:val="21"/>
                      <w:highlight w:val="none"/>
                      <w:lang w:val="en-US" w:eastAsia="zh-CN"/>
                    </w:rPr>
                    <w:t>及</w:t>
                  </w:r>
                  <w:r>
                    <w:rPr>
                      <w:rFonts w:hint="default" w:eastAsia="宋体"/>
                      <w:color w:val="auto"/>
                      <w:kern w:val="2"/>
                      <w:sz w:val="21"/>
                      <w:highlight w:val="none"/>
                      <w:lang w:val="en-US" w:eastAsia="zh-CN"/>
                    </w:rPr>
                    <w:t>时更换。</w:t>
                  </w:r>
                </w:p>
              </w:tc>
              <w:tc>
                <w:tcPr>
                  <w:tcW w:w="1116" w:type="pct"/>
                  <w:tcBorders>
                    <w:tl2br w:val="nil"/>
                    <w:tr2bl w:val="nil"/>
                  </w:tcBorders>
                  <w:shd w:val="clear" w:color="auto" w:fill="auto"/>
                  <w:tcMar>
                    <w:top w:w="0" w:type="dxa"/>
                    <w:left w:w="57" w:type="dxa"/>
                    <w:bottom w:w="0" w:type="dxa"/>
                    <w:right w:w="57" w:type="dxa"/>
                  </w:tcMar>
                  <w:vAlign w:val="top"/>
                </w:tcPr>
                <w:p w14:paraId="62C6B337">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（1）项目使用塑粉、电泳漆等为原料，属于低VOCs含量原料；</w:t>
                  </w:r>
                </w:p>
                <w:p w14:paraId="23DFF2FC">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2）项目塑粉采用密闭袋装暂存；电泳漆密闭桶装暂存；拟在电泳槽上方和烘干固化炉进出口设置局部气体收集措施，设计收集效率≥90%；拟将更换的废活性炭当作危险废物，密闭暂存于危险废物贮存间内，定期委托有资质单位统一处置；</w:t>
                  </w:r>
                </w:p>
                <w:p w14:paraId="70388D3A">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（3）本项目拟采取“喷淋+</w:t>
                  </w:r>
                  <w:r>
                    <w:rPr>
                      <w:rFonts w:hint="eastAsia"/>
                      <w:color w:val="auto"/>
                      <w:kern w:val="2"/>
                      <w:sz w:val="21"/>
                      <w:highlight w:val="none"/>
                      <w:lang w:val="en-US" w:eastAsia="zh-CN"/>
                    </w:rPr>
                    <w:t>过滤棉</w:t>
                  </w:r>
                  <w:r>
                    <w:rPr>
                      <w:rFonts w:hint="default" w:eastAsia="宋体"/>
                      <w:color w:val="auto"/>
                      <w:kern w:val="2"/>
                      <w:sz w:val="21"/>
                      <w:highlight w:val="none"/>
                      <w:lang w:val="en-US" w:eastAsia="zh-CN"/>
                    </w:rPr>
                    <w:t>+活性炭吸附+15m排气筒”处理VOCs，采用碘值不低于800mg/g的活性炭，并定期更换。</w:t>
                  </w:r>
                </w:p>
              </w:tc>
              <w:tc>
                <w:tcPr>
                  <w:tcW w:w="278" w:type="pct"/>
                  <w:tcBorders>
                    <w:tl2br w:val="nil"/>
                    <w:tr2bl w:val="nil"/>
                  </w:tcBorders>
                  <w:shd w:val="clear" w:color="auto" w:fill="auto"/>
                  <w:tcMar>
                    <w:top w:w="0" w:type="dxa"/>
                    <w:left w:w="57" w:type="dxa"/>
                    <w:bottom w:w="0" w:type="dxa"/>
                    <w:right w:w="57" w:type="dxa"/>
                  </w:tcMar>
                  <w:vAlign w:val="top"/>
                </w:tcPr>
                <w:p w14:paraId="4F9C1E46">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符合</w:t>
                  </w:r>
                </w:p>
              </w:tc>
            </w:tr>
            <w:tr w14:paraId="565183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302" w:type="pct"/>
                  <w:tcBorders>
                    <w:tl2br w:val="nil"/>
                    <w:tr2bl w:val="nil"/>
                  </w:tcBorders>
                  <w:tcMar>
                    <w:top w:w="0" w:type="dxa"/>
                    <w:left w:w="57" w:type="dxa"/>
                    <w:bottom w:w="0" w:type="dxa"/>
                    <w:right w:w="57" w:type="dxa"/>
                  </w:tcMar>
                  <w:vAlign w:val="center"/>
                </w:tcPr>
                <w:p w14:paraId="050DDF84">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10</w:t>
                  </w:r>
                </w:p>
              </w:tc>
              <w:tc>
                <w:tcPr>
                  <w:tcW w:w="1271" w:type="pct"/>
                  <w:tcBorders>
                    <w:tl2br w:val="nil"/>
                    <w:tr2bl w:val="nil"/>
                  </w:tcBorders>
                  <w:shd w:val="clear" w:color="auto" w:fill="auto"/>
                  <w:tcMar>
                    <w:top w:w="0" w:type="dxa"/>
                    <w:left w:w="57" w:type="dxa"/>
                    <w:bottom w:w="0" w:type="dxa"/>
                    <w:right w:w="57" w:type="dxa"/>
                  </w:tcMar>
                  <w:vAlign w:val="top"/>
                </w:tcPr>
                <w:p w14:paraId="18808936">
                  <w:pPr>
                    <w:pStyle w:val="91"/>
                    <w:spacing w:line="240" w:lineRule="auto"/>
                    <w:jc w:val="center"/>
                    <w:rPr>
                      <w:rFonts w:hint="eastAsia"/>
                      <w:color w:val="auto"/>
                      <w:kern w:val="2"/>
                      <w:sz w:val="21"/>
                      <w:highlight w:val="none"/>
                      <w:lang w:val="en-US" w:eastAsia="zh-CN"/>
                    </w:rPr>
                  </w:pPr>
                  <w:r>
                    <w:rPr>
                      <w:rFonts w:hint="default" w:ascii="Times New Roman" w:hAnsi="Times New Roman" w:eastAsia="宋体" w:cs="Times New Roman"/>
                      <w:color w:val="auto"/>
                      <w:sz w:val="21"/>
                      <w:lang w:val="en-US" w:eastAsia="zh-CN"/>
                    </w:rPr>
                    <w:t>《福建省重点行业挥发性有机物排放控制要求</w:t>
                  </w:r>
                  <w:r>
                    <w:rPr>
                      <w:rFonts w:hint="eastAsia" w:cs="Times New Roman"/>
                      <w:color w:val="auto"/>
                      <w:sz w:val="21"/>
                      <w:lang w:val="en-US" w:eastAsia="zh-CN"/>
                    </w:rPr>
                    <w:t>（</w:t>
                  </w:r>
                  <w:r>
                    <w:rPr>
                      <w:rFonts w:hint="default" w:ascii="Times New Roman" w:hAnsi="Times New Roman" w:eastAsia="宋体" w:cs="Times New Roman"/>
                      <w:color w:val="auto"/>
                      <w:sz w:val="21"/>
                      <w:lang w:val="en-US" w:eastAsia="zh-CN"/>
                    </w:rPr>
                    <w:t>试行</w:t>
                  </w:r>
                  <w:r>
                    <w:rPr>
                      <w:rFonts w:hint="eastAsia" w:cs="Times New Roman"/>
                      <w:color w:val="auto"/>
                      <w:sz w:val="21"/>
                      <w:lang w:val="en-US" w:eastAsia="zh-CN"/>
                    </w:rPr>
                    <w:t>）</w:t>
                  </w:r>
                  <w:r>
                    <w:rPr>
                      <w:rFonts w:hint="default" w:ascii="Times New Roman" w:hAnsi="Times New Roman" w:eastAsia="宋体" w:cs="Times New Roman"/>
                      <w:color w:val="auto"/>
                      <w:sz w:val="21"/>
                      <w:lang w:val="en-US" w:eastAsia="zh-CN"/>
                    </w:rPr>
                    <w:t>的通知》</w:t>
                  </w:r>
                  <w:r>
                    <w:rPr>
                      <w:rFonts w:hint="eastAsia" w:cs="Times New Roman"/>
                      <w:color w:val="auto"/>
                      <w:sz w:val="21"/>
                      <w:lang w:val="en-US" w:eastAsia="zh-CN"/>
                    </w:rPr>
                    <w:t>（</w:t>
                  </w:r>
                  <w:r>
                    <w:rPr>
                      <w:rFonts w:hint="default" w:ascii="Times New Roman" w:hAnsi="Times New Roman" w:eastAsia="宋体" w:cs="Times New Roman"/>
                      <w:color w:val="auto"/>
                      <w:sz w:val="21"/>
                      <w:lang w:val="en-US" w:eastAsia="zh-CN"/>
                    </w:rPr>
                    <w:t>闽环保大气〔2017〕</w:t>
                  </w:r>
                  <w:r>
                    <w:rPr>
                      <w:rFonts w:hint="eastAsia" w:cs="Times New Roman"/>
                      <w:color w:val="auto"/>
                      <w:sz w:val="21"/>
                      <w:lang w:val="en-US" w:eastAsia="zh-CN"/>
                    </w:rPr>
                    <w:t>6</w:t>
                  </w:r>
                  <w:r>
                    <w:rPr>
                      <w:rFonts w:hint="default" w:ascii="Times New Roman" w:hAnsi="Times New Roman" w:eastAsia="宋体" w:cs="Times New Roman"/>
                      <w:color w:val="auto"/>
                      <w:sz w:val="21"/>
                      <w:lang w:val="en-US" w:eastAsia="zh-CN"/>
                    </w:rPr>
                    <w:t>号</w:t>
                  </w:r>
                  <w:r>
                    <w:rPr>
                      <w:rFonts w:hint="eastAsia" w:cs="Times New Roman"/>
                      <w:color w:val="auto"/>
                      <w:sz w:val="21"/>
                      <w:lang w:val="en-US" w:eastAsia="zh-CN"/>
                    </w:rPr>
                    <w:t>）</w:t>
                  </w:r>
                </w:p>
              </w:tc>
              <w:tc>
                <w:tcPr>
                  <w:tcW w:w="2031" w:type="pct"/>
                  <w:tcBorders>
                    <w:tl2br w:val="nil"/>
                    <w:tr2bl w:val="nil"/>
                  </w:tcBorders>
                  <w:shd w:val="clear" w:color="auto" w:fill="auto"/>
                  <w:tcMar>
                    <w:top w:w="0" w:type="dxa"/>
                    <w:left w:w="57" w:type="dxa"/>
                    <w:bottom w:w="0" w:type="dxa"/>
                    <w:right w:w="57" w:type="dxa"/>
                  </w:tcMar>
                  <w:vAlign w:val="top"/>
                </w:tcPr>
                <w:p w14:paraId="106C2017">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二、主要任务</w:t>
                  </w:r>
                </w:p>
                <w:p w14:paraId="4658E5E0">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（一）严格环境准入</w:t>
                  </w:r>
                </w:p>
                <w:p w14:paraId="25A70205">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w:t>
                  </w:r>
                </w:p>
                <w:p w14:paraId="5CE27783">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国家及地方明令禁止的落后工艺和设备。</w:t>
                  </w:r>
                </w:p>
                <w:p w14:paraId="0A1DEE82">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（二）大力推进清洁生产</w:t>
                  </w:r>
                </w:p>
                <w:p w14:paraId="446A9BB7">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……在重点行业大力倡导环境标志产品生产及使用，尤其是水性涂料的生产和使用，从源头控制VOCs排放。</w:t>
                  </w:r>
                </w:p>
              </w:tc>
              <w:tc>
                <w:tcPr>
                  <w:tcW w:w="1116" w:type="pct"/>
                  <w:tcBorders>
                    <w:tl2br w:val="nil"/>
                    <w:tr2bl w:val="nil"/>
                  </w:tcBorders>
                  <w:shd w:val="clear" w:color="auto" w:fill="auto"/>
                  <w:tcMar>
                    <w:top w:w="0" w:type="dxa"/>
                    <w:left w:w="57" w:type="dxa"/>
                    <w:bottom w:w="0" w:type="dxa"/>
                    <w:right w:w="57" w:type="dxa"/>
                  </w:tcMar>
                  <w:vAlign w:val="top"/>
                </w:tcPr>
                <w:p w14:paraId="4B25B2D5">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本项目拟在电泳、电泳烘干</w:t>
                  </w:r>
                  <w:r>
                    <w:rPr>
                      <w:rFonts w:hint="eastAsia"/>
                      <w:color w:val="auto"/>
                      <w:kern w:val="2"/>
                      <w:sz w:val="21"/>
                      <w:highlight w:val="none"/>
                      <w:lang w:val="en-US" w:eastAsia="zh-CN"/>
                    </w:rPr>
                    <w:t>、调漆、喷漆、喷漆烘干、</w:t>
                  </w:r>
                  <w:r>
                    <w:rPr>
                      <w:rFonts w:hint="default" w:eastAsia="宋体"/>
                      <w:color w:val="auto"/>
                      <w:kern w:val="2"/>
                      <w:sz w:val="21"/>
                      <w:highlight w:val="none"/>
                      <w:lang w:val="en-US" w:eastAsia="zh-CN"/>
                    </w:rPr>
                    <w:t>喷粉烘干工序设置集气罩，将产生的VOCs收集后通过“喷淋+</w:t>
                  </w:r>
                  <w:r>
                    <w:rPr>
                      <w:rFonts w:hint="eastAsia"/>
                      <w:color w:val="auto"/>
                      <w:kern w:val="2"/>
                      <w:sz w:val="21"/>
                      <w:highlight w:val="none"/>
                      <w:lang w:val="en-US" w:eastAsia="zh-CN"/>
                    </w:rPr>
                    <w:t>过滤棉</w:t>
                  </w:r>
                  <w:r>
                    <w:rPr>
                      <w:rFonts w:hint="default" w:eastAsia="宋体"/>
                      <w:color w:val="auto"/>
                      <w:kern w:val="2"/>
                      <w:sz w:val="21"/>
                      <w:highlight w:val="none"/>
                      <w:lang w:val="en-US" w:eastAsia="zh-CN"/>
                    </w:rPr>
                    <w:t>+活性炭吸附+15m排气筒”处理后排放。</w:t>
                  </w:r>
                </w:p>
              </w:tc>
              <w:tc>
                <w:tcPr>
                  <w:tcW w:w="278" w:type="pct"/>
                  <w:tcBorders>
                    <w:tl2br w:val="nil"/>
                    <w:tr2bl w:val="nil"/>
                  </w:tcBorders>
                  <w:shd w:val="clear" w:color="auto" w:fill="auto"/>
                  <w:tcMar>
                    <w:top w:w="0" w:type="dxa"/>
                    <w:left w:w="57" w:type="dxa"/>
                    <w:bottom w:w="0" w:type="dxa"/>
                    <w:right w:w="57" w:type="dxa"/>
                  </w:tcMar>
                  <w:vAlign w:val="top"/>
                </w:tcPr>
                <w:p w14:paraId="750DF5AB">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符合</w:t>
                  </w:r>
                </w:p>
              </w:tc>
            </w:tr>
            <w:tr w14:paraId="37DBE5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8" w:hRule="atLeast"/>
                <w:jc w:val="center"/>
              </w:trPr>
              <w:tc>
                <w:tcPr>
                  <w:tcW w:w="302" w:type="pct"/>
                  <w:tcBorders>
                    <w:tl2br w:val="nil"/>
                    <w:tr2bl w:val="nil"/>
                  </w:tcBorders>
                  <w:tcMar>
                    <w:top w:w="0" w:type="dxa"/>
                    <w:left w:w="57" w:type="dxa"/>
                    <w:bottom w:w="0" w:type="dxa"/>
                    <w:right w:w="57" w:type="dxa"/>
                  </w:tcMar>
                  <w:vAlign w:val="center"/>
                </w:tcPr>
                <w:p w14:paraId="165539EF">
                  <w:pPr>
                    <w:pStyle w:val="91"/>
                    <w:spacing w:line="240" w:lineRule="auto"/>
                    <w:rPr>
                      <w:rFonts w:hint="default"/>
                      <w:color w:val="auto"/>
                      <w:kern w:val="2"/>
                      <w:sz w:val="21"/>
                      <w:highlight w:val="none"/>
                      <w:lang w:val="en-US" w:eastAsia="zh-CN"/>
                    </w:rPr>
                  </w:pPr>
                  <w:r>
                    <w:rPr>
                      <w:rFonts w:hint="eastAsia"/>
                      <w:color w:val="auto"/>
                      <w:kern w:val="2"/>
                      <w:sz w:val="21"/>
                      <w:highlight w:val="none"/>
                      <w:lang w:val="en-US" w:eastAsia="zh-CN"/>
                    </w:rPr>
                    <w:t>11</w:t>
                  </w:r>
                </w:p>
              </w:tc>
              <w:tc>
                <w:tcPr>
                  <w:tcW w:w="1271" w:type="pct"/>
                  <w:tcBorders>
                    <w:tl2br w:val="nil"/>
                    <w:tr2bl w:val="nil"/>
                  </w:tcBorders>
                  <w:shd w:val="clear" w:color="auto" w:fill="auto"/>
                  <w:tcMar>
                    <w:top w:w="0" w:type="dxa"/>
                    <w:left w:w="57" w:type="dxa"/>
                    <w:bottom w:w="0" w:type="dxa"/>
                    <w:right w:w="57" w:type="dxa"/>
                  </w:tcMar>
                  <w:vAlign w:val="top"/>
                </w:tcPr>
                <w:p w14:paraId="7391D960">
                  <w:pPr>
                    <w:pStyle w:val="91"/>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《福建省重点行业挥发性有机物排放控制要求</w:t>
                  </w:r>
                  <w:r>
                    <w:rPr>
                      <w:rFonts w:hint="eastAsia"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lang w:val="en-US" w:eastAsia="zh-CN"/>
                    </w:rPr>
                    <w:t>试行</w:t>
                  </w:r>
                  <w:r>
                    <w:rPr>
                      <w:rFonts w:hint="eastAsia"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lang w:val="en-US" w:eastAsia="zh-CN"/>
                    </w:rPr>
                    <w:t>的通知》</w:t>
                  </w:r>
                  <w:r>
                    <w:rPr>
                      <w:rFonts w:hint="eastAsia"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lang w:val="en-US" w:eastAsia="zh-CN"/>
                    </w:rPr>
                    <w:t>闽环保大气〔2017〕9号</w:t>
                  </w:r>
                </w:p>
              </w:tc>
              <w:tc>
                <w:tcPr>
                  <w:tcW w:w="2031" w:type="pct"/>
                  <w:tcBorders>
                    <w:tl2br w:val="nil"/>
                    <w:tr2bl w:val="nil"/>
                  </w:tcBorders>
                  <w:shd w:val="clear" w:color="auto" w:fill="auto"/>
                  <w:tcMar>
                    <w:top w:w="0" w:type="dxa"/>
                    <w:left w:w="57" w:type="dxa"/>
                    <w:bottom w:w="0" w:type="dxa"/>
                    <w:right w:w="57" w:type="dxa"/>
                  </w:tcMar>
                  <w:vAlign w:val="top"/>
                </w:tcPr>
                <w:p w14:paraId="3CF29876">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（1）工艺过程控制要求</w:t>
                  </w:r>
                </w:p>
                <w:p w14:paraId="061DB41D">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含VOCs物料应储存于密闭容器中。盛装含VOCs物料的容器应存放于储存室内，或至少设置遮阳挡雨等设施；</w:t>
                  </w:r>
                </w:p>
                <w:p w14:paraId="41F90781">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（2）其他控制要求</w:t>
                  </w:r>
                </w:p>
                <w:p w14:paraId="4D017CFB">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产生有废气的生产工艺和装置均设有收集系统和净化处理装置；所有产生VOCs的生产车间（或生产设施）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p>
              </w:tc>
              <w:tc>
                <w:tcPr>
                  <w:tcW w:w="1116" w:type="pct"/>
                  <w:tcBorders>
                    <w:tl2br w:val="nil"/>
                    <w:tr2bl w:val="nil"/>
                  </w:tcBorders>
                  <w:shd w:val="clear" w:color="auto" w:fill="auto"/>
                  <w:tcMar>
                    <w:top w:w="0" w:type="dxa"/>
                    <w:left w:w="57" w:type="dxa"/>
                    <w:bottom w:w="0" w:type="dxa"/>
                    <w:right w:w="57" w:type="dxa"/>
                  </w:tcMar>
                  <w:vAlign w:val="top"/>
                </w:tcPr>
                <w:p w14:paraId="3167848A">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（1）项目各类液态原料采用密闭桶装暂存；</w:t>
                  </w:r>
                </w:p>
                <w:p w14:paraId="1FA7BB44">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（2）本项目拟在电泳、电泳烘干</w:t>
                  </w:r>
                  <w:r>
                    <w:rPr>
                      <w:rFonts w:hint="eastAsia"/>
                      <w:color w:val="auto"/>
                      <w:kern w:val="2"/>
                      <w:sz w:val="21"/>
                      <w:highlight w:val="none"/>
                      <w:lang w:val="en-US" w:eastAsia="zh-CN"/>
                    </w:rPr>
                    <w:t>、调漆、喷漆、喷漆烘干、</w:t>
                  </w:r>
                  <w:r>
                    <w:rPr>
                      <w:rFonts w:hint="default" w:eastAsia="宋体"/>
                      <w:color w:val="auto"/>
                      <w:kern w:val="2"/>
                      <w:sz w:val="21"/>
                      <w:highlight w:val="none"/>
                      <w:lang w:val="en-US" w:eastAsia="zh-CN"/>
                    </w:rPr>
                    <w:t>喷粉烘干工序设置集气罩，设计收集效率≥90%，将产生的VOCs收集后通过“喷淋+过滤</w:t>
                  </w:r>
                  <w:r>
                    <w:rPr>
                      <w:rFonts w:hint="eastAsia"/>
                      <w:color w:val="auto"/>
                      <w:kern w:val="2"/>
                      <w:sz w:val="21"/>
                      <w:highlight w:val="none"/>
                      <w:lang w:val="en-US" w:eastAsia="zh-CN"/>
                    </w:rPr>
                    <w:t>棉</w:t>
                  </w:r>
                  <w:r>
                    <w:rPr>
                      <w:rFonts w:hint="default" w:eastAsia="宋体"/>
                      <w:color w:val="auto"/>
                      <w:kern w:val="2"/>
                      <w:sz w:val="21"/>
                      <w:highlight w:val="none"/>
                      <w:lang w:val="en-US" w:eastAsia="zh-CN"/>
                    </w:rPr>
                    <w:t>+活性炭吸附+15m排气筒”处理后排放，拟将更换的“废活性炭”等当作危险废物，袋装密闭暂存于危险废物贮存间内。</w:t>
                  </w:r>
                </w:p>
              </w:tc>
              <w:tc>
                <w:tcPr>
                  <w:tcW w:w="278" w:type="pct"/>
                  <w:tcBorders>
                    <w:tl2br w:val="nil"/>
                    <w:tr2bl w:val="nil"/>
                  </w:tcBorders>
                  <w:shd w:val="clear" w:color="auto" w:fill="auto"/>
                  <w:tcMar>
                    <w:top w:w="0" w:type="dxa"/>
                    <w:left w:w="57" w:type="dxa"/>
                    <w:bottom w:w="0" w:type="dxa"/>
                    <w:right w:w="57" w:type="dxa"/>
                  </w:tcMar>
                  <w:vAlign w:val="top"/>
                </w:tcPr>
                <w:p w14:paraId="74129E5D">
                  <w:pPr>
                    <w:pStyle w:val="91"/>
                    <w:spacing w:line="240" w:lineRule="auto"/>
                    <w:jc w:val="center"/>
                    <w:rPr>
                      <w:rFonts w:hint="default" w:eastAsia="宋体"/>
                      <w:color w:val="auto"/>
                      <w:kern w:val="2"/>
                      <w:sz w:val="21"/>
                      <w:highlight w:val="none"/>
                      <w:lang w:val="en-US" w:eastAsia="zh-CN"/>
                    </w:rPr>
                  </w:pPr>
                  <w:r>
                    <w:rPr>
                      <w:rFonts w:hint="default" w:eastAsia="宋体"/>
                      <w:color w:val="auto"/>
                      <w:kern w:val="2"/>
                      <w:sz w:val="21"/>
                      <w:highlight w:val="none"/>
                      <w:lang w:val="en-US" w:eastAsia="zh-CN"/>
                    </w:rPr>
                    <w:t>符合</w:t>
                  </w:r>
                </w:p>
              </w:tc>
            </w:tr>
          </w:tbl>
          <w:p w14:paraId="3191B60F">
            <w:pPr>
              <w:rPr>
                <w:rFonts w:hint="eastAsia"/>
                <w:color w:val="auto"/>
                <w:lang w:val="en-US" w:eastAsia="zh-CN"/>
              </w:rPr>
            </w:pPr>
          </w:p>
          <w:p w14:paraId="170B0737">
            <w:pPr>
              <w:pStyle w:val="3"/>
              <w:bidi w:val="0"/>
              <w:rPr>
                <w:rFonts w:hint="eastAsia" w:eastAsia="宋体"/>
                <w:color w:val="auto"/>
                <w:lang w:val="en-US" w:eastAsia="zh-CN"/>
              </w:rPr>
            </w:pPr>
            <w:r>
              <w:rPr>
                <w:rFonts w:hint="eastAsia" w:eastAsia="宋体"/>
                <w:color w:val="auto"/>
                <w:lang w:val="en-US" w:eastAsia="zh-CN"/>
              </w:rPr>
              <w:t>与《工业炉窑大气污染综合治理方案》（环大气[2019]56号）、《福建省工业炉窑大气污染综合治理方案》（闽环保大气(2019)10号）符合性分析</w:t>
            </w:r>
          </w:p>
          <w:p w14:paraId="23926F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zh-CN" w:eastAsia="zh-CN" w:bidi="ar-SA"/>
              </w:rPr>
              <w:t>本项目</w:t>
            </w:r>
            <w:r>
              <w:rPr>
                <w:rFonts w:hint="eastAsia" w:ascii="Times New Roman" w:hAnsi="Times New Roman" w:eastAsia="宋体" w:cs="宋体"/>
                <w:color w:val="auto"/>
                <w:kern w:val="0"/>
                <w:sz w:val="24"/>
                <w:szCs w:val="20"/>
                <w:highlight w:val="none"/>
                <w:lang w:val="en-US" w:eastAsia="zh-CN" w:bidi="ar-SA"/>
              </w:rPr>
              <w:t>与《工业炉窑大气污染综合治理方案》（环大气[2019]56号）、《福建省工业炉窑大气污染综合治理方案》（闽环保大气(2019)10号）符合性情况详见下表。</w:t>
            </w:r>
          </w:p>
          <w:p w14:paraId="65F484FA">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eastAsia="zh-CN"/>
              </w:rPr>
              <w:t>与</w:t>
            </w:r>
            <w:r>
              <w:rPr>
                <w:rFonts w:hint="eastAsia" w:ascii="Times New Roman" w:hAnsi="Times New Roman" w:eastAsia="宋体" w:cs="宋体"/>
                <w:color w:val="auto"/>
                <w:lang w:val="en-US" w:eastAsia="zh-CN"/>
              </w:rPr>
              <w:t>工业炉窑大气污染综合治理方案</w:t>
            </w:r>
            <w:r>
              <w:rPr>
                <w:rFonts w:hint="eastAsia" w:ascii="Times New Roman" w:hAnsi="Times New Roman" w:eastAsia="宋体" w:cs="宋体"/>
                <w:color w:val="auto"/>
                <w:lang w:eastAsia="zh-CN"/>
              </w:rPr>
              <w:t>符合性分析（</w:t>
            </w:r>
            <w:r>
              <w:rPr>
                <w:rFonts w:hint="eastAsia" w:ascii="Times New Roman" w:hAnsi="Times New Roman" w:eastAsia="宋体" w:cs="宋体"/>
                <w:color w:val="auto"/>
                <w:lang w:val="en-US" w:eastAsia="zh-CN"/>
              </w:rPr>
              <w:t>摘录）</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2955"/>
              <w:gridCol w:w="1740"/>
              <w:gridCol w:w="903"/>
            </w:tblGrid>
            <w:tr w14:paraId="7527E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865" w:type="dxa"/>
                  <w:tcBorders>
                    <w:bottom w:val="single" w:color="000000" w:sz="12" w:space="0"/>
                    <w:tl2br w:val="nil"/>
                    <w:tr2bl w:val="nil"/>
                  </w:tcBorders>
                  <w:vAlign w:val="center"/>
                </w:tcPr>
                <w:p w14:paraId="11C71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文件名称</w:t>
                  </w:r>
                </w:p>
              </w:tc>
              <w:tc>
                <w:tcPr>
                  <w:tcW w:w="2955" w:type="dxa"/>
                  <w:tcBorders>
                    <w:bottom w:val="single" w:color="000000" w:sz="12" w:space="0"/>
                    <w:tl2br w:val="nil"/>
                    <w:tr2bl w:val="nil"/>
                  </w:tcBorders>
                  <w:vAlign w:val="center"/>
                </w:tcPr>
                <w:p w14:paraId="42231D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“治理方案”要求</w:t>
                  </w:r>
                </w:p>
              </w:tc>
              <w:tc>
                <w:tcPr>
                  <w:tcW w:w="1740" w:type="dxa"/>
                  <w:tcBorders>
                    <w:bottom w:val="single" w:color="000000" w:sz="12" w:space="0"/>
                    <w:tl2br w:val="nil"/>
                    <w:tr2bl w:val="nil"/>
                  </w:tcBorders>
                  <w:vAlign w:val="center"/>
                </w:tcPr>
                <w:p w14:paraId="1045D9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本项目</w:t>
                  </w:r>
                </w:p>
              </w:tc>
              <w:tc>
                <w:tcPr>
                  <w:tcW w:w="903" w:type="dxa"/>
                  <w:tcBorders>
                    <w:bottom w:val="single" w:color="000000" w:sz="12" w:space="0"/>
                    <w:tl2br w:val="nil"/>
                    <w:tr2bl w:val="nil"/>
                  </w:tcBorders>
                  <w:vAlign w:val="center"/>
                </w:tcPr>
                <w:p w14:paraId="6C83A4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符合性</w:t>
                  </w:r>
                </w:p>
              </w:tc>
            </w:tr>
            <w:tr w14:paraId="221E3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5" w:type="dxa"/>
                  <w:vMerge w:val="restart"/>
                  <w:tcBorders>
                    <w:top w:val="single" w:color="000000" w:sz="12" w:space="0"/>
                    <w:tl2br w:val="nil"/>
                    <w:tr2bl w:val="nil"/>
                  </w:tcBorders>
                  <w:vAlign w:val="center"/>
                </w:tcPr>
                <w:p w14:paraId="46230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《工业炉窑大气污染综合治理方案》（环大气[2019]56号）</w:t>
                  </w:r>
                </w:p>
              </w:tc>
              <w:tc>
                <w:tcPr>
                  <w:tcW w:w="2955" w:type="dxa"/>
                  <w:tcBorders>
                    <w:top w:val="single" w:color="000000" w:sz="12" w:space="0"/>
                    <w:tl2br w:val="nil"/>
                    <w:tr2bl w:val="nil"/>
                  </w:tcBorders>
                  <w:vAlign w:val="center"/>
                </w:tcPr>
                <w:p w14:paraId="72DE1A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（一）</w:t>
                  </w:r>
                  <w:r>
                    <w:rPr>
                      <w:rFonts w:hint="default" w:ascii="Times New Roman" w:hAnsi="Times New Roman" w:eastAsia="宋体" w:cs="宋体"/>
                      <w:color w:val="auto"/>
                      <w:kern w:val="0"/>
                      <w:sz w:val="21"/>
                      <w:szCs w:val="21"/>
                      <w:highlight w:val="none"/>
                      <w:vertAlign w:val="baseline"/>
                      <w:lang w:val="en-US" w:eastAsia="zh-CN" w:bidi="ar-SA"/>
                    </w:rPr>
                    <w:t>加大产业结构调整力度。</w:t>
                  </w:r>
                </w:p>
                <w:p w14:paraId="11D207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严格建设项目环境准入。新建</w:t>
                  </w:r>
                </w:p>
                <w:p w14:paraId="20BB2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涉工业炉窑的建设项目，原则</w:t>
                  </w:r>
                </w:p>
                <w:p w14:paraId="697A6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上要入园区，配套建设高效环</w:t>
                  </w:r>
                </w:p>
                <w:p w14:paraId="59C550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保治理设施。</w:t>
                  </w:r>
                </w:p>
              </w:tc>
              <w:tc>
                <w:tcPr>
                  <w:tcW w:w="1740" w:type="dxa"/>
                  <w:tcBorders>
                    <w:top w:val="single" w:color="000000" w:sz="12" w:space="0"/>
                    <w:tl2br w:val="nil"/>
                    <w:tr2bl w:val="nil"/>
                  </w:tcBorders>
                  <w:vAlign w:val="center"/>
                </w:tcPr>
                <w:p w14:paraId="6FD695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项目</w:t>
                  </w:r>
                  <w:r>
                    <w:rPr>
                      <w:rFonts w:hint="eastAsia" w:cs="宋体"/>
                      <w:color w:val="auto"/>
                      <w:kern w:val="0"/>
                      <w:sz w:val="21"/>
                      <w:szCs w:val="21"/>
                      <w:highlight w:val="none"/>
                      <w:vertAlign w:val="baseline"/>
                      <w:lang w:val="en-US" w:eastAsia="zh-CN" w:bidi="ar-SA"/>
                    </w:rPr>
                    <w:t>使用的</w:t>
                  </w:r>
                  <w:r>
                    <w:rPr>
                      <w:rFonts w:hint="default" w:ascii="Times New Roman" w:hAnsi="Times New Roman" w:eastAsia="宋体" w:cs="宋体"/>
                      <w:color w:val="auto"/>
                      <w:kern w:val="0"/>
                      <w:sz w:val="21"/>
                      <w:szCs w:val="21"/>
                      <w:highlight w:val="none"/>
                      <w:vertAlign w:val="baseline"/>
                      <w:lang w:val="en-US" w:eastAsia="zh-CN" w:bidi="ar-SA"/>
                    </w:rPr>
                    <w:t>固化</w:t>
                  </w:r>
                  <w:r>
                    <w:rPr>
                      <w:rFonts w:hint="eastAsia" w:cs="宋体"/>
                      <w:color w:val="auto"/>
                      <w:kern w:val="0"/>
                      <w:sz w:val="21"/>
                      <w:szCs w:val="21"/>
                      <w:highlight w:val="none"/>
                      <w:vertAlign w:val="baseline"/>
                      <w:lang w:val="en-US" w:eastAsia="zh-CN" w:bidi="ar-SA"/>
                    </w:rPr>
                    <w:t>炉为炉窑，</w:t>
                  </w:r>
                  <w:r>
                    <w:rPr>
                      <w:rFonts w:hint="default" w:ascii="Times New Roman" w:hAnsi="Times New Roman" w:eastAsia="宋体" w:cs="宋体"/>
                      <w:color w:val="auto"/>
                      <w:kern w:val="0"/>
                      <w:sz w:val="21"/>
                      <w:szCs w:val="21"/>
                      <w:highlight w:val="none"/>
                      <w:vertAlign w:val="baseline"/>
                      <w:lang w:val="en-US" w:eastAsia="zh-CN" w:bidi="ar-SA"/>
                    </w:rPr>
                    <w:t>项目位于福建省福州市福清市镜洋镇工业区</w:t>
                  </w:r>
                  <w:r>
                    <w:rPr>
                      <w:rFonts w:hint="eastAsia"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租赁福州鼎力机械有限公司铸造车间1号</w:t>
                  </w:r>
                  <w:r>
                    <w:rPr>
                      <w:rFonts w:hint="eastAsia"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。根据《关于规范融侨开发区工业企业准入产业的函》，镜洋镇已纳入福清融侨经济开发区管理（托管）</w:t>
                  </w:r>
                  <w:r>
                    <w:rPr>
                      <w:rFonts w:hint="eastAsia" w:cs="宋体"/>
                      <w:color w:val="auto"/>
                      <w:kern w:val="0"/>
                      <w:sz w:val="21"/>
                      <w:szCs w:val="21"/>
                      <w:highlight w:val="none"/>
                      <w:vertAlign w:val="baseline"/>
                      <w:lang w:val="en-US" w:eastAsia="zh-CN" w:bidi="ar-SA"/>
                    </w:rPr>
                    <w:t>且项目固化炉采用低氮燃烧器，故本项目符合要求。</w:t>
                  </w:r>
                </w:p>
              </w:tc>
              <w:tc>
                <w:tcPr>
                  <w:tcW w:w="903" w:type="dxa"/>
                  <w:tcBorders>
                    <w:top w:val="single" w:color="000000" w:sz="12" w:space="0"/>
                    <w:tl2br w:val="nil"/>
                    <w:tr2bl w:val="nil"/>
                  </w:tcBorders>
                  <w:vAlign w:val="center"/>
                </w:tcPr>
                <w:p w14:paraId="603D00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符合</w:t>
                  </w:r>
                </w:p>
              </w:tc>
            </w:tr>
            <w:tr w14:paraId="78F89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5" w:type="dxa"/>
                  <w:vMerge w:val="continue"/>
                  <w:tcBorders>
                    <w:tl2br w:val="nil"/>
                    <w:tr2bl w:val="nil"/>
                  </w:tcBorders>
                  <w:vAlign w:val="center"/>
                </w:tcPr>
                <w:p w14:paraId="1AB87B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p>
              </w:tc>
              <w:tc>
                <w:tcPr>
                  <w:tcW w:w="2955" w:type="dxa"/>
                  <w:tcBorders>
                    <w:tl2br w:val="nil"/>
                    <w:tr2bl w:val="nil"/>
                  </w:tcBorders>
                  <w:vAlign w:val="center"/>
                </w:tcPr>
                <w:p w14:paraId="1807C1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（二）</w:t>
                  </w:r>
                  <w:r>
                    <w:rPr>
                      <w:rFonts w:hint="default" w:ascii="Times New Roman" w:hAnsi="Times New Roman" w:eastAsia="宋体" w:cs="宋体"/>
                      <w:color w:val="auto"/>
                      <w:kern w:val="0"/>
                      <w:sz w:val="21"/>
                      <w:szCs w:val="21"/>
                      <w:highlight w:val="none"/>
                      <w:vertAlign w:val="baseline"/>
                      <w:lang w:val="en-US" w:eastAsia="zh-CN" w:bidi="ar-SA"/>
                    </w:rPr>
                    <w:t>加快燃料清洁低碳化替</w:t>
                  </w:r>
                </w:p>
                <w:p w14:paraId="1CE6E0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代。对以煤、石油焦、渣油、</w:t>
                  </w:r>
                </w:p>
                <w:p w14:paraId="11574E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重油等为燃料的工业炉窑，加</w:t>
                  </w:r>
                </w:p>
                <w:p w14:paraId="4974C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快使用清洁低碳能源以及利用</w:t>
                  </w:r>
                </w:p>
                <w:p w14:paraId="7E110B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工厂余热、电厂热力等进行替</w:t>
                  </w:r>
                </w:p>
                <w:p w14:paraId="76D591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代。</w:t>
                  </w:r>
                </w:p>
              </w:tc>
              <w:tc>
                <w:tcPr>
                  <w:tcW w:w="1740" w:type="dxa"/>
                  <w:tcBorders>
                    <w:tl2br w:val="nil"/>
                    <w:tr2bl w:val="nil"/>
                  </w:tcBorders>
                  <w:vAlign w:val="center"/>
                </w:tcPr>
                <w:p w14:paraId="588FE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项目固化使用天然气为能源。</w:t>
                  </w:r>
                </w:p>
              </w:tc>
              <w:tc>
                <w:tcPr>
                  <w:tcW w:w="903" w:type="dxa"/>
                  <w:tcBorders>
                    <w:tl2br w:val="nil"/>
                    <w:tr2bl w:val="nil"/>
                  </w:tcBorders>
                  <w:vAlign w:val="center"/>
                </w:tcPr>
                <w:p w14:paraId="072969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符合</w:t>
                  </w:r>
                </w:p>
              </w:tc>
            </w:tr>
            <w:tr w14:paraId="352FD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5" w:type="dxa"/>
                  <w:vMerge w:val="continue"/>
                  <w:tcBorders>
                    <w:tl2br w:val="nil"/>
                    <w:tr2bl w:val="nil"/>
                  </w:tcBorders>
                  <w:vAlign w:val="center"/>
                </w:tcPr>
                <w:p w14:paraId="16D0B7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p>
              </w:tc>
              <w:tc>
                <w:tcPr>
                  <w:tcW w:w="2955" w:type="dxa"/>
                  <w:tcBorders>
                    <w:tl2br w:val="nil"/>
                    <w:tr2bl w:val="nil"/>
                  </w:tcBorders>
                  <w:vAlign w:val="center"/>
                </w:tcPr>
                <w:p w14:paraId="5764B1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（三）</w:t>
                  </w:r>
                  <w:r>
                    <w:rPr>
                      <w:rFonts w:hint="default" w:ascii="Times New Roman" w:hAnsi="Times New Roman" w:eastAsia="宋体" w:cs="宋体"/>
                      <w:color w:val="auto"/>
                      <w:kern w:val="0"/>
                      <w:sz w:val="21"/>
                      <w:szCs w:val="21"/>
                      <w:highlight w:val="none"/>
                      <w:vertAlign w:val="baseline"/>
                      <w:lang w:val="en-US" w:eastAsia="zh-CN" w:bidi="ar-SA"/>
                    </w:rPr>
                    <w:t>实施污染深度治理。推进工业炉窑全面达标排放。已有行业排放标准的工业炉窑，严格执行行业排放标准相关规定，配套建设高效脱硫脱硝除尘设施，确保稳定达标排放。</w:t>
                  </w:r>
                </w:p>
              </w:tc>
              <w:tc>
                <w:tcPr>
                  <w:tcW w:w="1740" w:type="dxa"/>
                  <w:tcBorders>
                    <w:tl2br w:val="nil"/>
                    <w:tr2bl w:val="nil"/>
                  </w:tcBorders>
                  <w:vAlign w:val="center"/>
                </w:tcPr>
                <w:p w14:paraId="495933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项目固化使用天然气为能源，产生的二氧化硫、氮氧化物量很少，采用低氮燃烧技术。</w:t>
                  </w:r>
                </w:p>
              </w:tc>
              <w:tc>
                <w:tcPr>
                  <w:tcW w:w="903" w:type="dxa"/>
                  <w:tcBorders>
                    <w:tl2br w:val="nil"/>
                    <w:tr2bl w:val="nil"/>
                  </w:tcBorders>
                  <w:vAlign w:val="center"/>
                </w:tcPr>
                <w:p w14:paraId="0212DE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符合</w:t>
                  </w:r>
                </w:p>
              </w:tc>
            </w:tr>
            <w:tr w14:paraId="790D8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5" w:type="dxa"/>
                  <w:vMerge w:val="continue"/>
                  <w:tcBorders>
                    <w:tl2br w:val="nil"/>
                    <w:tr2bl w:val="nil"/>
                  </w:tcBorders>
                  <w:vAlign w:val="center"/>
                </w:tcPr>
                <w:p w14:paraId="3BD2CC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p>
              </w:tc>
              <w:tc>
                <w:tcPr>
                  <w:tcW w:w="2955" w:type="dxa"/>
                  <w:tcBorders>
                    <w:tl2br w:val="nil"/>
                    <w:tr2bl w:val="nil"/>
                  </w:tcBorders>
                  <w:vAlign w:val="center"/>
                </w:tcPr>
                <w:p w14:paraId="454198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装置</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应采取密闭、封闭或设置</w:t>
                  </w:r>
                </w:p>
                <w:p w14:paraId="32D66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集气罩等措施。</w:t>
                  </w:r>
                </w:p>
              </w:tc>
              <w:tc>
                <w:tcPr>
                  <w:tcW w:w="1740" w:type="dxa"/>
                  <w:tcBorders>
                    <w:tl2br w:val="nil"/>
                    <w:tr2bl w:val="nil"/>
                  </w:tcBorders>
                  <w:vAlign w:val="center"/>
                </w:tcPr>
                <w:p w14:paraId="0C30A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项目固化炉除进出口，其余全封闭；项目喷粉粉尘经收集后通过滤芯除尘系统处理，通过一根15m排气筒排放。</w:t>
                  </w:r>
                </w:p>
              </w:tc>
              <w:tc>
                <w:tcPr>
                  <w:tcW w:w="903" w:type="dxa"/>
                  <w:tcBorders>
                    <w:tl2br w:val="nil"/>
                    <w:tr2bl w:val="nil"/>
                  </w:tcBorders>
                  <w:vAlign w:val="center"/>
                </w:tcPr>
                <w:p w14:paraId="5E38ED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符合</w:t>
                  </w:r>
                </w:p>
              </w:tc>
            </w:tr>
            <w:tr w14:paraId="044BD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5" w:type="dxa"/>
                  <w:vMerge w:val="restart"/>
                  <w:tcBorders>
                    <w:tl2br w:val="nil"/>
                    <w:tr2bl w:val="nil"/>
                  </w:tcBorders>
                  <w:vAlign w:val="center"/>
                </w:tcPr>
                <w:p w14:paraId="3768A2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《福建省工业炉窑大气污染综合治理方案》</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闽环保大气(2019)10号</w:t>
                  </w:r>
                  <w:r>
                    <w:rPr>
                      <w:rFonts w:hint="eastAsia" w:ascii="Times New Roman" w:hAnsi="Times New Roman" w:eastAsia="宋体" w:cs="宋体"/>
                      <w:color w:val="auto"/>
                      <w:kern w:val="0"/>
                      <w:sz w:val="21"/>
                      <w:szCs w:val="21"/>
                      <w:highlight w:val="none"/>
                      <w:vertAlign w:val="baseline"/>
                      <w:lang w:val="en-US" w:eastAsia="zh-CN" w:bidi="ar-SA"/>
                    </w:rPr>
                    <w:t>）</w:t>
                  </w:r>
                </w:p>
              </w:tc>
              <w:tc>
                <w:tcPr>
                  <w:tcW w:w="2955" w:type="dxa"/>
                  <w:tcBorders>
                    <w:tl2br w:val="nil"/>
                    <w:tr2bl w:val="nil"/>
                  </w:tcBorders>
                  <w:vAlign w:val="center"/>
                </w:tcPr>
                <w:p w14:paraId="45AF91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1.</w:t>
                  </w:r>
                  <w:r>
                    <w:rPr>
                      <w:rFonts w:hint="default" w:ascii="Times New Roman" w:hAnsi="Times New Roman" w:eastAsia="宋体" w:cs="宋体"/>
                      <w:color w:val="auto"/>
                      <w:kern w:val="0"/>
                      <w:sz w:val="21"/>
                      <w:szCs w:val="21"/>
                      <w:highlight w:val="none"/>
                      <w:vertAlign w:val="baseline"/>
                      <w:lang w:val="en-US" w:eastAsia="zh-CN" w:bidi="ar-SA"/>
                    </w:rPr>
                    <w:t>加大产业结构调整力度。严</w:t>
                  </w:r>
                </w:p>
                <w:p w14:paraId="319A9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格建设项目环境准入。新建涉工业炉窑的建设项目，原则上要入园区，配套建设高效环保</w:t>
                  </w:r>
                </w:p>
                <w:p w14:paraId="6B2E90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治理设施。</w:t>
                  </w:r>
                </w:p>
              </w:tc>
              <w:tc>
                <w:tcPr>
                  <w:tcW w:w="1740" w:type="dxa"/>
                  <w:tcBorders>
                    <w:tl2br w:val="nil"/>
                    <w:tr2bl w:val="nil"/>
                  </w:tcBorders>
                  <w:vAlign w:val="center"/>
                </w:tcPr>
                <w:p w14:paraId="7A6C6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项目固化使用天然气为能源。本项目位于福建省福州市福清市镜洋镇工业区，租赁福州鼎力机械有限公司铸造车间1号。根据《关于规范融侨开发区工业企业准入产业的函》，融侨开发区辖区跨</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四街一镇</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（音西街道、宏路街道、石竹街道、阳下街道、镜洋镇），镜洋镇已纳入福清融侨经济开发区管理（托管）。</w:t>
                  </w:r>
                </w:p>
              </w:tc>
              <w:tc>
                <w:tcPr>
                  <w:tcW w:w="903" w:type="dxa"/>
                  <w:tcBorders>
                    <w:tl2br w:val="nil"/>
                    <w:tr2bl w:val="nil"/>
                  </w:tcBorders>
                  <w:vAlign w:val="center"/>
                </w:tcPr>
                <w:p w14:paraId="0EE3C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符合</w:t>
                  </w:r>
                </w:p>
              </w:tc>
            </w:tr>
            <w:tr w14:paraId="135CD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5" w:type="dxa"/>
                  <w:vMerge w:val="continue"/>
                  <w:tcBorders>
                    <w:tl2br w:val="nil"/>
                    <w:tr2bl w:val="nil"/>
                  </w:tcBorders>
                  <w:vAlign w:val="center"/>
                </w:tcPr>
                <w:p w14:paraId="363036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p>
              </w:tc>
              <w:tc>
                <w:tcPr>
                  <w:tcW w:w="2955" w:type="dxa"/>
                  <w:tcBorders>
                    <w:tl2br w:val="nil"/>
                    <w:tr2bl w:val="nil"/>
                  </w:tcBorders>
                  <w:vAlign w:val="center"/>
                </w:tcPr>
                <w:p w14:paraId="3ECD2E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2.</w:t>
                  </w:r>
                  <w:r>
                    <w:rPr>
                      <w:rFonts w:hint="default" w:ascii="Times New Roman" w:hAnsi="Times New Roman" w:eastAsia="宋体" w:cs="宋体"/>
                      <w:color w:val="auto"/>
                      <w:kern w:val="0"/>
                      <w:sz w:val="21"/>
                      <w:szCs w:val="21"/>
                      <w:highlight w:val="none"/>
                      <w:vertAlign w:val="baseline"/>
                      <w:lang w:val="en-US" w:eastAsia="zh-CN" w:bidi="ar-SA"/>
                    </w:rPr>
                    <w:t>加快燃料清洁低碳化替代。加快淘汰煤气发生炉和燃煤工业炉窑。鼓励工业炉窑使用电、天然气等清洁能源或由周边热电厂供热。基本淘汰热电联产供热管网覆盖范围内的燃煤加热、烘干炉</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窑</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。加快推动铸造</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10吨/小时及以下</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、岩棉等行业冲天炉改为电炉。</w:t>
                  </w:r>
                </w:p>
              </w:tc>
              <w:tc>
                <w:tcPr>
                  <w:tcW w:w="1740" w:type="dxa"/>
                  <w:tcBorders>
                    <w:tl2br w:val="nil"/>
                    <w:tr2bl w:val="nil"/>
                  </w:tcBorders>
                  <w:vAlign w:val="center"/>
                </w:tcPr>
                <w:p w14:paraId="5B3C79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项目固化使用天然气为能源。</w:t>
                  </w:r>
                </w:p>
              </w:tc>
              <w:tc>
                <w:tcPr>
                  <w:tcW w:w="903" w:type="dxa"/>
                  <w:tcBorders>
                    <w:tl2br w:val="nil"/>
                    <w:tr2bl w:val="nil"/>
                  </w:tcBorders>
                  <w:vAlign w:val="center"/>
                </w:tcPr>
                <w:p w14:paraId="080C4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符合</w:t>
                  </w:r>
                </w:p>
              </w:tc>
            </w:tr>
            <w:tr w14:paraId="3408BD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65" w:type="dxa"/>
                  <w:vMerge w:val="continue"/>
                  <w:tcBorders>
                    <w:tl2br w:val="nil"/>
                    <w:tr2bl w:val="nil"/>
                  </w:tcBorders>
                  <w:vAlign w:val="center"/>
                </w:tcPr>
                <w:p w14:paraId="14B2DC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p>
              </w:tc>
              <w:tc>
                <w:tcPr>
                  <w:tcW w:w="2955" w:type="dxa"/>
                  <w:tcBorders>
                    <w:tl2br w:val="nil"/>
                    <w:tr2bl w:val="nil"/>
                  </w:tcBorders>
                  <w:vAlign w:val="center"/>
                </w:tcPr>
                <w:p w14:paraId="713DE2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3.</w:t>
                  </w:r>
                  <w:r>
                    <w:rPr>
                      <w:rFonts w:hint="default" w:ascii="Times New Roman" w:hAnsi="Times New Roman" w:eastAsia="宋体" w:cs="宋体"/>
                      <w:color w:val="auto"/>
                      <w:kern w:val="0"/>
                      <w:sz w:val="21"/>
                      <w:szCs w:val="21"/>
                      <w:highlight w:val="none"/>
                      <w:vertAlign w:val="baseline"/>
                      <w:lang w:val="en-US" w:eastAsia="zh-CN" w:bidi="ar-SA"/>
                    </w:rPr>
                    <w:t>实施污染深度治理。暂未制</w:t>
                  </w:r>
                </w:p>
                <w:p w14:paraId="472F2C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订行业排放标准的工业炉窑，包括铸造，日用玻璃，玻璃纤维、耐火材料、石灰、矿物棉等建材行业，钨、工业硅、金属冶炼废渣</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灰</w:t>
                  </w:r>
                  <w:r>
                    <w:rPr>
                      <w:rFonts w:hint="eastAsia" w:ascii="Times New Roman" w:hAnsi="Times New Roman" w:eastAsia="宋体" w:cs="宋体"/>
                      <w:color w:val="auto"/>
                      <w:kern w:val="0"/>
                      <w:sz w:val="21"/>
                      <w:szCs w:val="21"/>
                      <w:highlight w:val="none"/>
                      <w:vertAlign w:val="baseline"/>
                      <w:lang w:val="en-US" w:eastAsia="zh-CN" w:bidi="ar-SA"/>
                    </w:rPr>
                    <w:t>）</w:t>
                  </w:r>
                  <w:r>
                    <w:rPr>
                      <w:rFonts w:hint="default" w:ascii="Times New Roman" w:hAnsi="Times New Roman" w:eastAsia="宋体" w:cs="宋体"/>
                      <w:color w:val="auto"/>
                      <w:kern w:val="0"/>
                      <w:sz w:val="21"/>
                      <w:szCs w:val="21"/>
                      <w:highlight w:val="none"/>
                      <w:vertAlign w:val="baseline"/>
                      <w:lang w:val="en-US" w:eastAsia="zh-CN" w:bidi="ar-SA"/>
                    </w:rPr>
                    <w:t>二次提取等有色金属行业，氮肥、电石、</w:t>
                  </w:r>
                </w:p>
                <w:p w14:paraId="1FB3F9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default" w:ascii="Times New Roman" w:hAnsi="Times New Roman" w:eastAsia="宋体" w:cs="宋体"/>
                      <w:color w:val="auto"/>
                      <w:kern w:val="0"/>
                      <w:sz w:val="21"/>
                      <w:szCs w:val="21"/>
                      <w:highlight w:val="none"/>
                      <w:vertAlign w:val="baseline"/>
                      <w:lang w:val="en-US" w:eastAsia="zh-CN" w:bidi="ar-SA"/>
                    </w:rPr>
                    <w:t>无机磷、活性炭等化工行业，应全面加大污染治理力度，鼓励按照颗粒物、二氧化硫、氮氧化物排放限值分别不高于30、200、300mg/m</w:t>
                  </w:r>
                  <w:r>
                    <w:rPr>
                      <w:rFonts w:hint="default" w:ascii="Times New Roman" w:hAnsi="Times New Roman" w:eastAsia="宋体" w:cs="宋体"/>
                      <w:color w:val="auto"/>
                      <w:kern w:val="0"/>
                      <w:sz w:val="21"/>
                      <w:szCs w:val="21"/>
                      <w:highlight w:val="none"/>
                      <w:vertAlign w:val="superscript"/>
                      <w:lang w:val="en-US" w:eastAsia="zh-CN" w:bidi="ar-SA"/>
                    </w:rPr>
                    <w:t>3</w:t>
                  </w:r>
                  <w:r>
                    <w:rPr>
                      <w:rFonts w:hint="default" w:ascii="Times New Roman" w:hAnsi="Times New Roman" w:eastAsia="宋体" w:cs="宋体"/>
                      <w:color w:val="auto"/>
                      <w:kern w:val="0"/>
                      <w:sz w:val="21"/>
                      <w:szCs w:val="21"/>
                      <w:highlight w:val="none"/>
                      <w:vertAlign w:val="baseline"/>
                      <w:lang w:val="en-US" w:eastAsia="zh-CN" w:bidi="ar-SA"/>
                    </w:rPr>
                    <w:t>实施改造，其中，日用玻璃、玻璃棉氮氧化物排放限值不高于400mg/m3。铸造用生铁企业的烧结机、球团和高炉按照闽环保大气(2019)7号要求实施超低排放改造。</w:t>
                  </w:r>
                </w:p>
              </w:tc>
              <w:tc>
                <w:tcPr>
                  <w:tcW w:w="1740" w:type="dxa"/>
                  <w:tcBorders>
                    <w:tl2br w:val="nil"/>
                    <w:tr2bl w:val="nil"/>
                  </w:tcBorders>
                  <w:vAlign w:val="center"/>
                </w:tcPr>
                <w:p w14:paraId="10E2EE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项目主要从事汽车座椅骨架生产，该行业未对工业炉窑制定排放标准，本项目固化炉燃烧废气排放将按照颗粒物、二氧化硫、氮氧化物排放限值分别不高于30、200、300mg/m</w:t>
                  </w:r>
                  <w:r>
                    <w:rPr>
                      <w:rFonts w:hint="eastAsia" w:ascii="Times New Roman" w:hAnsi="Times New Roman" w:eastAsia="宋体" w:cs="宋体"/>
                      <w:color w:val="auto"/>
                      <w:kern w:val="0"/>
                      <w:sz w:val="21"/>
                      <w:szCs w:val="21"/>
                      <w:highlight w:val="none"/>
                      <w:vertAlign w:val="superscript"/>
                      <w:lang w:val="en-US" w:eastAsia="zh-CN" w:bidi="ar-SA"/>
                    </w:rPr>
                    <w:t>3</w:t>
                  </w:r>
                  <w:r>
                    <w:rPr>
                      <w:rFonts w:hint="eastAsia" w:ascii="Times New Roman" w:hAnsi="Times New Roman" w:eastAsia="宋体" w:cs="宋体"/>
                      <w:color w:val="auto"/>
                      <w:kern w:val="0"/>
                      <w:sz w:val="21"/>
                      <w:szCs w:val="21"/>
                      <w:highlight w:val="none"/>
                      <w:vertAlign w:val="baseline"/>
                      <w:lang w:val="en-US" w:eastAsia="zh-CN" w:bidi="ar-SA"/>
                    </w:rPr>
                    <w:t>进行达标控制。</w:t>
                  </w:r>
                </w:p>
              </w:tc>
              <w:tc>
                <w:tcPr>
                  <w:tcW w:w="903" w:type="dxa"/>
                  <w:tcBorders>
                    <w:tl2br w:val="nil"/>
                    <w:tr2bl w:val="nil"/>
                  </w:tcBorders>
                  <w:vAlign w:val="center"/>
                </w:tcPr>
                <w:p w14:paraId="464EE7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0"/>
                      <w:sz w:val="21"/>
                      <w:szCs w:val="21"/>
                      <w:highlight w:val="none"/>
                      <w:vertAlign w:val="baseline"/>
                      <w:lang w:val="en-US" w:eastAsia="zh-CN" w:bidi="ar-SA"/>
                    </w:rPr>
                  </w:pPr>
                  <w:r>
                    <w:rPr>
                      <w:rFonts w:hint="eastAsia" w:ascii="Times New Roman" w:hAnsi="Times New Roman" w:eastAsia="宋体" w:cs="宋体"/>
                      <w:color w:val="auto"/>
                      <w:kern w:val="0"/>
                      <w:sz w:val="21"/>
                      <w:szCs w:val="21"/>
                      <w:highlight w:val="none"/>
                      <w:vertAlign w:val="baseline"/>
                      <w:lang w:val="en-US" w:eastAsia="zh-CN" w:bidi="ar-SA"/>
                    </w:rPr>
                    <w:t>符合</w:t>
                  </w:r>
                </w:p>
              </w:tc>
            </w:tr>
          </w:tbl>
          <w:p w14:paraId="6F54E6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kern w:val="0"/>
                <w:sz w:val="24"/>
                <w:szCs w:val="20"/>
                <w:highlight w:val="none"/>
                <w:lang w:val="en-US" w:eastAsia="zh-CN" w:bidi="ar-SA"/>
              </w:rPr>
            </w:pPr>
          </w:p>
          <w:p w14:paraId="77B80B1F">
            <w:pPr>
              <w:pStyle w:val="3"/>
              <w:bidi w:val="0"/>
              <w:rPr>
                <w:rFonts w:hint="eastAsia"/>
                <w:color w:val="auto"/>
                <w:lang w:val="en-US" w:eastAsia="zh-CN"/>
              </w:rPr>
            </w:pPr>
            <w:r>
              <w:rPr>
                <w:rFonts w:hint="eastAsia"/>
                <w:color w:val="auto"/>
                <w:lang w:val="en-US" w:eastAsia="zh-CN"/>
              </w:rPr>
              <w:t>与周边相容性分析</w:t>
            </w:r>
          </w:p>
          <w:p w14:paraId="5F54E922">
            <w:pPr>
              <w:rPr>
                <w:rFonts w:hint="eastAsia"/>
                <w:color w:val="auto"/>
                <w:lang w:val="en-US" w:eastAsia="zh-CN"/>
              </w:rPr>
            </w:pPr>
          </w:p>
          <w:p w14:paraId="688F5098">
            <w:pPr>
              <w:pStyle w:val="11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olor w:val="auto"/>
                <w:sz w:val="25"/>
                <w:szCs w:val="25"/>
              </w:rPr>
            </w:pPr>
            <w:r>
              <w:rPr>
                <w:rFonts w:hint="eastAsia" w:ascii="Times New Roman" w:hAnsi="Times New Roman" w:eastAsia="宋体" w:cs="宋体"/>
                <w:color w:val="auto"/>
                <w:kern w:val="0"/>
                <w:sz w:val="24"/>
                <w:szCs w:val="20"/>
                <w:highlight w:val="none"/>
                <w:lang w:val="zh-CN" w:eastAsia="zh-CN" w:bidi="ar-SA"/>
              </w:rPr>
              <w:t>本项目位</w:t>
            </w:r>
            <w:r>
              <w:rPr>
                <w:rFonts w:hint="eastAsia" w:ascii="Times New Roman" w:hAnsi="Times New Roman" w:eastAsia="宋体" w:cs="宋体"/>
                <w:color w:val="auto"/>
                <w:kern w:val="0"/>
                <w:sz w:val="24"/>
                <w:szCs w:val="20"/>
                <w:highlight w:val="none"/>
                <w:shd w:val="clear"/>
                <w:lang w:val="zh-CN" w:eastAsia="zh-CN" w:bidi="ar-SA"/>
              </w:rPr>
              <w:t>于福清融侨经济技术开发区</w:t>
            </w:r>
            <w:r>
              <w:rPr>
                <w:rFonts w:hint="eastAsia" w:ascii="Times New Roman" w:hAnsi="Times New Roman" w:cs="宋体"/>
                <w:color w:val="auto"/>
                <w:kern w:val="0"/>
                <w:sz w:val="24"/>
                <w:szCs w:val="20"/>
                <w:highlight w:val="none"/>
                <w:shd w:val="clear"/>
                <w:lang w:val="zh-CN" w:eastAsia="zh-CN" w:bidi="ar-SA"/>
              </w:rPr>
              <w:t>福建省福州市福清融侨经济技术开发区镜洋镇（租赁福州鼎力机械有限公司铸造车间1号）</w:t>
            </w:r>
            <w:r>
              <w:rPr>
                <w:rFonts w:hint="eastAsia" w:ascii="Times New Roman" w:hAnsi="Times New Roman" w:eastAsia="宋体" w:cs="宋体"/>
                <w:color w:val="auto"/>
                <w:kern w:val="0"/>
                <w:sz w:val="24"/>
                <w:szCs w:val="20"/>
                <w:highlight w:val="none"/>
                <w:lang w:val="zh-CN" w:eastAsia="zh-CN" w:bidi="ar-SA"/>
              </w:rPr>
              <w:t>，根据现场勘查，周边以工业企业为主，项目周边</w:t>
            </w:r>
            <w:r>
              <w:rPr>
                <w:rFonts w:hint="eastAsia" w:ascii="Times New Roman" w:hAnsi="Times New Roman" w:eastAsia="宋体" w:cs="宋体"/>
                <w:color w:val="auto"/>
                <w:kern w:val="0"/>
                <w:sz w:val="24"/>
                <w:szCs w:val="20"/>
                <w:highlight w:val="none"/>
                <w:shd w:val="clear"/>
                <w:lang w:val="zh-CN" w:eastAsia="zh-CN" w:bidi="ar-SA"/>
              </w:rPr>
              <w:t>环境现</w:t>
            </w:r>
            <w:r>
              <w:rPr>
                <w:rFonts w:hint="eastAsia" w:ascii="Times New Roman" w:hAnsi="Times New Roman" w:cs="宋体"/>
                <w:color w:val="auto"/>
                <w:kern w:val="0"/>
                <w:sz w:val="24"/>
                <w:szCs w:val="20"/>
                <w:highlight w:val="none"/>
                <w:shd w:val="clear"/>
                <w:lang w:val="en-US" w:eastAsia="zh-CN" w:bidi="ar-SA"/>
              </w:rPr>
              <w:t>状</w:t>
            </w:r>
            <w:r>
              <w:rPr>
                <w:rFonts w:hint="eastAsia" w:ascii="Times New Roman" w:hAnsi="Times New Roman" w:eastAsia="宋体" w:cs="宋体"/>
                <w:color w:val="auto"/>
                <w:kern w:val="0"/>
                <w:sz w:val="24"/>
                <w:szCs w:val="20"/>
                <w:highlight w:val="none"/>
                <w:shd w:val="clear"/>
                <w:lang w:val="zh-CN" w:eastAsia="zh-CN" w:bidi="ar-SA"/>
              </w:rPr>
              <w:t>示意图详见附图2</w:t>
            </w:r>
            <w:r>
              <w:rPr>
                <w:rFonts w:hint="eastAsia" w:ascii="Times New Roman" w:hAnsi="Times New Roman" w:cs="宋体"/>
                <w:color w:val="auto"/>
                <w:kern w:val="0"/>
                <w:sz w:val="24"/>
                <w:szCs w:val="20"/>
                <w:highlight w:val="none"/>
                <w:shd w:val="clear"/>
                <w:lang w:val="zh-CN" w:eastAsia="zh-CN" w:bidi="ar-SA"/>
              </w:rPr>
              <w:t>，</w:t>
            </w:r>
            <w:r>
              <w:rPr>
                <w:rFonts w:hint="eastAsia" w:ascii="Times New Roman" w:hAnsi="Times New Roman" w:eastAsia="宋体" w:cs="宋体"/>
                <w:color w:val="auto"/>
                <w:kern w:val="0"/>
                <w:sz w:val="24"/>
                <w:szCs w:val="20"/>
                <w:highlight w:val="none"/>
                <w:shd w:val="clear"/>
                <w:lang w:val="zh-CN" w:eastAsia="zh-CN" w:bidi="ar-SA"/>
              </w:rPr>
              <w:t>项目周边环境现状拍摄图详见附图3</w:t>
            </w:r>
            <w:r>
              <w:rPr>
                <w:rFonts w:hint="eastAsia" w:ascii="Times New Roman" w:hAnsi="Times New Roman" w:cs="宋体"/>
                <w:color w:val="auto"/>
                <w:kern w:val="0"/>
                <w:sz w:val="24"/>
                <w:szCs w:val="20"/>
                <w:highlight w:val="none"/>
                <w:shd w:val="clear"/>
                <w:lang w:val="zh-CN" w:eastAsia="zh-CN" w:bidi="ar-SA"/>
              </w:rPr>
              <w:t>；</w:t>
            </w:r>
            <w:r>
              <w:rPr>
                <w:rFonts w:hint="eastAsia" w:ascii="Times New Roman" w:hAnsi="Times New Roman" w:eastAsia="宋体" w:cs="宋体"/>
                <w:color w:val="auto"/>
                <w:kern w:val="0"/>
                <w:sz w:val="24"/>
                <w:szCs w:val="20"/>
                <w:highlight w:val="none"/>
                <w:lang w:val="zh-CN" w:eastAsia="zh-CN" w:bidi="ar-SA"/>
              </w:rPr>
              <w:t>建设单位在确实落实本评价提出的各项污染治理措施的前提下，可实现污染物达标排放</w:t>
            </w:r>
            <w:r>
              <w:rPr>
                <w:rFonts w:hint="eastAsia" w:ascii="Times New Roman" w:hAnsi="Times New Roman" w:cs="宋体"/>
                <w:color w:val="auto"/>
                <w:kern w:val="0"/>
                <w:sz w:val="24"/>
                <w:szCs w:val="20"/>
                <w:highlight w:val="none"/>
                <w:lang w:val="zh-CN" w:eastAsia="zh-CN" w:bidi="ar-SA"/>
              </w:rPr>
              <w:t>且</w:t>
            </w:r>
            <w:r>
              <w:rPr>
                <w:rFonts w:hint="eastAsia" w:ascii="Times New Roman" w:hAnsi="Times New Roman" w:eastAsia="宋体" w:cs="宋体"/>
                <w:color w:val="auto"/>
                <w:kern w:val="0"/>
                <w:sz w:val="24"/>
                <w:szCs w:val="20"/>
                <w:highlight w:val="none"/>
                <w:lang w:val="zh-CN" w:eastAsia="zh-CN" w:bidi="ar-SA"/>
              </w:rPr>
              <w:t>各污染物排放源强较低，运营期产生的“三废”及噪声对周边环境影响不明显，因此，项目建设与周边环境基本相容。</w:t>
            </w:r>
          </w:p>
          <w:p w14:paraId="0BCF5DBE">
            <w:pPr>
              <w:pStyle w:val="3"/>
              <w:bidi w:val="0"/>
              <w:rPr>
                <w:rFonts w:hint="eastAsia"/>
                <w:color w:val="auto"/>
              </w:rPr>
            </w:pPr>
            <w:r>
              <w:rPr>
                <w:rFonts w:hint="eastAsia"/>
                <w:color w:val="auto"/>
                <w:lang w:val="en-US" w:eastAsia="zh-CN"/>
              </w:rPr>
              <w:t>生态环境分区管控控制要求的符合性分析</w:t>
            </w:r>
          </w:p>
          <w:p w14:paraId="6CADC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rPr>
            </w:pPr>
            <w:r>
              <w:rPr>
                <w:rFonts w:hint="eastAsia" w:ascii="Times New Roman" w:hAnsi="Times New Roman" w:eastAsia="宋体" w:cs="宋体"/>
                <w:color w:val="auto"/>
                <w:kern w:val="0"/>
                <w:sz w:val="24"/>
                <w:szCs w:val="20"/>
                <w:highlight w:val="none"/>
                <w:lang w:val="zh-CN" w:eastAsia="zh-CN" w:bidi="ar-SA"/>
              </w:rPr>
              <w:t>根据《关于以改善环境质量为核心加强环境影响评价管理的通知》</w:t>
            </w:r>
            <w:r>
              <w:rPr>
                <w:rFonts w:hint="eastAsia" w:cs="宋体"/>
                <w:color w:val="auto"/>
                <w:kern w:val="0"/>
                <w:sz w:val="24"/>
                <w:szCs w:val="20"/>
                <w:highlight w:val="none"/>
                <w:lang w:val="zh-CN" w:eastAsia="zh-CN" w:bidi="ar-SA"/>
              </w:rPr>
              <w:t>（</w:t>
            </w:r>
            <w:r>
              <w:rPr>
                <w:rFonts w:hint="eastAsia" w:ascii="Times New Roman" w:hAnsi="Times New Roman" w:eastAsia="宋体" w:cs="宋体"/>
                <w:color w:val="auto"/>
                <w:kern w:val="0"/>
                <w:sz w:val="24"/>
                <w:szCs w:val="20"/>
                <w:highlight w:val="none"/>
                <w:lang w:val="zh-CN" w:eastAsia="zh-CN" w:bidi="ar-SA"/>
              </w:rPr>
              <w:t>环评〔2016〕150号</w:t>
            </w:r>
            <w:r>
              <w:rPr>
                <w:rFonts w:hint="eastAsia" w:cs="宋体"/>
                <w:color w:val="auto"/>
                <w:kern w:val="0"/>
                <w:sz w:val="24"/>
                <w:szCs w:val="20"/>
                <w:highlight w:val="none"/>
                <w:lang w:val="zh-CN" w:eastAsia="zh-CN" w:bidi="ar-SA"/>
              </w:rPr>
              <w:t>），</w:t>
            </w:r>
            <w:r>
              <w:rPr>
                <w:rFonts w:hint="eastAsia" w:ascii="Times New Roman" w:hAnsi="Times New Roman" w:eastAsia="宋体" w:cs="宋体"/>
                <w:color w:val="auto"/>
                <w:kern w:val="0"/>
                <w:sz w:val="24"/>
                <w:szCs w:val="20"/>
                <w:highlight w:val="none"/>
                <w:lang w:val="zh-CN" w:eastAsia="zh-CN" w:bidi="ar-SA"/>
              </w:rPr>
              <w:t>“三线一单”即：“生态保护红线、环境质量底线、资源利用上线和生态环境准入清单”</w:t>
            </w:r>
            <w:r>
              <w:rPr>
                <w:rFonts w:hint="eastAsia" w:cs="宋体"/>
                <w:color w:val="auto"/>
                <w:kern w:val="0"/>
                <w:sz w:val="24"/>
                <w:szCs w:val="20"/>
                <w:highlight w:val="none"/>
                <w:lang w:val="zh-CN" w:eastAsia="zh-CN" w:bidi="ar-SA"/>
              </w:rPr>
              <w:t>，</w:t>
            </w:r>
            <w:r>
              <w:rPr>
                <w:rFonts w:hint="eastAsia" w:ascii="Times New Roman" w:hAnsi="Times New Roman" w:eastAsia="宋体" w:cs="宋体"/>
                <w:color w:val="auto"/>
                <w:kern w:val="0"/>
                <w:sz w:val="24"/>
                <w:szCs w:val="20"/>
                <w:highlight w:val="none"/>
                <w:lang w:val="zh-CN" w:eastAsia="zh-CN" w:bidi="ar-SA"/>
              </w:rPr>
              <w:t>项目建设应强化“三线一单”约束作用。</w:t>
            </w:r>
          </w:p>
          <w:p w14:paraId="2336ABD2">
            <w:pPr>
              <w:pStyle w:val="4"/>
              <w:bidi w:val="0"/>
              <w:ind w:left="720" w:leftChars="0" w:hanging="720" w:firstLineChars="0"/>
              <w:rPr>
                <w:color w:val="auto"/>
                <w:highlight w:val="none"/>
              </w:rPr>
            </w:pPr>
            <w:r>
              <w:rPr>
                <w:color w:val="auto"/>
                <w:highlight w:val="none"/>
              </w:rPr>
              <w:t>生态保护红线</w:t>
            </w:r>
          </w:p>
          <w:p w14:paraId="53DA613E">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eastAsia="宋体" w:cs="宋体"/>
                <w:color w:val="auto"/>
              </w:rPr>
            </w:pPr>
            <w:r>
              <w:rPr>
                <w:rFonts w:hint="eastAsia" w:eastAsia="宋体" w:cs="宋体"/>
                <w:color w:val="auto"/>
              </w:rPr>
              <w:t>对照《福建省生态保护红线划定方案》及其调整方案、《福清市生态功能区划》</w:t>
            </w:r>
            <w:r>
              <w:rPr>
                <w:rFonts w:hint="eastAsia" w:cs="宋体"/>
                <w:color w:val="auto"/>
                <w:lang w:eastAsia="zh-CN"/>
              </w:rPr>
              <w:t>（</w:t>
            </w:r>
            <w:r>
              <w:rPr>
                <w:rFonts w:hint="eastAsia" w:eastAsia="宋体" w:cs="宋体"/>
                <w:color w:val="auto"/>
              </w:rPr>
              <w:t>2003年</w:t>
            </w:r>
            <w:r>
              <w:rPr>
                <w:rFonts w:hint="eastAsia" w:cs="宋体"/>
                <w:color w:val="auto"/>
                <w:lang w:eastAsia="zh-CN"/>
              </w:rPr>
              <w:t>），</w:t>
            </w:r>
            <w:r>
              <w:rPr>
                <w:rFonts w:hint="eastAsia" w:eastAsia="宋体" w:cs="宋体"/>
                <w:color w:val="auto"/>
              </w:rPr>
              <w:t>本项目位于福清市镜洋镇。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w:t>
            </w:r>
          </w:p>
          <w:p w14:paraId="4DD95BAA">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eastAsia="宋体" w:cs="宋体"/>
                <w:color w:val="auto"/>
              </w:rPr>
            </w:pPr>
            <w:r>
              <w:rPr>
                <w:rFonts w:hint="eastAsia" w:eastAsia="宋体" w:cs="宋体"/>
                <w:color w:val="auto"/>
              </w:rPr>
              <w:t>因此，项目建设符合生态红线控制的要求。</w:t>
            </w:r>
          </w:p>
          <w:p w14:paraId="05777769">
            <w:pPr>
              <w:pStyle w:val="4"/>
              <w:bidi w:val="0"/>
              <w:ind w:left="720" w:leftChars="0" w:hanging="720" w:firstLineChars="0"/>
              <w:rPr>
                <w:color w:val="auto"/>
                <w:highlight w:val="none"/>
              </w:rPr>
            </w:pPr>
            <w:r>
              <w:rPr>
                <w:color w:val="auto"/>
                <w:highlight w:val="none"/>
              </w:rPr>
              <w:t>环境质量底线</w:t>
            </w:r>
          </w:p>
          <w:p w14:paraId="3C233A0B">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s="宋体"/>
                <w:color w:val="auto"/>
                <w:highlight w:val="none"/>
                <w:lang w:val="en-US" w:eastAsia="zh-CN"/>
              </w:rPr>
            </w:pPr>
            <w:r>
              <w:rPr>
                <w:rFonts w:hint="eastAsia" w:eastAsia="宋体" w:cs="宋体"/>
                <w:color w:val="auto"/>
                <w:highlight w:val="none"/>
                <w:lang w:val="en-US" w:eastAsia="zh-CN"/>
              </w:rPr>
              <w:t>目前，</w:t>
            </w:r>
            <w:r>
              <w:rPr>
                <w:rFonts w:hint="eastAsia" w:eastAsia="宋体" w:cs="宋体"/>
                <w:color w:val="auto"/>
                <w:highlight w:val="none"/>
                <w:shd w:val="clear"/>
                <w:lang w:val="en-US" w:eastAsia="zh-CN"/>
              </w:rPr>
              <w:t>龙江水质符合GB3838-2002《地表水环境质量标准》中V类标准；项目所在区域的环境空气质量现状符合《环境空气质量标准》</w:t>
            </w:r>
            <w:r>
              <w:rPr>
                <w:rFonts w:hint="eastAsia" w:cs="宋体"/>
                <w:color w:val="auto"/>
                <w:highlight w:val="none"/>
                <w:shd w:val="clear"/>
                <w:lang w:val="en-US" w:eastAsia="zh-CN"/>
              </w:rPr>
              <w:t>（</w:t>
            </w:r>
            <w:r>
              <w:rPr>
                <w:rFonts w:hint="eastAsia" w:eastAsia="宋体" w:cs="宋体"/>
                <w:color w:val="auto"/>
                <w:highlight w:val="none"/>
                <w:shd w:val="clear"/>
                <w:lang w:val="en-US" w:eastAsia="zh-CN"/>
              </w:rPr>
              <w:t>GB3095-20</w:t>
            </w:r>
            <w:r>
              <w:rPr>
                <w:rFonts w:hint="eastAsia" w:cs="宋体"/>
                <w:color w:val="auto"/>
                <w:highlight w:val="none"/>
                <w:shd w:val="clear"/>
                <w:lang w:val="en-US" w:eastAsia="zh-CN"/>
              </w:rPr>
              <w:t>26）</w:t>
            </w:r>
            <w:r>
              <w:rPr>
                <w:rFonts w:hint="eastAsia" w:eastAsia="宋体" w:cs="宋体"/>
                <w:color w:val="auto"/>
                <w:highlight w:val="none"/>
                <w:shd w:val="clear"/>
                <w:lang w:val="en-US" w:eastAsia="zh-CN"/>
              </w:rPr>
              <w:t>中二级标准，</w:t>
            </w:r>
            <w:r>
              <w:rPr>
                <w:rFonts w:hint="eastAsia" w:eastAsia="宋体" w:cs="宋体"/>
                <w:color w:val="auto"/>
                <w:highlight w:val="none"/>
                <w:lang w:val="en-US" w:eastAsia="zh-CN"/>
              </w:rPr>
              <w:t>属于达标区；项目所在区域声环境质量现状</w:t>
            </w:r>
            <w:r>
              <w:rPr>
                <w:rFonts w:hint="eastAsia" w:eastAsia="宋体" w:cs="宋体"/>
                <w:color w:val="auto"/>
                <w:highlight w:val="none"/>
                <w:shd w:val="clear"/>
                <w:lang w:val="en-US" w:eastAsia="zh-CN"/>
              </w:rPr>
              <w:t>符合《声环境质量标准》</w:t>
            </w:r>
            <w:r>
              <w:rPr>
                <w:rFonts w:hint="eastAsia" w:cs="宋体"/>
                <w:color w:val="auto"/>
                <w:highlight w:val="none"/>
                <w:shd w:val="clear"/>
                <w:lang w:val="en-US" w:eastAsia="zh-CN"/>
              </w:rPr>
              <w:t>（</w:t>
            </w:r>
            <w:r>
              <w:rPr>
                <w:rFonts w:hint="eastAsia" w:eastAsia="宋体" w:cs="宋体"/>
                <w:color w:val="auto"/>
                <w:highlight w:val="none"/>
                <w:shd w:val="clear"/>
                <w:lang w:val="en-US" w:eastAsia="zh-CN"/>
              </w:rPr>
              <w:t>GB3096-2008</w:t>
            </w:r>
            <w:r>
              <w:rPr>
                <w:rFonts w:hint="eastAsia" w:cs="宋体"/>
                <w:color w:val="auto"/>
                <w:highlight w:val="none"/>
                <w:shd w:val="clear"/>
                <w:lang w:val="en-US" w:eastAsia="zh-CN"/>
              </w:rPr>
              <w:t>）</w:t>
            </w:r>
            <w:r>
              <w:rPr>
                <w:rFonts w:hint="eastAsia" w:eastAsia="宋体" w:cs="宋体"/>
                <w:color w:val="auto"/>
                <w:highlight w:val="none"/>
                <w:shd w:val="clear"/>
                <w:lang w:val="en-US" w:eastAsia="zh-CN"/>
              </w:rPr>
              <w:t>中</w:t>
            </w:r>
            <w:r>
              <w:rPr>
                <w:rFonts w:hint="eastAsia" w:cs="宋体"/>
                <w:color w:val="auto"/>
                <w:highlight w:val="none"/>
                <w:shd w:val="clear"/>
                <w:lang w:val="en-US" w:eastAsia="zh-CN"/>
              </w:rPr>
              <w:t>3</w:t>
            </w:r>
            <w:r>
              <w:rPr>
                <w:rFonts w:hint="eastAsia" w:eastAsia="宋体" w:cs="宋体"/>
                <w:color w:val="auto"/>
                <w:highlight w:val="none"/>
                <w:shd w:val="clear"/>
                <w:lang w:val="en-US" w:eastAsia="zh-CN"/>
              </w:rPr>
              <w:t>类标准。</w:t>
            </w:r>
            <w:r>
              <w:rPr>
                <w:rFonts w:hint="eastAsia" w:eastAsia="宋体" w:cs="宋体"/>
                <w:color w:val="auto"/>
                <w:highlight w:val="none"/>
                <w:lang w:val="en-US" w:eastAsia="zh-CN"/>
              </w:rPr>
              <w:t>因此，项目所在区域环境现状质量良好。</w:t>
            </w:r>
          </w:p>
          <w:p w14:paraId="50BADA36">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s="宋体"/>
                <w:color w:val="auto"/>
                <w:highlight w:val="none"/>
                <w:lang w:val="en-US" w:eastAsia="zh-CN"/>
              </w:rPr>
            </w:pPr>
            <w:r>
              <w:rPr>
                <w:rFonts w:hint="eastAsia" w:eastAsia="宋体" w:cs="宋体"/>
                <w:color w:val="auto"/>
                <w:highlight w:val="none"/>
                <w:lang w:val="en-US" w:eastAsia="zh-CN"/>
              </w:rPr>
              <w:t>本项目运营</w:t>
            </w:r>
            <w:r>
              <w:rPr>
                <w:rFonts w:hint="eastAsia" w:eastAsia="宋体" w:cs="宋体"/>
                <w:color w:val="auto"/>
                <w:highlight w:val="none"/>
                <w:shd w:val="clear"/>
                <w:lang w:val="en-US" w:eastAsia="zh-CN"/>
              </w:rPr>
              <w:t>期</w:t>
            </w:r>
            <w:r>
              <w:rPr>
                <w:rFonts w:hint="eastAsia" w:cs="宋体"/>
                <w:color w:val="auto"/>
                <w:highlight w:val="none"/>
                <w:shd w:val="clear"/>
                <w:lang w:val="en-US" w:eastAsia="zh-CN"/>
              </w:rPr>
              <w:t>生产废水经过废水处理设施处理达标后排入市政污水管网进入福清市第二污水处理厂；</w:t>
            </w:r>
            <w:r>
              <w:rPr>
                <w:rFonts w:hint="eastAsia" w:eastAsia="宋体" w:cs="宋体"/>
                <w:color w:val="auto"/>
                <w:highlight w:val="none"/>
                <w:shd w:val="clear"/>
                <w:lang w:val="en-US" w:eastAsia="zh-CN"/>
              </w:rPr>
              <w:t>生活污水经化粪池处理后排入市政污水管网进入福清市第二污水处理厂；</w:t>
            </w:r>
            <w:r>
              <w:rPr>
                <w:rFonts w:hint="eastAsia" w:eastAsia="宋体" w:cs="宋体"/>
                <w:color w:val="auto"/>
                <w:highlight w:val="none"/>
                <w:lang w:val="en-US" w:eastAsia="zh-CN"/>
              </w:rPr>
              <w:t>项目废气经处理达标后对周围大气环境影响较小；各生产设备产生的噪声经隔声、减振等降噪措施处理后也不会对周边声环境造成重大影响。综上分析，项目在采取本环评提出的防治措施后，运营期排放的污染物不会对区域环境质量底线造成冲击。</w:t>
            </w:r>
          </w:p>
          <w:p w14:paraId="27ED340C">
            <w:pPr>
              <w:pStyle w:val="4"/>
              <w:bidi w:val="0"/>
              <w:ind w:left="720" w:leftChars="0" w:hanging="720" w:firstLineChars="0"/>
              <w:rPr>
                <w:color w:val="auto"/>
                <w:highlight w:val="none"/>
              </w:rPr>
            </w:pPr>
            <w:r>
              <w:rPr>
                <w:color w:val="auto"/>
                <w:highlight w:val="none"/>
              </w:rPr>
              <w:t>资源利用上线</w:t>
            </w:r>
          </w:p>
          <w:p w14:paraId="3720BCC9">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项目用水、用电为区域集中供应，项目运行过程通过内部管理、设备选择、原辅材料的选用和管理、废物回收利用、污染治理等多方面采取合理可行的防治措施，以“节能、降耗、减污”为目标，有效</w:t>
            </w:r>
            <w:r>
              <w:rPr>
                <w:rFonts w:hint="eastAsia"/>
                <w:color w:val="auto"/>
                <w:highlight w:val="none"/>
                <w:lang w:eastAsia="zh-CN"/>
              </w:rPr>
              <w:t>地</w:t>
            </w:r>
            <w:r>
              <w:rPr>
                <w:rFonts w:hint="eastAsia"/>
                <w:color w:val="auto"/>
                <w:highlight w:val="none"/>
              </w:rPr>
              <w:t>控制污染。项目运营期水、原料等资源利用不会突破区域的资源利用上线。</w:t>
            </w:r>
          </w:p>
          <w:p w14:paraId="3C917518">
            <w:pPr>
              <w:pStyle w:val="4"/>
              <w:bidi w:val="0"/>
              <w:ind w:left="720" w:leftChars="0" w:hanging="720" w:firstLineChars="0"/>
              <w:rPr>
                <w:color w:val="auto"/>
                <w:highlight w:val="none"/>
              </w:rPr>
            </w:pPr>
            <w:r>
              <w:rPr>
                <w:rFonts w:hint="eastAsia"/>
                <w:color w:val="auto"/>
                <w:highlight w:val="none"/>
              </w:rPr>
              <w:t>与生态环境准入清单要求符合性分析</w:t>
            </w:r>
          </w:p>
          <w:p w14:paraId="6FF34A70">
            <w:pPr>
              <w:pStyle w:val="46"/>
              <w:ind w:firstLine="480"/>
              <w:rPr>
                <w:rFonts w:hint="default"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本项目不属于《产业结构调整指导目录</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2024</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》中限制或淘汰类；满足《市场准入负面清单草案</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试点版</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发改经体〔2016〕442号</w:t>
            </w:r>
            <w:r>
              <w:rPr>
                <w:rFonts w:hint="eastAsia" w:cs="宋体"/>
                <w:color w:val="auto"/>
                <w:kern w:val="0"/>
                <w:szCs w:val="21"/>
                <w:highlight w:val="none"/>
                <w:lang w:eastAsia="zh-CN"/>
              </w:rPr>
              <w:t>）；</w:t>
            </w:r>
            <w:r>
              <w:rPr>
                <w:rFonts w:hint="eastAsia" w:ascii="Times New Roman" w:hAnsi="Times New Roman" w:eastAsia="宋体" w:cs="宋体"/>
                <w:color w:val="auto"/>
                <w:kern w:val="0"/>
                <w:szCs w:val="21"/>
                <w:highlight w:val="none"/>
              </w:rPr>
              <w:t>项目无行业准入条件；不属于福建省人民政府关于加强重点流域水环境</w:t>
            </w:r>
            <w:r>
              <w:rPr>
                <w:rFonts w:hint="eastAsia" w:cs="宋体"/>
                <w:color w:val="auto"/>
                <w:kern w:val="0"/>
                <w:szCs w:val="21"/>
                <w:highlight w:val="none"/>
                <w:lang w:eastAsia="zh-CN"/>
              </w:rPr>
              <w:t>综合</w:t>
            </w:r>
            <w:r>
              <w:rPr>
                <w:rFonts w:hint="eastAsia" w:ascii="Times New Roman" w:hAnsi="Times New Roman" w:eastAsia="宋体" w:cs="宋体"/>
                <w:color w:val="auto"/>
                <w:kern w:val="0"/>
                <w:szCs w:val="21"/>
                <w:highlight w:val="none"/>
              </w:rPr>
              <w:t>整治的意见</w:t>
            </w:r>
            <w:r>
              <w:rPr>
                <w:rFonts w:hint="eastAsia" w:cs="宋体"/>
                <w:color w:val="auto"/>
                <w:kern w:val="0"/>
                <w:szCs w:val="21"/>
                <w:highlight w:val="none"/>
                <w:lang w:eastAsia="zh-CN"/>
              </w:rPr>
              <w:t>中</w:t>
            </w:r>
            <w:r>
              <w:rPr>
                <w:rFonts w:hint="eastAsia" w:ascii="Times New Roman" w:hAnsi="Times New Roman" w:eastAsia="宋体" w:cs="宋体"/>
                <w:color w:val="auto"/>
                <w:kern w:val="0"/>
                <w:szCs w:val="21"/>
                <w:highlight w:val="none"/>
              </w:rPr>
              <w:t>禁止的产业；满足《福建省工业建设项目投资强度控制指标》相关要求；</w:t>
            </w:r>
            <w:r>
              <w:rPr>
                <w:rFonts w:hint="default" w:ascii="Times New Roman" w:hAnsi="Times New Roman" w:eastAsia="宋体" w:cs="宋体"/>
                <w:color w:val="auto"/>
                <w:kern w:val="0"/>
                <w:szCs w:val="21"/>
                <w:highlight w:val="none"/>
              </w:rPr>
              <w:t>项目符合国家产业政策，符合《福建省人民政府关于实施“三线一单”生态环境分区管控的通知(闽政〔2020〕12号》全省生态环境总体准入要求及《福州市人民政府关于实施“三线一单”生态分区管控的通知》</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榕政综〔2021〕178号</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、《福州市生态环境准入清单</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2024版</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》的要求；不属于《市场准入负面清单》</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2025年版</w:t>
            </w:r>
            <w:r>
              <w:rPr>
                <w:rFonts w:hint="eastAsia" w:cs="宋体"/>
                <w:color w:val="auto"/>
                <w:kern w:val="0"/>
                <w:szCs w:val="21"/>
                <w:highlight w:val="none"/>
                <w:lang w:eastAsia="zh-CN"/>
              </w:rPr>
              <w:t>）</w:t>
            </w:r>
            <w:r>
              <w:rPr>
                <w:rFonts w:hint="default" w:ascii="Times New Roman" w:hAnsi="Times New Roman" w:eastAsia="宋体" w:cs="宋体"/>
                <w:color w:val="auto"/>
                <w:kern w:val="0"/>
                <w:szCs w:val="21"/>
                <w:highlight w:val="none"/>
              </w:rPr>
              <w:t>中禁止准入类的项目。</w:t>
            </w:r>
          </w:p>
          <w:p w14:paraId="432167CD">
            <w:pPr>
              <w:pStyle w:val="4"/>
              <w:bidi w:val="0"/>
              <w:ind w:left="720" w:leftChars="0" w:hanging="720" w:firstLineChars="0"/>
              <w:rPr>
                <w:rFonts w:hint="default" w:eastAsia="宋体"/>
                <w:color w:val="auto"/>
                <w:highlight w:val="none"/>
              </w:rPr>
            </w:pPr>
            <w:r>
              <w:rPr>
                <w:rFonts w:hint="default" w:eastAsia="宋体"/>
                <w:color w:val="auto"/>
                <w:highlight w:val="none"/>
              </w:rPr>
              <w:t>与</w:t>
            </w:r>
            <w:r>
              <w:rPr>
                <w:rFonts w:hint="eastAsia"/>
                <w:color w:val="auto"/>
                <w:highlight w:val="none"/>
                <w:lang w:val="en-US" w:eastAsia="zh-CN"/>
              </w:rPr>
              <w:t>福建省</w:t>
            </w:r>
            <w:r>
              <w:rPr>
                <w:rFonts w:hint="default" w:eastAsia="宋体"/>
                <w:color w:val="auto"/>
                <w:highlight w:val="none"/>
              </w:rPr>
              <w:t>生态环境分区管控的要求符合性分析</w:t>
            </w:r>
          </w:p>
          <w:p w14:paraId="72FB7E33">
            <w:pPr>
              <w:pStyle w:val="46"/>
              <w:ind w:firstLine="480"/>
              <w:rPr>
                <w:rFonts w:hint="eastAsia" w:ascii="Times New Roman" w:hAnsi="Times New Roman" w:eastAsia="宋体" w:cs="宋体"/>
                <w:color w:val="auto"/>
                <w:kern w:val="0"/>
                <w:szCs w:val="21"/>
                <w:highlight w:val="none"/>
                <w:lang w:val="en-US" w:eastAsia="zh-CN"/>
              </w:rPr>
            </w:pPr>
            <w:r>
              <w:rPr>
                <w:rFonts w:hint="eastAsia"/>
                <w:color w:val="auto"/>
                <w:kern w:val="0"/>
                <w:szCs w:val="21"/>
                <w:highlight w:val="none"/>
              </w:rPr>
              <w:t>根据《福州市人民政府办公厅关于印发福州市生态环境分区管控方案</w:t>
            </w:r>
            <w:r>
              <w:rPr>
                <w:rFonts w:hint="eastAsia"/>
                <w:color w:val="auto"/>
                <w:kern w:val="0"/>
                <w:szCs w:val="21"/>
                <w:highlight w:val="none"/>
                <w:lang w:eastAsia="zh-CN"/>
              </w:rPr>
              <w:t>（</w:t>
            </w:r>
            <w:r>
              <w:rPr>
                <w:rFonts w:hint="eastAsia"/>
                <w:color w:val="auto"/>
                <w:kern w:val="0"/>
                <w:szCs w:val="21"/>
                <w:highlight w:val="none"/>
              </w:rPr>
              <w:t>2023年更新</w:t>
            </w:r>
            <w:r>
              <w:rPr>
                <w:rFonts w:hint="eastAsia"/>
                <w:color w:val="auto"/>
                <w:kern w:val="0"/>
                <w:szCs w:val="21"/>
                <w:highlight w:val="none"/>
                <w:lang w:eastAsia="zh-CN"/>
              </w:rPr>
              <w:t>）的通知》（</w:t>
            </w:r>
            <w:r>
              <w:rPr>
                <w:rFonts w:hint="eastAsia"/>
                <w:color w:val="auto"/>
                <w:kern w:val="0"/>
                <w:szCs w:val="21"/>
                <w:highlight w:val="none"/>
              </w:rPr>
              <w:t>榕政办规</w:t>
            </w:r>
            <w:r>
              <w:rPr>
                <w:rFonts w:hint="eastAsia"/>
                <w:color w:val="auto"/>
                <w:kern w:val="0"/>
                <w:szCs w:val="21"/>
                <w:highlight w:val="none"/>
                <w:lang w:eastAsia="zh-CN"/>
              </w:rPr>
              <w:t>〔2024〕20号）</w:t>
            </w:r>
            <w:r>
              <w:rPr>
                <w:rFonts w:hint="eastAsia"/>
                <w:color w:val="auto"/>
                <w:kern w:val="0"/>
                <w:szCs w:val="21"/>
                <w:highlight w:val="none"/>
              </w:rPr>
              <w:t>及</w:t>
            </w:r>
            <w:r>
              <w:rPr>
                <w:rFonts w:hint="eastAsia"/>
                <w:color w:val="auto"/>
                <w:sz w:val="24"/>
                <w:szCs w:val="24"/>
                <w:lang w:val="en-US" w:eastAsia="zh-CN"/>
              </w:rPr>
              <w:t>福建省生态环境分区管控综合查询报告</w:t>
            </w:r>
            <w:r>
              <w:rPr>
                <w:rFonts w:hint="eastAsia"/>
                <w:color w:val="auto"/>
                <w:kern w:val="0"/>
                <w:szCs w:val="21"/>
                <w:highlight w:val="none"/>
                <w:shd w:val="clear"/>
              </w:rPr>
              <w:t>（附件</w:t>
            </w:r>
            <w:r>
              <w:rPr>
                <w:rFonts w:hint="eastAsia"/>
                <w:color w:val="auto"/>
                <w:kern w:val="0"/>
                <w:szCs w:val="21"/>
                <w:highlight w:val="none"/>
                <w:shd w:val="clear"/>
                <w:lang w:val="en-US" w:eastAsia="zh-CN"/>
              </w:rPr>
              <w:t>5</w:t>
            </w:r>
            <w:r>
              <w:rPr>
                <w:rFonts w:hint="eastAsia"/>
                <w:color w:val="auto"/>
                <w:kern w:val="0"/>
                <w:szCs w:val="21"/>
                <w:highlight w:val="none"/>
                <w:shd w:val="clear"/>
              </w:rPr>
              <w:t>）</w:t>
            </w:r>
            <w:r>
              <w:rPr>
                <w:rFonts w:hint="eastAsia"/>
                <w:color w:val="auto"/>
                <w:kern w:val="0"/>
                <w:szCs w:val="21"/>
                <w:highlight w:val="none"/>
              </w:rPr>
              <w:t>，本项目所在地管控单位类别为重点管控单元（环境管控单元编码：</w:t>
            </w:r>
            <w:r>
              <w:rPr>
                <w:rFonts w:hint="eastAsia"/>
                <w:color w:val="auto"/>
                <w:kern w:val="0"/>
                <w:szCs w:val="21"/>
                <w:highlight w:val="none"/>
                <w:lang w:val="en-US" w:eastAsia="zh-CN"/>
              </w:rPr>
              <w:t>ZH35018120008</w:t>
            </w:r>
            <w:r>
              <w:rPr>
                <w:rFonts w:hint="eastAsia"/>
                <w:color w:val="auto"/>
                <w:kern w:val="0"/>
                <w:szCs w:val="21"/>
                <w:highlight w:val="none"/>
              </w:rPr>
              <w:t>），空间布局约束管控要求。</w:t>
            </w:r>
            <w:r>
              <w:rPr>
                <w:rFonts w:hint="default" w:ascii="Times New Roman" w:hAnsi="Times New Roman" w:eastAsia="宋体" w:cs="宋体"/>
                <w:color w:val="auto"/>
                <w:kern w:val="0"/>
                <w:szCs w:val="21"/>
                <w:highlight w:val="none"/>
              </w:rPr>
              <w:t>项目位于</w:t>
            </w:r>
            <w:r>
              <w:rPr>
                <w:rFonts w:hint="eastAsia" w:cs="宋体"/>
                <w:color w:val="auto"/>
                <w:kern w:val="0"/>
                <w:sz w:val="24"/>
                <w:szCs w:val="20"/>
                <w:highlight w:val="none"/>
                <w:shd w:val="clear"/>
                <w:lang w:val="zh-CN" w:eastAsia="zh-CN" w:bidi="ar-SA"/>
              </w:rPr>
              <w:t>福建省福州市福清融侨经济技术开发区镜洋镇（租赁福州鼎力机械有限公司铸造车间1号）</w:t>
            </w:r>
            <w:r>
              <w:rPr>
                <w:rFonts w:hint="default" w:ascii="Times New Roman" w:hAnsi="Times New Roman" w:eastAsia="宋体" w:cs="宋体"/>
                <w:color w:val="auto"/>
                <w:kern w:val="0"/>
                <w:szCs w:val="21"/>
                <w:highlight w:val="none"/>
              </w:rPr>
              <w:t>，属于</w:t>
            </w:r>
            <w:r>
              <w:rPr>
                <w:rFonts w:hint="eastAsia" w:ascii="Times New Roman" w:hAnsi="Times New Roman" w:eastAsia="宋体" w:cs="宋体"/>
                <w:color w:val="auto"/>
                <w:kern w:val="0"/>
                <w:szCs w:val="21"/>
                <w:highlight w:val="none"/>
                <w:lang w:val="en-US" w:eastAsia="zh-CN"/>
              </w:rPr>
              <w:t>工业用地，</w:t>
            </w:r>
            <w:r>
              <w:rPr>
                <w:rFonts w:hint="eastAsia"/>
                <w:color w:val="auto"/>
                <w:kern w:val="0"/>
                <w:szCs w:val="21"/>
                <w:highlight w:val="none"/>
                <w:lang w:val="en-US" w:eastAsia="zh-CN"/>
              </w:rPr>
              <w:t>属三十三、汽车制造业36——71、汽车零部件及配件制造367，</w:t>
            </w:r>
            <w:r>
              <w:rPr>
                <w:rFonts w:hint="default" w:ascii="Times New Roman" w:hAnsi="Times New Roman" w:eastAsia="宋体" w:cs="宋体"/>
                <w:color w:val="auto"/>
                <w:kern w:val="0"/>
                <w:szCs w:val="21"/>
                <w:highlight w:val="none"/>
                <w:lang w:val="en-US" w:eastAsia="zh-CN"/>
              </w:rPr>
              <w:t>为</w:t>
            </w:r>
            <w:r>
              <w:rPr>
                <w:rFonts w:hint="eastAsia" w:cs="宋体"/>
                <w:color w:val="auto"/>
                <w:kern w:val="0"/>
                <w:szCs w:val="21"/>
                <w:highlight w:val="none"/>
                <w:lang w:val="en-US" w:eastAsia="zh-CN"/>
              </w:rPr>
              <w:t>规划推荐行业</w:t>
            </w:r>
            <w:r>
              <w:rPr>
                <w:rFonts w:hint="default" w:ascii="Times New Roman" w:hAnsi="Times New Roman" w:eastAsia="宋体" w:cs="宋体"/>
                <w:color w:val="auto"/>
                <w:kern w:val="0"/>
                <w:szCs w:val="21"/>
                <w:highlight w:val="none"/>
              </w:rPr>
              <w:t>。项目</w:t>
            </w:r>
            <w:r>
              <w:rPr>
                <w:rFonts w:hint="eastAsia" w:cs="宋体"/>
                <w:color w:val="auto"/>
                <w:highlight w:val="none"/>
                <w:shd w:val="clear"/>
                <w:lang w:val="en-US" w:eastAsia="zh-CN"/>
              </w:rPr>
              <w:t>生产废水经过废水处理设施处理达标后排入市政污水管网进入福清市第二污水处理厂；</w:t>
            </w:r>
            <w:r>
              <w:rPr>
                <w:rFonts w:hint="default" w:ascii="Times New Roman" w:hAnsi="Times New Roman" w:eastAsia="宋体" w:cs="宋体"/>
                <w:color w:val="auto"/>
                <w:kern w:val="0"/>
                <w:szCs w:val="21"/>
                <w:highlight w:val="none"/>
                <w:shd w:val="clear"/>
              </w:rPr>
              <w:t>生活污水</w:t>
            </w:r>
            <w:r>
              <w:rPr>
                <w:rFonts w:hint="eastAsia" w:ascii="Times New Roman" w:hAnsi="Times New Roman" w:eastAsia="宋体" w:cs="宋体"/>
                <w:color w:val="auto"/>
                <w:kern w:val="0"/>
                <w:szCs w:val="21"/>
                <w:highlight w:val="none"/>
                <w:shd w:val="clear"/>
                <w:lang w:val="en-US" w:eastAsia="zh-CN"/>
              </w:rPr>
              <w:t>经</w:t>
            </w:r>
            <w:r>
              <w:rPr>
                <w:rFonts w:hint="default" w:ascii="Times New Roman" w:hAnsi="Times New Roman" w:eastAsia="宋体" w:cs="宋体"/>
                <w:color w:val="auto"/>
                <w:kern w:val="0"/>
                <w:szCs w:val="21"/>
                <w:highlight w:val="none"/>
                <w:shd w:val="clear"/>
              </w:rPr>
              <w:t>化粪池处理后排入市政污水管网</w:t>
            </w:r>
            <w:r>
              <w:rPr>
                <w:rFonts w:hint="eastAsia" w:cs="宋体"/>
                <w:color w:val="auto"/>
                <w:highlight w:val="none"/>
                <w:shd w:val="clear"/>
                <w:lang w:val="en-US" w:eastAsia="zh-CN"/>
              </w:rPr>
              <w:t>进入福清市第二污水处理厂</w:t>
            </w:r>
            <w:r>
              <w:rPr>
                <w:rFonts w:hint="eastAsia" w:ascii="Times New Roman" w:hAnsi="Times New Roman" w:eastAsia="宋体" w:cs="宋体"/>
                <w:color w:val="auto"/>
                <w:kern w:val="0"/>
                <w:szCs w:val="21"/>
                <w:highlight w:val="none"/>
                <w:shd w:val="clear"/>
                <w:lang w:eastAsia="zh-CN"/>
              </w:rPr>
              <w:t>，</w:t>
            </w:r>
            <w:r>
              <w:rPr>
                <w:rFonts w:hint="default" w:ascii="Times New Roman" w:hAnsi="Times New Roman" w:eastAsia="宋体" w:cs="宋体"/>
                <w:color w:val="auto"/>
                <w:kern w:val="0"/>
                <w:szCs w:val="21"/>
                <w:highlight w:val="none"/>
              </w:rPr>
              <w:t>不属于以上约束管控的禁止项目，与生态环境准入条件不冲突。</w:t>
            </w:r>
          </w:p>
          <w:p w14:paraId="3568AA40">
            <w:pPr>
              <w:pStyle w:val="46"/>
              <w:ind w:firstLine="480"/>
              <w:rPr>
                <w:rFonts w:hint="eastAsia" w:eastAsia="宋体"/>
                <w:color w:val="auto"/>
                <w:kern w:val="0"/>
                <w:szCs w:val="21"/>
                <w:highlight w:val="none"/>
                <w:lang w:eastAsia="zh-CN"/>
              </w:rPr>
            </w:pPr>
            <w:r>
              <w:rPr>
                <w:rFonts w:hint="eastAsia"/>
                <w:color w:val="auto"/>
                <w:kern w:val="0"/>
                <w:szCs w:val="21"/>
                <w:highlight w:val="none"/>
                <w:lang w:eastAsia="zh-CN"/>
              </w:rPr>
              <w:t>（1）</w:t>
            </w:r>
            <w:r>
              <w:rPr>
                <w:rFonts w:hint="eastAsia"/>
                <w:color w:val="auto"/>
                <w:kern w:val="0"/>
                <w:szCs w:val="21"/>
                <w:highlight w:val="none"/>
              </w:rPr>
              <w:t>与</w:t>
            </w:r>
            <w:r>
              <w:rPr>
                <w:rFonts w:hint="eastAsia"/>
                <w:color w:val="auto"/>
                <w:kern w:val="0"/>
                <w:szCs w:val="21"/>
                <w:highlight w:val="none"/>
                <w:lang w:val="en-GB"/>
              </w:rPr>
              <w:t>《福建省人民政府关于实施“三线一单”生态环境分区管控的通知》</w:t>
            </w:r>
            <w:r>
              <w:rPr>
                <w:rFonts w:hint="eastAsia"/>
                <w:color w:val="auto"/>
                <w:kern w:val="0"/>
                <w:szCs w:val="21"/>
                <w:highlight w:val="none"/>
              </w:rPr>
              <w:t>符合性分析</w:t>
            </w:r>
          </w:p>
          <w:p w14:paraId="69E6BB78">
            <w:pPr>
              <w:pStyle w:val="46"/>
              <w:ind w:firstLine="480"/>
              <w:rPr>
                <w:rFonts w:hint="default" w:ascii="Times New Roman" w:hAnsi="Times New Roman" w:eastAsia="宋体" w:cs="宋体"/>
                <w:color w:val="auto"/>
                <w:kern w:val="0"/>
                <w:szCs w:val="21"/>
                <w:highlight w:val="none"/>
                <w:lang w:val="en-US" w:eastAsia="zh-CN"/>
              </w:rPr>
            </w:pPr>
            <w:r>
              <w:rPr>
                <w:rFonts w:hint="eastAsia"/>
                <w:color w:val="auto"/>
                <w:kern w:val="0"/>
                <w:szCs w:val="21"/>
                <w:highlight w:val="none"/>
                <w:lang w:val="en-US" w:eastAsia="zh-CN"/>
              </w:rPr>
              <w:t>项目与</w:t>
            </w:r>
            <w:r>
              <w:rPr>
                <w:rFonts w:hint="eastAsia"/>
                <w:color w:val="auto"/>
                <w:kern w:val="0"/>
                <w:szCs w:val="21"/>
                <w:highlight w:val="none"/>
              </w:rPr>
              <w:t>《福建省人民政府关于实施“三线一单”生态环境分区管控的通知》</w:t>
            </w:r>
            <w:r>
              <w:rPr>
                <w:rFonts w:hint="eastAsia"/>
                <w:color w:val="auto"/>
                <w:kern w:val="0"/>
                <w:szCs w:val="21"/>
                <w:highlight w:val="none"/>
                <w:lang w:eastAsia="zh-CN"/>
              </w:rPr>
              <w:t>（</w:t>
            </w:r>
            <w:r>
              <w:rPr>
                <w:rFonts w:hint="eastAsia"/>
                <w:color w:val="auto"/>
                <w:kern w:val="0"/>
                <w:szCs w:val="21"/>
                <w:highlight w:val="none"/>
              </w:rPr>
              <w:t>闽政</w:t>
            </w:r>
            <w:r>
              <w:rPr>
                <w:rFonts w:hint="eastAsia"/>
                <w:color w:val="auto"/>
                <w:kern w:val="0"/>
                <w:szCs w:val="21"/>
                <w:highlight w:val="none"/>
                <w:lang w:eastAsia="zh-CN"/>
              </w:rPr>
              <w:t>〔2020〕12号）</w:t>
            </w:r>
            <w:r>
              <w:rPr>
                <w:rFonts w:hint="eastAsia"/>
                <w:color w:val="auto"/>
                <w:kern w:val="0"/>
                <w:szCs w:val="21"/>
                <w:highlight w:val="none"/>
              </w:rPr>
              <w:t>相关要求</w:t>
            </w:r>
            <w:r>
              <w:rPr>
                <w:rFonts w:hint="eastAsia"/>
                <w:color w:val="auto"/>
                <w:kern w:val="0"/>
                <w:szCs w:val="21"/>
                <w:highlight w:val="none"/>
                <w:lang w:val="en-US" w:eastAsia="zh-CN"/>
              </w:rPr>
              <w:t>符合性分析</w:t>
            </w:r>
            <w:r>
              <w:rPr>
                <w:rFonts w:hint="eastAsia"/>
                <w:color w:val="auto"/>
                <w:kern w:val="0"/>
                <w:szCs w:val="21"/>
                <w:highlight w:val="none"/>
              </w:rPr>
              <w:t>见</w:t>
            </w:r>
            <w:r>
              <w:rPr>
                <w:rFonts w:hint="eastAsia"/>
                <w:color w:val="auto"/>
                <w:kern w:val="0"/>
                <w:szCs w:val="21"/>
                <w:highlight w:val="none"/>
                <w:lang w:val="en-US" w:eastAsia="zh-CN"/>
              </w:rPr>
              <w:t>下表。</w:t>
            </w:r>
          </w:p>
          <w:p w14:paraId="22161822">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eastAsia" w:ascii="Times New Roman" w:hAnsi="Times New Roman" w:eastAsia="宋体" w:cs="宋体"/>
                <w:color w:val="auto"/>
                <w:lang w:eastAsia="zh-CN"/>
              </w:rPr>
            </w:pPr>
            <w:r>
              <w:rPr>
                <w:rFonts w:hint="eastAsia" w:ascii="Times New Roman" w:hAnsi="Times New Roman" w:eastAsia="宋体" w:cs="宋体"/>
                <w:color w:val="auto"/>
                <w:lang w:eastAsia="zh-CN"/>
              </w:rPr>
              <w:t>与全省生态环境总体准入要求的符合性分析</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91"/>
              <w:gridCol w:w="324"/>
              <w:gridCol w:w="3636"/>
              <w:gridCol w:w="1727"/>
              <w:gridCol w:w="662"/>
            </w:tblGrid>
            <w:tr w14:paraId="7A5A9D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tcBorders>
                    <w:bottom w:val="single" w:color="000000" w:sz="12" w:space="0"/>
                  </w:tcBorders>
                  <w:noWrap w:val="0"/>
                  <w:vAlign w:val="center"/>
                </w:tcPr>
                <w:p w14:paraId="391C2EDC">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适用范围</w:t>
                  </w:r>
                </w:p>
              </w:tc>
              <w:tc>
                <w:tcPr>
                  <w:tcW w:w="3960" w:type="dxa"/>
                  <w:gridSpan w:val="2"/>
                  <w:tcBorders>
                    <w:bottom w:val="single" w:color="000000" w:sz="12" w:space="0"/>
                  </w:tcBorders>
                  <w:noWrap w:val="0"/>
                  <w:vAlign w:val="center"/>
                </w:tcPr>
                <w:p w14:paraId="2DCCA0E8">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准入要求</w:t>
                  </w:r>
                </w:p>
              </w:tc>
              <w:tc>
                <w:tcPr>
                  <w:tcW w:w="1727" w:type="dxa"/>
                  <w:tcBorders>
                    <w:bottom w:val="single" w:color="000000" w:sz="12" w:space="0"/>
                  </w:tcBorders>
                  <w:noWrap w:val="0"/>
                  <w:vAlign w:val="center"/>
                </w:tcPr>
                <w:p w14:paraId="25844AC2">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62" w:type="dxa"/>
                  <w:tcBorders>
                    <w:bottom w:val="single" w:color="000000" w:sz="12" w:space="0"/>
                  </w:tcBorders>
                  <w:noWrap w:val="0"/>
                  <w:vAlign w:val="center"/>
                </w:tcPr>
                <w:p w14:paraId="0AF32E45">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14:paraId="758CF5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restart"/>
                  <w:tcBorders>
                    <w:top w:val="single" w:color="000000" w:sz="12" w:space="0"/>
                  </w:tcBorders>
                  <w:noWrap w:val="0"/>
                  <w:vAlign w:val="center"/>
                </w:tcPr>
                <w:p w14:paraId="67E80B09">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全省陆域</w:t>
                  </w:r>
                </w:p>
              </w:tc>
              <w:tc>
                <w:tcPr>
                  <w:tcW w:w="324" w:type="dxa"/>
                  <w:tcBorders>
                    <w:top w:val="single" w:color="000000" w:sz="12" w:space="0"/>
                  </w:tcBorders>
                  <w:noWrap w:val="0"/>
                  <w:vAlign w:val="center"/>
                </w:tcPr>
                <w:p w14:paraId="78EACFE2">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3636" w:type="dxa"/>
                  <w:tcBorders>
                    <w:top w:val="single" w:color="000000" w:sz="12" w:space="0"/>
                  </w:tcBorders>
                  <w:noWrap w:val="0"/>
                  <w:vAlign w:val="center"/>
                </w:tcPr>
                <w:p w14:paraId="64C3EAC5">
                  <w:pPr>
                    <w:rPr>
                      <w:rFonts w:hint="eastAsia"/>
                      <w:vertAlign w:val="baseline"/>
                      <w:lang w:val="en-US" w:eastAsia="zh-CN"/>
                    </w:rPr>
                  </w:pPr>
                  <w:r>
                    <w:rPr>
                      <w:rFonts w:hint="eastAsia"/>
                      <w:vertAlign w:val="baseline"/>
                      <w:lang w:val="en-US" w:eastAsia="zh-CN"/>
                    </w:rPr>
                    <w:t>1.石化、汽车、船舶、冶金、水泥、制浆造纸、印染等重点产业，要符合全省规划布局要求。</w:t>
                  </w:r>
                </w:p>
                <w:p w14:paraId="56BFE6C2">
                  <w:pPr>
                    <w:rPr>
                      <w:rFonts w:hint="eastAsia"/>
                      <w:vertAlign w:val="baseline"/>
                      <w:lang w:val="en-US" w:eastAsia="zh-CN"/>
                    </w:rPr>
                  </w:pPr>
                  <w:r>
                    <w:rPr>
                      <w:rFonts w:hint="eastAsia"/>
                      <w:vertAlign w:val="baseline"/>
                      <w:lang w:val="en-US" w:eastAsia="zh-CN"/>
                    </w:rPr>
                    <w:t>2.严控钢铁、水泥、平板玻璃等产能过剩行业新增产能，新增产能应实施产能等量或减量置换。</w:t>
                  </w:r>
                </w:p>
                <w:p w14:paraId="243FB6B4">
                  <w:pPr>
                    <w:rPr>
                      <w:rFonts w:hint="eastAsia"/>
                      <w:vertAlign w:val="baseline"/>
                      <w:lang w:val="en-US" w:eastAsia="zh-CN"/>
                    </w:rPr>
                  </w:pPr>
                  <w:r>
                    <w:rPr>
                      <w:rFonts w:hint="eastAsia"/>
                      <w:vertAlign w:val="baseline"/>
                      <w:lang w:val="en-US" w:eastAsia="zh-CN"/>
                    </w:rPr>
                    <w:t>3.除列入国家规划的大型煤电和符合相关要求的等容量替代项目，以及以供热为主的热电联产项目外，原则上不再建设新的煤电项目。</w:t>
                  </w:r>
                </w:p>
                <w:p w14:paraId="0B50ABF9">
                  <w:pPr>
                    <w:rPr>
                      <w:rFonts w:hint="eastAsia"/>
                      <w:vertAlign w:val="baseline"/>
                      <w:lang w:val="en-US" w:eastAsia="zh-CN"/>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p w14:paraId="5C2F1FE2">
                  <w:pPr>
                    <w:rPr>
                      <w:rFonts w:hint="eastAsia"/>
                      <w:vertAlign w:val="baseline"/>
                      <w:lang w:val="en-US" w:eastAsia="zh-CN"/>
                    </w:rPr>
                  </w:pPr>
                  <w:r>
                    <w:rPr>
                      <w:rFonts w:hint="eastAsia"/>
                      <w:vertAlign w:val="baseline"/>
                      <w:lang w:val="en-US" w:eastAsia="zh-CN"/>
                    </w:rPr>
                    <w:t>5.禁止在水环境质量不能稳定达标的区域内，建设新增相应不达标污染物指标排放量的工业项目。</w:t>
                  </w:r>
                </w:p>
                <w:p w14:paraId="4D056ADE">
                  <w:pPr>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p w14:paraId="6AEA953D">
                  <w:pPr>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p w14:paraId="1F851CFD">
                  <w:pPr>
                    <w:pStyle w:val="95"/>
                    <w:tabs>
                      <w:tab w:val="left" w:pos="0"/>
                      <w:tab w:val="clear" w:pos="3825"/>
                      <w:tab w:val="clear" w:pos="4680"/>
                    </w:tabs>
                    <w:spacing w:line="340" w:lineRule="exact"/>
                    <w:ind w:left="0" w:leftChars="0" w:firstLine="0" w:firstLineChars="0"/>
                    <w:jc w:val="both"/>
                    <w:rPr>
                      <w:rFonts w:hint="default" w:ascii="Times New Roman" w:hAnsi="Times New Roman" w:eastAsia="宋体" w:cs="Times New Roman"/>
                      <w:color w:val="auto"/>
                      <w:sz w:val="21"/>
                      <w:szCs w:val="21"/>
                    </w:rPr>
                  </w:pPr>
                </w:p>
              </w:tc>
              <w:tc>
                <w:tcPr>
                  <w:tcW w:w="1727" w:type="dxa"/>
                  <w:tcBorders>
                    <w:top w:val="single" w:color="000000" w:sz="12" w:space="0"/>
                  </w:tcBorders>
                  <w:noWrap w:val="0"/>
                  <w:vAlign w:val="center"/>
                </w:tcPr>
                <w:p w14:paraId="4BE554A8">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石化、汽车、船舶、冶金、水泥、制浆造纸、印染</w:t>
                  </w:r>
                  <w:r>
                    <w:rPr>
                      <w:rFonts w:hint="eastAsia" w:ascii="Times New Roman" w:hAnsi="Times New Roman" w:eastAsia="宋体" w:cs="Times New Roman"/>
                      <w:color w:val="auto"/>
                      <w:sz w:val="21"/>
                      <w:szCs w:val="21"/>
                      <w:lang w:val="en-US" w:eastAsia="zh-CN"/>
                    </w:rPr>
                    <w:t>等产业。</w:t>
                  </w:r>
                </w:p>
                <w:p w14:paraId="70D76464">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钢铁、水泥、平板玻璃</w:t>
                  </w:r>
                  <w:r>
                    <w:rPr>
                      <w:rFonts w:hint="eastAsia" w:ascii="Times New Roman" w:hAnsi="Times New Roman" w:eastAsia="宋体" w:cs="Times New Roman"/>
                      <w:color w:val="auto"/>
                      <w:sz w:val="21"/>
                      <w:szCs w:val="21"/>
                      <w:lang w:val="en-US" w:eastAsia="zh-CN"/>
                    </w:rPr>
                    <w:t>等行业</w:t>
                  </w:r>
                  <w:r>
                    <w:rPr>
                      <w:rFonts w:hint="eastAsia" w:ascii="Times New Roman" w:hAnsi="Times New Roman" w:eastAsia="宋体" w:cs="Times New Roman"/>
                      <w:color w:val="auto"/>
                      <w:sz w:val="21"/>
                      <w:szCs w:val="21"/>
                      <w:lang w:eastAsia="zh-CN"/>
                    </w:rPr>
                    <w:t>。</w:t>
                  </w:r>
                </w:p>
                <w:p w14:paraId="285D389E">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热电联产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煤电项目</w:t>
                  </w:r>
                  <w:r>
                    <w:rPr>
                      <w:rFonts w:hint="eastAsia" w:ascii="Times New Roman" w:hAnsi="Times New Roman" w:eastAsia="宋体" w:cs="Times New Roman"/>
                      <w:color w:val="auto"/>
                      <w:sz w:val="21"/>
                      <w:szCs w:val="21"/>
                      <w:lang w:eastAsia="zh-CN"/>
                    </w:rPr>
                    <w:t>。</w:t>
                  </w:r>
                </w:p>
                <w:p w14:paraId="7FA035B2">
                  <w:pPr>
                    <w:pBdr>
                      <w:top w:val="none" w:color="auto" w:sz="0" w:space="1"/>
                      <w:left w:val="none" w:color="auto" w:sz="0" w:space="4"/>
                      <w:bottom w:val="none" w:color="auto" w:sz="0" w:space="1"/>
                      <w:right w:val="none" w:color="auto" w:sz="0" w:space="4"/>
                    </w:pBdr>
                    <w:spacing w:line="340" w:lineRule="exact"/>
                    <w:jc w:val="left"/>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项目不属于</w:t>
                  </w:r>
                  <w:r>
                    <w:rPr>
                      <w:rFonts w:hint="default" w:ascii="Times New Roman" w:hAnsi="Times New Roman" w:eastAsia="宋体" w:cs="Times New Roman"/>
                      <w:color w:val="auto"/>
                      <w:sz w:val="21"/>
                      <w:szCs w:val="21"/>
                    </w:rPr>
                    <w:t>氟化工产业</w:t>
                  </w:r>
                  <w:r>
                    <w:rPr>
                      <w:rFonts w:hint="eastAsia" w:ascii="Times New Roman" w:hAnsi="Times New Roman" w:eastAsia="宋体" w:cs="Times New Roman"/>
                      <w:color w:val="auto"/>
                      <w:sz w:val="21"/>
                      <w:szCs w:val="21"/>
                      <w:lang w:eastAsia="zh-CN"/>
                    </w:rPr>
                    <w:t>。</w:t>
                  </w:r>
                </w:p>
                <w:p w14:paraId="438A7D23">
                  <w:pPr>
                    <w:pBdr>
                      <w:top w:val="none" w:color="auto" w:sz="0" w:space="1"/>
                      <w:left w:val="none" w:color="auto" w:sz="0" w:space="4"/>
                      <w:bottom w:val="none" w:color="auto" w:sz="0" w:space="1"/>
                      <w:right w:val="none" w:color="auto" w:sz="0" w:space="4"/>
                    </w:pBdr>
                    <w:spacing w:line="340" w:lineRule="exact"/>
                    <w:jc w:val="left"/>
                    <w:rPr>
                      <w:rFonts w:hint="eastAsia" w:cs="Times New Roman"/>
                      <w:color w:val="auto"/>
                      <w:sz w:val="21"/>
                      <w:szCs w:val="21"/>
                      <w:lang w:val="en-US" w:eastAsia="zh-CN"/>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项目所在区域水环境质量能稳定达标排放，</w:t>
                  </w:r>
                  <w:r>
                    <w:rPr>
                      <w:rFonts w:hint="eastAsia" w:ascii="Times New Roman" w:hAnsi="Times New Roman" w:eastAsia="宋体" w:cs="Times New Roman"/>
                      <w:color w:val="auto"/>
                      <w:sz w:val="21"/>
                      <w:szCs w:val="21"/>
                      <w:lang w:val="en-US" w:eastAsia="zh-CN"/>
                    </w:rPr>
                    <w:t>项目生产废水</w:t>
                  </w:r>
                  <w:r>
                    <w:rPr>
                      <w:rFonts w:hint="eastAsia" w:cs="Times New Roman"/>
                      <w:color w:val="auto"/>
                      <w:sz w:val="21"/>
                      <w:szCs w:val="21"/>
                      <w:lang w:val="en-US" w:eastAsia="zh-CN"/>
                    </w:rPr>
                    <w:t>经过废水处理设施处理达标排放至市政污水管网送往福清市第二污水处理厂处理；</w:t>
                  </w:r>
                  <w:r>
                    <w:rPr>
                      <w:rFonts w:hint="eastAsia" w:ascii="Times New Roman" w:hAnsi="Times New Roman" w:eastAsia="宋体" w:cs="Times New Roman"/>
                      <w:color w:val="auto"/>
                      <w:sz w:val="21"/>
                      <w:szCs w:val="21"/>
                      <w:lang w:val="en-US" w:eastAsia="zh-CN"/>
                    </w:rPr>
                    <w:t>生活污水经化粪池处理达标后排入市政污水管网</w:t>
                  </w:r>
                  <w:r>
                    <w:rPr>
                      <w:rFonts w:hint="eastAsia" w:cs="Times New Roman"/>
                      <w:color w:val="auto"/>
                      <w:sz w:val="21"/>
                      <w:szCs w:val="21"/>
                      <w:lang w:val="en-US" w:eastAsia="zh-CN"/>
                    </w:rPr>
                    <w:t>送往福清市第二污水处理厂处理。</w:t>
                  </w:r>
                </w:p>
                <w:p w14:paraId="35D21B73">
                  <w:pPr>
                    <w:pBdr>
                      <w:top w:val="none" w:color="auto" w:sz="0" w:space="1"/>
                      <w:left w:val="none" w:color="auto" w:sz="0" w:space="4"/>
                      <w:bottom w:val="none" w:color="auto" w:sz="0" w:space="1"/>
                      <w:right w:val="none" w:color="auto" w:sz="0" w:space="4"/>
                    </w:pBdr>
                    <w:spacing w:line="340" w:lineRule="exact"/>
                    <w:jc w:val="left"/>
                    <w:rPr>
                      <w:rFonts w:hint="eastAsia" w:cs="Times New Roman"/>
                      <w:color w:val="auto"/>
                      <w:sz w:val="21"/>
                      <w:szCs w:val="21"/>
                      <w:lang w:val="en-US" w:eastAsia="zh-CN"/>
                    </w:rPr>
                  </w:pPr>
                  <w:r>
                    <w:rPr>
                      <w:rFonts w:hint="eastAsia" w:cs="Times New Roman"/>
                      <w:color w:val="auto"/>
                      <w:sz w:val="21"/>
                      <w:szCs w:val="21"/>
                      <w:lang w:val="en-US" w:eastAsia="zh-CN"/>
                    </w:rPr>
                    <w:t>6.项目不属于大气重污染企业。</w:t>
                  </w:r>
                </w:p>
                <w:p w14:paraId="193E437D">
                  <w:pPr>
                    <w:pBdr>
                      <w:top w:val="none" w:color="auto" w:sz="0" w:space="1"/>
                      <w:left w:val="none" w:color="auto" w:sz="0" w:space="4"/>
                      <w:bottom w:val="none" w:color="auto" w:sz="0" w:space="1"/>
                      <w:right w:val="none" w:color="auto" w:sz="0" w:space="4"/>
                    </w:pBdr>
                    <w:spacing w:line="340" w:lineRule="exact"/>
                    <w:jc w:val="left"/>
                    <w:rPr>
                      <w:rFonts w:hint="default" w:cs="Times New Roman"/>
                      <w:color w:val="auto"/>
                      <w:sz w:val="21"/>
                      <w:szCs w:val="21"/>
                      <w:lang w:val="en-US" w:eastAsia="zh-CN"/>
                    </w:rPr>
                  </w:pPr>
                  <w:r>
                    <w:rPr>
                      <w:rFonts w:hint="eastAsia" w:cs="Times New Roman"/>
                      <w:color w:val="auto"/>
                      <w:sz w:val="21"/>
                      <w:szCs w:val="21"/>
                      <w:lang w:val="en-US" w:eastAsia="zh-CN"/>
                    </w:rPr>
                    <w:t>7.项目不涉及重点重金属污染物排放。</w:t>
                  </w:r>
                </w:p>
              </w:tc>
              <w:tc>
                <w:tcPr>
                  <w:tcW w:w="662" w:type="dxa"/>
                  <w:tcBorders>
                    <w:top w:val="single" w:color="000000" w:sz="12" w:space="0"/>
                  </w:tcBorders>
                  <w:noWrap w:val="0"/>
                  <w:vAlign w:val="center"/>
                </w:tcPr>
                <w:p w14:paraId="2FF7B9F3">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24639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continue"/>
                  <w:noWrap w:val="0"/>
                  <w:vAlign w:val="center"/>
                </w:tcPr>
                <w:p w14:paraId="51B3C2E1">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p>
              </w:tc>
              <w:tc>
                <w:tcPr>
                  <w:tcW w:w="324" w:type="dxa"/>
                  <w:noWrap w:val="0"/>
                  <w:vAlign w:val="center"/>
                </w:tcPr>
                <w:p w14:paraId="00FA2596">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3636" w:type="dxa"/>
                  <w:noWrap w:val="0"/>
                  <w:vAlign w:val="center"/>
                </w:tcPr>
                <w:p w14:paraId="7552ACC9">
                  <w:pPr>
                    <w:pBdr>
                      <w:top w:val="none" w:color="auto" w:sz="0" w:space="1"/>
                      <w:left w:val="none" w:color="auto" w:sz="0" w:space="4"/>
                      <w:bottom w:val="none" w:color="auto" w:sz="0" w:space="1"/>
                      <w:right w:val="none" w:color="auto" w:sz="0" w:space="4"/>
                    </w:pBdr>
                    <w:spacing w:line="340" w:lineRule="exact"/>
                    <w:jc w:val="left"/>
                    <w:rPr>
                      <w:rFonts w:hint="eastAsia"/>
                      <w:vertAlign w:val="baseline"/>
                      <w:lang w:val="en-US" w:eastAsia="zh-CN"/>
                    </w:rPr>
                  </w:pPr>
                  <w:r>
                    <w:rPr>
                      <w:rFonts w:hint="eastAsia"/>
                      <w:vertAlign w:val="baseline"/>
                      <w:lang w:val="en-US" w:eastAsia="zh-CN"/>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p w14:paraId="4A94BE28">
                  <w:pPr>
                    <w:pBdr>
                      <w:top w:val="none" w:color="auto" w:sz="0" w:space="1"/>
                      <w:left w:val="none" w:color="auto" w:sz="0" w:space="4"/>
                      <w:bottom w:val="none" w:color="auto" w:sz="0" w:space="1"/>
                      <w:right w:val="none" w:color="auto" w:sz="0" w:space="4"/>
                    </w:pBdr>
                    <w:spacing w:line="340" w:lineRule="exact"/>
                    <w:jc w:val="left"/>
                    <w:rPr>
                      <w:rFonts w:hint="eastAsia"/>
                      <w:vertAlign w:val="baseline"/>
                      <w:lang w:val="en-US" w:eastAsia="zh-CN"/>
                    </w:rPr>
                  </w:pPr>
                  <w:r>
                    <w:rPr>
                      <w:rFonts w:hint="eastAsia"/>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p w14:paraId="0EEA9750">
                  <w:pPr>
                    <w:pBdr>
                      <w:top w:val="none" w:color="auto" w:sz="0" w:space="1"/>
                      <w:left w:val="none" w:color="auto" w:sz="0" w:space="4"/>
                      <w:bottom w:val="none" w:color="auto" w:sz="0" w:space="1"/>
                      <w:right w:val="none" w:color="auto" w:sz="0" w:space="4"/>
                    </w:pBdr>
                    <w:spacing w:line="340" w:lineRule="exact"/>
                    <w:jc w:val="left"/>
                    <w:rPr>
                      <w:rFonts w:hint="eastAsia"/>
                      <w:vertAlign w:val="baseline"/>
                      <w:lang w:val="en-US" w:eastAsia="zh-CN"/>
                    </w:rPr>
                  </w:pPr>
                  <w:r>
                    <w:rPr>
                      <w:rFonts w:hint="eastAsia"/>
                      <w:vertAlign w:val="baseline"/>
                      <w:lang w:val="en-US"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p w14:paraId="6798937B">
                  <w:pPr>
                    <w:pBdr>
                      <w:top w:val="none" w:color="auto" w:sz="0" w:space="1"/>
                      <w:left w:val="none" w:color="auto" w:sz="0" w:space="4"/>
                      <w:bottom w:val="none" w:color="auto" w:sz="0" w:space="1"/>
                      <w:right w:val="none" w:color="auto" w:sz="0" w:space="4"/>
                    </w:pBdr>
                    <w:spacing w:line="340" w:lineRule="exact"/>
                    <w:jc w:val="left"/>
                    <w:rPr>
                      <w:rFonts w:hint="eastAsia"/>
                      <w:vertAlign w:val="baseline"/>
                      <w:lang w:val="en-US" w:eastAsia="zh-CN"/>
                    </w:rPr>
                  </w:pPr>
                  <w:r>
                    <w:rPr>
                      <w:rFonts w:hint="eastAsia"/>
                      <w:vertAlign w:val="baseline"/>
                      <w:lang w:val="en-US" w:eastAsia="zh-CN"/>
                    </w:rPr>
                    <w:t>4.优化调整货物运输方式，提升铁路货运比例，推进钢铁、电力、电解铝、焦化等重点工业企业和工业园区货物由公路运输转向铁路运输。</w:t>
                  </w:r>
                </w:p>
                <w:p w14:paraId="3E55650E">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eastAsia"/>
                      <w:vertAlign w:val="baseline"/>
                      <w:lang w:val="en-US" w:eastAsia="zh-CN"/>
                    </w:rPr>
                    <w:t>5.加强石化、涂料、纺织印染、橡胶、医药等行业新污染物环境风险管控。</w:t>
                  </w:r>
                </w:p>
              </w:tc>
              <w:tc>
                <w:tcPr>
                  <w:tcW w:w="1727" w:type="dxa"/>
                  <w:noWrap w:val="0"/>
                  <w:vAlign w:val="center"/>
                </w:tcPr>
                <w:p w14:paraId="21E77380">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shd w:val="clear" w:fill="FFFF00"/>
                    </w:rPr>
                  </w:pPr>
                  <w:r>
                    <w:rPr>
                      <w:rFonts w:hint="eastAsia" w:cs="Times New Roman"/>
                      <w:color w:val="auto"/>
                      <w:sz w:val="21"/>
                      <w:szCs w:val="21"/>
                      <w:lang w:eastAsia="zh-CN"/>
                    </w:rPr>
                    <w:t>1.</w:t>
                  </w:r>
                  <w:r>
                    <w:rPr>
                      <w:rFonts w:hint="default" w:ascii="Times New Roman" w:hAnsi="Times New Roman" w:eastAsia="宋体" w:cs="Times New Roman"/>
                      <w:color w:val="auto"/>
                      <w:sz w:val="21"/>
                      <w:szCs w:val="21"/>
                      <w:lang w:val="en-US" w:eastAsia="zh-CN"/>
                    </w:rPr>
                    <w:t>项目位于</w:t>
                  </w:r>
                  <w:r>
                    <w:rPr>
                      <w:rFonts w:hint="eastAsia" w:cs="Times New Roman"/>
                      <w:color w:val="auto"/>
                      <w:sz w:val="21"/>
                      <w:szCs w:val="21"/>
                      <w:lang w:val="en-US" w:eastAsia="zh-CN"/>
                    </w:rPr>
                    <w:t>福建省福州市福清融侨经济技术开发区镜洋镇（租赁福州鼎力机械有限公司铸造车间1号）</w:t>
                  </w:r>
                  <w:r>
                    <w:rPr>
                      <w:rFonts w:hint="default" w:ascii="Times New Roman" w:hAnsi="Times New Roman" w:eastAsia="宋体" w:cs="Times New Roman"/>
                      <w:color w:val="auto"/>
                      <w:sz w:val="21"/>
                      <w:szCs w:val="21"/>
                      <w:shd w:val="clear"/>
                      <w:lang w:val="en-US" w:eastAsia="zh-CN"/>
                    </w:rPr>
                    <w:t>，属于其规定的污染物管控区域。项目涉VOCs排放，建设单位将严格按照文件规定要求对VOCs总量进行调剂。</w:t>
                  </w:r>
                </w:p>
                <w:p w14:paraId="1D9114FD">
                  <w:pPr>
                    <w:pBdr>
                      <w:top w:val="none" w:color="auto" w:sz="0" w:space="1"/>
                      <w:left w:val="none" w:color="auto" w:sz="0" w:space="4"/>
                      <w:bottom w:val="none" w:color="auto" w:sz="0" w:space="1"/>
                      <w:right w:val="none" w:color="auto" w:sz="0" w:space="4"/>
                    </w:pBdr>
                    <w:spacing w:line="340" w:lineRule="exact"/>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2.</w:t>
                  </w:r>
                  <w:r>
                    <w:rPr>
                      <w:rFonts w:hint="default" w:ascii="Times New Roman" w:hAnsi="Times New Roman" w:eastAsia="宋体" w:cs="Times New Roman"/>
                      <w:color w:val="auto"/>
                      <w:sz w:val="21"/>
                      <w:szCs w:val="21"/>
                    </w:rPr>
                    <w:t>项目不属于水泥、有色金属、钢铁、火电项目。</w:t>
                  </w:r>
                </w:p>
                <w:p w14:paraId="6285506A">
                  <w:pPr>
                    <w:pBdr>
                      <w:top w:val="none" w:color="auto" w:sz="0" w:space="1"/>
                      <w:left w:val="none" w:color="auto" w:sz="0" w:space="4"/>
                      <w:bottom w:val="none" w:color="auto" w:sz="0" w:space="1"/>
                      <w:right w:val="none" w:color="auto" w:sz="0" w:space="4"/>
                    </w:pBdr>
                    <w:spacing w:line="340" w:lineRule="exact"/>
                    <w:jc w:val="left"/>
                    <w:rPr>
                      <w:rFonts w:hint="eastAsia" w:cs="Times New Roman"/>
                      <w:color w:val="auto"/>
                      <w:sz w:val="21"/>
                      <w:szCs w:val="21"/>
                      <w:lang w:val="en-US" w:eastAsia="zh-CN"/>
                    </w:rPr>
                  </w:pPr>
                  <w:r>
                    <w:rPr>
                      <w:rFonts w:hint="eastAsia" w:cs="Times New Roman"/>
                      <w:color w:val="auto"/>
                      <w:sz w:val="21"/>
                      <w:szCs w:val="21"/>
                      <w:lang w:eastAsia="zh-CN"/>
                    </w:rPr>
                    <w:t>3.</w:t>
                  </w:r>
                  <w:r>
                    <w:rPr>
                      <w:rFonts w:hint="eastAsia" w:ascii="Times New Roman" w:hAnsi="Times New Roman" w:eastAsia="宋体" w:cs="Times New Roman"/>
                      <w:color w:val="auto"/>
                      <w:sz w:val="21"/>
                      <w:szCs w:val="21"/>
                      <w:lang w:val="en-US" w:eastAsia="zh-CN"/>
                    </w:rPr>
                    <w:t>项目无生产废水排放，生活污水经化粪池处理达标后排入市政污水管网</w:t>
                  </w:r>
                  <w:r>
                    <w:rPr>
                      <w:rFonts w:hint="eastAsia" w:cs="Times New Roman"/>
                      <w:color w:val="auto"/>
                      <w:sz w:val="21"/>
                      <w:szCs w:val="21"/>
                      <w:lang w:val="en-US" w:eastAsia="zh-CN"/>
                    </w:rPr>
                    <w:t>。</w:t>
                  </w:r>
                </w:p>
                <w:p w14:paraId="03E49360">
                  <w:pPr>
                    <w:pBdr>
                      <w:top w:val="none" w:color="auto" w:sz="0" w:space="1"/>
                      <w:left w:val="none" w:color="auto" w:sz="0" w:space="4"/>
                      <w:bottom w:val="none" w:color="auto" w:sz="0" w:space="1"/>
                      <w:right w:val="none" w:color="auto" w:sz="0" w:space="4"/>
                    </w:pBdr>
                    <w:spacing w:line="340" w:lineRule="exact"/>
                    <w:jc w:val="left"/>
                    <w:rPr>
                      <w:rFonts w:hint="eastAsia" w:cs="Times New Roman"/>
                      <w:color w:val="auto"/>
                      <w:sz w:val="21"/>
                      <w:szCs w:val="21"/>
                      <w:lang w:val="en-US" w:eastAsia="zh-CN"/>
                    </w:rPr>
                  </w:pPr>
                  <w:r>
                    <w:rPr>
                      <w:rFonts w:hint="eastAsia" w:cs="Times New Roman"/>
                      <w:color w:val="auto"/>
                      <w:sz w:val="21"/>
                      <w:szCs w:val="21"/>
                      <w:lang w:val="en-US" w:eastAsia="zh-CN"/>
                    </w:rPr>
                    <w:t>4.项目不属于钢铁、电力、电解铝、焦化项目。</w:t>
                  </w:r>
                </w:p>
                <w:p w14:paraId="643CDD6E">
                  <w:pPr>
                    <w:pBdr>
                      <w:top w:val="none" w:color="auto" w:sz="0" w:space="1"/>
                      <w:left w:val="none" w:color="auto" w:sz="0" w:space="4"/>
                      <w:bottom w:val="none" w:color="auto" w:sz="0" w:space="1"/>
                      <w:right w:val="none" w:color="auto" w:sz="0" w:space="4"/>
                    </w:pBdr>
                    <w:spacing w:line="340" w:lineRule="exact"/>
                    <w:jc w:val="left"/>
                    <w:rPr>
                      <w:rFonts w:hint="default" w:cs="Times New Roman"/>
                      <w:color w:val="auto"/>
                      <w:sz w:val="21"/>
                      <w:szCs w:val="21"/>
                      <w:lang w:val="en-US" w:eastAsia="zh-CN"/>
                    </w:rPr>
                  </w:pPr>
                  <w:r>
                    <w:rPr>
                      <w:rFonts w:hint="eastAsia" w:cs="Times New Roman"/>
                      <w:color w:val="auto"/>
                      <w:sz w:val="21"/>
                      <w:szCs w:val="21"/>
                      <w:lang w:val="en-US" w:eastAsia="zh-CN"/>
                    </w:rPr>
                    <w:t>5.项目不属于石化、涂料、纺织印染、橡胶、医药等行业。</w:t>
                  </w:r>
                </w:p>
              </w:tc>
              <w:tc>
                <w:tcPr>
                  <w:tcW w:w="662" w:type="dxa"/>
                  <w:noWrap w:val="0"/>
                  <w:vAlign w:val="center"/>
                </w:tcPr>
                <w:p w14:paraId="2185ABF7">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07876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continue"/>
                  <w:noWrap w:val="0"/>
                  <w:vAlign w:val="center"/>
                </w:tcPr>
                <w:p w14:paraId="6DDA45FA">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p>
              </w:tc>
              <w:tc>
                <w:tcPr>
                  <w:tcW w:w="324" w:type="dxa"/>
                  <w:noWrap w:val="0"/>
                  <w:vAlign w:val="center"/>
                </w:tcPr>
                <w:p w14:paraId="34A1AC90">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r>
                    <w:rPr>
                      <w:rFonts w:hint="eastAsia"/>
                      <w:b w:val="0"/>
                      <w:bCs w:val="0"/>
                      <w:vertAlign w:val="baseline"/>
                      <w:lang w:val="en-US" w:eastAsia="zh-CN"/>
                    </w:rPr>
                    <w:t>环境风险防控</w:t>
                  </w:r>
                </w:p>
              </w:tc>
              <w:tc>
                <w:tcPr>
                  <w:tcW w:w="3636" w:type="dxa"/>
                  <w:noWrap w:val="0"/>
                  <w:vAlign w:val="center"/>
                </w:tcPr>
                <w:p w14:paraId="4CA833A5">
                  <w:pPr>
                    <w:pBdr>
                      <w:top w:val="none" w:color="auto" w:sz="0" w:space="1"/>
                      <w:left w:val="none" w:color="auto" w:sz="0" w:space="4"/>
                      <w:bottom w:val="none" w:color="auto" w:sz="0" w:space="1"/>
                      <w:right w:val="none" w:color="auto" w:sz="0" w:space="4"/>
                    </w:pBdr>
                    <w:spacing w:line="340" w:lineRule="exact"/>
                    <w:jc w:val="center"/>
                    <w:rPr>
                      <w:rFonts w:hint="default"/>
                      <w:vertAlign w:val="baseline"/>
                      <w:lang w:val="en-US" w:eastAsia="zh-CN"/>
                    </w:rPr>
                  </w:pPr>
                  <w:r>
                    <w:rPr>
                      <w:rFonts w:hint="eastAsia"/>
                      <w:vertAlign w:val="baseline"/>
                      <w:lang w:val="en-US" w:eastAsia="zh-CN"/>
                    </w:rPr>
                    <w:t>无</w:t>
                  </w:r>
                </w:p>
              </w:tc>
              <w:tc>
                <w:tcPr>
                  <w:tcW w:w="1727" w:type="dxa"/>
                  <w:noWrap w:val="0"/>
                  <w:vAlign w:val="center"/>
                </w:tcPr>
                <w:p w14:paraId="3116524F">
                  <w:pPr>
                    <w:pBdr>
                      <w:top w:val="none" w:color="auto" w:sz="0" w:space="1"/>
                      <w:left w:val="none" w:color="auto" w:sz="0" w:space="4"/>
                      <w:bottom w:val="none" w:color="auto" w:sz="0" w:space="1"/>
                      <w:right w:val="none" w:color="auto" w:sz="0" w:space="4"/>
                    </w:pBdr>
                    <w:spacing w:line="3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662" w:type="dxa"/>
                  <w:noWrap w:val="0"/>
                  <w:vAlign w:val="center"/>
                </w:tcPr>
                <w:p w14:paraId="770BC28C">
                  <w:pPr>
                    <w:pBdr>
                      <w:top w:val="none" w:color="auto" w:sz="0" w:space="1"/>
                      <w:left w:val="none" w:color="auto" w:sz="0" w:space="4"/>
                      <w:bottom w:val="none" w:color="auto" w:sz="0" w:space="1"/>
                      <w:right w:val="none" w:color="auto" w:sz="0" w:space="4"/>
                    </w:pBdr>
                    <w:spacing w:line="3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4F2742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691" w:type="dxa"/>
                  <w:vMerge w:val="continue"/>
                  <w:noWrap w:val="0"/>
                  <w:vAlign w:val="center"/>
                </w:tcPr>
                <w:p w14:paraId="7A1F4ABD">
                  <w:pPr>
                    <w:pBdr>
                      <w:top w:val="none" w:color="auto" w:sz="0" w:space="1"/>
                      <w:left w:val="none" w:color="auto" w:sz="0" w:space="4"/>
                      <w:bottom w:val="none" w:color="auto" w:sz="0" w:space="1"/>
                      <w:right w:val="none" w:color="auto" w:sz="0" w:space="4"/>
                    </w:pBdr>
                    <w:spacing w:line="340" w:lineRule="exact"/>
                    <w:jc w:val="center"/>
                    <w:rPr>
                      <w:rFonts w:hint="default" w:ascii="Times New Roman" w:hAnsi="Times New Roman" w:cs="Times New Roman"/>
                      <w:color w:val="auto"/>
                      <w:sz w:val="21"/>
                      <w:szCs w:val="21"/>
                    </w:rPr>
                  </w:pPr>
                </w:p>
              </w:tc>
              <w:tc>
                <w:tcPr>
                  <w:tcW w:w="324" w:type="dxa"/>
                  <w:noWrap w:val="0"/>
                  <w:vAlign w:val="center"/>
                </w:tcPr>
                <w:p w14:paraId="108415F8">
                  <w:pPr>
                    <w:pBdr>
                      <w:top w:val="none" w:color="auto" w:sz="0" w:space="1"/>
                      <w:left w:val="none" w:color="auto" w:sz="0" w:space="4"/>
                      <w:bottom w:val="none" w:color="auto" w:sz="0" w:space="1"/>
                      <w:right w:val="none" w:color="auto" w:sz="0" w:space="4"/>
                    </w:pBdr>
                    <w:spacing w:line="340" w:lineRule="exact"/>
                    <w:jc w:val="center"/>
                    <w:rPr>
                      <w:rFonts w:hint="eastAsia"/>
                      <w:b w:val="0"/>
                      <w:bCs w:val="0"/>
                      <w:color w:val="auto"/>
                      <w:vertAlign w:val="baseline"/>
                      <w:lang w:val="en-US" w:eastAsia="zh-CN"/>
                    </w:rPr>
                  </w:pPr>
                  <w:r>
                    <w:rPr>
                      <w:rFonts w:hint="eastAsia"/>
                      <w:b w:val="0"/>
                      <w:bCs w:val="0"/>
                      <w:color w:val="auto"/>
                      <w:vertAlign w:val="baseline"/>
                      <w:lang w:val="en-US" w:eastAsia="zh-CN"/>
                    </w:rPr>
                    <w:t>资源开发效率要求</w:t>
                  </w:r>
                </w:p>
              </w:tc>
              <w:tc>
                <w:tcPr>
                  <w:tcW w:w="3636" w:type="dxa"/>
                  <w:noWrap w:val="0"/>
                  <w:vAlign w:val="center"/>
                </w:tcPr>
                <w:p w14:paraId="192C0133">
                  <w:pPr>
                    <w:pBdr>
                      <w:top w:val="none" w:color="auto" w:sz="0" w:space="1"/>
                      <w:left w:val="none" w:color="auto" w:sz="0" w:space="4"/>
                      <w:bottom w:val="none" w:color="auto" w:sz="0" w:space="1"/>
                      <w:right w:val="none" w:color="auto" w:sz="0" w:space="4"/>
                    </w:pBdr>
                    <w:spacing w:line="340" w:lineRule="exact"/>
                    <w:jc w:val="left"/>
                    <w:rPr>
                      <w:rFonts w:hint="eastAsia"/>
                      <w:color w:val="auto"/>
                      <w:vertAlign w:val="baseline"/>
                      <w:lang w:val="en-US" w:eastAsia="zh-CN"/>
                    </w:rPr>
                  </w:pPr>
                  <w:r>
                    <w:rPr>
                      <w:rFonts w:hint="eastAsia"/>
                      <w:color w:val="auto"/>
                      <w:vertAlign w:val="baseline"/>
                      <w:lang w:val="en-US" w:eastAsia="zh-CN"/>
                    </w:rPr>
                    <w:t>1.实施能源消耗总量和强度双控。</w:t>
                  </w:r>
                </w:p>
                <w:p w14:paraId="278F3874">
                  <w:pPr>
                    <w:pBdr>
                      <w:top w:val="none" w:color="auto" w:sz="0" w:space="1"/>
                      <w:left w:val="none" w:color="auto" w:sz="0" w:space="4"/>
                      <w:bottom w:val="none" w:color="auto" w:sz="0" w:space="1"/>
                      <w:right w:val="none" w:color="auto" w:sz="0" w:space="4"/>
                    </w:pBdr>
                    <w:spacing w:line="340" w:lineRule="exact"/>
                    <w:jc w:val="left"/>
                    <w:rPr>
                      <w:rFonts w:hint="eastAsia"/>
                      <w:color w:val="auto"/>
                      <w:vertAlign w:val="baseline"/>
                      <w:lang w:val="en-US" w:eastAsia="zh-CN"/>
                    </w:rPr>
                  </w:pPr>
                  <w:r>
                    <w:rPr>
                      <w:rFonts w:hint="eastAsia"/>
                      <w:color w:val="auto"/>
                      <w:vertAlign w:val="baseline"/>
                      <w:lang w:val="en-US" w:eastAsia="zh-CN"/>
                    </w:rPr>
                    <w:t>2.强化产业园区单位土地面积投资强度和效用指标的刚性约束，提高土地利用效率。</w:t>
                  </w:r>
                </w:p>
                <w:p w14:paraId="2B1D0C1C">
                  <w:pPr>
                    <w:pBdr>
                      <w:top w:val="none" w:color="auto" w:sz="0" w:space="1"/>
                      <w:left w:val="none" w:color="auto" w:sz="0" w:space="4"/>
                      <w:bottom w:val="none" w:color="auto" w:sz="0" w:space="1"/>
                      <w:right w:val="none" w:color="auto" w:sz="0" w:space="4"/>
                    </w:pBdr>
                    <w:spacing w:line="340" w:lineRule="exact"/>
                    <w:jc w:val="left"/>
                    <w:rPr>
                      <w:rFonts w:hint="eastAsia"/>
                      <w:color w:val="auto"/>
                      <w:vertAlign w:val="baseline"/>
                      <w:lang w:val="en-US" w:eastAsia="zh-CN"/>
                    </w:rPr>
                  </w:pPr>
                  <w:r>
                    <w:rPr>
                      <w:rFonts w:hint="eastAsia"/>
                      <w:color w:val="auto"/>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p w14:paraId="67F84C1C">
                  <w:pPr>
                    <w:pBdr>
                      <w:top w:val="none" w:color="auto" w:sz="0" w:space="1"/>
                      <w:left w:val="none" w:color="auto" w:sz="0" w:space="4"/>
                      <w:bottom w:val="none" w:color="auto" w:sz="0" w:space="1"/>
                      <w:right w:val="none" w:color="auto" w:sz="0" w:space="4"/>
                    </w:pBdr>
                    <w:spacing w:line="340" w:lineRule="exact"/>
                    <w:jc w:val="left"/>
                    <w:rPr>
                      <w:rFonts w:hint="eastAsia"/>
                      <w:color w:val="auto"/>
                      <w:vertAlign w:val="baseline"/>
                      <w:lang w:val="en-US" w:eastAsia="zh-CN"/>
                    </w:rPr>
                  </w:pPr>
                  <w:r>
                    <w:rPr>
                      <w:rFonts w:hint="eastAsia"/>
                      <w:color w:val="auto"/>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p w14:paraId="634EE5B5">
                  <w:pPr>
                    <w:pBdr>
                      <w:top w:val="none" w:color="auto" w:sz="0" w:space="1"/>
                      <w:left w:val="none" w:color="auto" w:sz="0" w:space="4"/>
                      <w:bottom w:val="none" w:color="auto" w:sz="0" w:space="1"/>
                      <w:right w:val="none" w:color="auto" w:sz="0" w:space="4"/>
                    </w:pBdr>
                    <w:spacing w:line="340" w:lineRule="exact"/>
                    <w:jc w:val="left"/>
                    <w:rPr>
                      <w:rFonts w:hint="eastAsia"/>
                      <w:color w:val="auto"/>
                      <w:vertAlign w:val="baseline"/>
                      <w:lang w:val="en-US" w:eastAsia="zh-CN"/>
                    </w:rPr>
                  </w:pPr>
                  <w:r>
                    <w:rPr>
                      <w:rFonts w:hint="eastAsia"/>
                      <w:color w:val="auto"/>
                      <w:vertAlign w:val="baseline"/>
                      <w:lang w:val="en-US" w:eastAsia="zh-CN"/>
                    </w:rPr>
                    <w:t>5.落实“闽环保大气〔2023〕5号”文件要求，按照“提气、转电、控煤”的发展思路，推动陶瓷行业进一步优化用能结构，实现能源消费清洁低碳化。</w:t>
                  </w:r>
                </w:p>
              </w:tc>
              <w:tc>
                <w:tcPr>
                  <w:tcW w:w="1727" w:type="dxa"/>
                  <w:noWrap w:val="0"/>
                  <w:vAlign w:val="center"/>
                </w:tcPr>
                <w:p w14:paraId="02DC72DC">
                  <w:pPr>
                    <w:pBdr>
                      <w:top w:val="none" w:color="auto" w:sz="0" w:space="1"/>
                      <w:left w:val="none" w:color="auto" w:sz="0" w:space="4"/>
                      <w:bottom w:val="none" w:color="auto" w:sz="0" w:space="1"/>
                      <w:right w:val="none" w:color="auto" w:sz="0" w:space="4"/>
                    </w:pBdr>
                    <w:spacing w:line="340" w:lineRule="exact"/>
                    <w:jc w:val="left"/>
                    <w:rPr>
                      <w:rFonts w:hint="eastAsia" w:cs="Times New Roman"/>
                      <w:color w:val="auto"/>
                      <w:sz w:val="21"/>
                      <w:szCs w:val="21"/>
                      <w:lang w:val="en-US" w:eastAsia="zh-CN"/>
                    </w:rPr>
                  </w:pPr>
                  <w:r>
                    <w:rPr>
                      <w:rFonts w:hint="eastAsia" w:cs="Times New Roman"/>
                      <w:color w:val="auto"/>
                      <w:sz w:val="21"/>
                      <w:szCs w:val="21"/>
                      <w:lang w:val="en-US" w:eastAsia="zh-CN"/>
                    </w:rPr>
                    <w:t>1.项目不属于高耗能、高耗水的项目。</w:t>
                  </w:r>
                </w:p>
                <w:p w14:paraId="2BDAA6CB">
                  <w:pPr>
                    <w:pBdr>
                      <w:top w:val="none" w:color="auto" w:sz="0" w:space="1"/>
                      <w:left w:val="none" w:color="auto" w:sz="0" w:space="4"/>
                      <w:bottom w:val="none" w:color="auto" w:sz="0" w:space="1"/>
                      <w:right w:val="none" w:color="auto" w:sz="0" w:space="4"/>
                    </w:pBdr>
                    <w:spacing w:line="340" w:lineRule="exact"/>
                    <w:jc w:val="left"/>
                    <w:rPr>
                      <w:rFonts w:hint="eastAsia" w:cs="Times New Roman"/>
                      <w:color w:val="auto"/>
                      <w:sz w:val="21"/>
                      <w:szCs w:val="21"/>
                      <w:lang w:val="en-US" w:eastAsia="zh-CN"/>
                    </w:rPr>
                  </w:pPr>
                  <w:r>
                    <w:rPr>
                      <w:rFonts w:hint="eastAsia" w:cs="Times New Roman"/>
                      <w:color w:val="auto"/>
                      <w:sz w:val="21"/>
                      <w:szCs w:val="21"/>
                      <w:lang w:val="en-US" w:eastAsia="zh-CN"/>
                    </w:rPr>
                    <w:t>2.项目符合用地规划要求。</w:t>
                  </w:r>
                </w:p>
                <w:p w14:paraId="058F9AEA">
                  <w:pPr>
                    <w:pBdr>
                      <w:top w:val="none" w:color="auto" w:sz="0" w:space="1"/>
                      <w:left w:val="none" w:color="auto" w:sz="0" w:space="4"/>
                      <w:bottom w:val="none" w:color="auto" w:sz="0" w:space="1"/>
                      <w:right w:val="none" w:color="auto" w:sz="0" w:space="4"/>
                    </w:pBdr>
                    <w:spacing w:line="340" w:lineRule="exact"/>
                    <w:jc w:val="left"/>
                    <w:rPr>
                      <w:rFonts w:hint="eastAsia" w:cs="Times New Roman"/>
                      <w:color w:val="auto"/>
                      <w:sz w:val="21"/>
                      <w:szCs w:val="21"/>
                      <w:lang w:val="en-US" w:eastAsia="zh-CN"/>
                    </w:rPr>
                  </w:pPr>
                  <w:r>
                    <w:rPr>
                      <w:rFonts w:hint="eastAsia" w:cs="Times New Roman"/>
                      <w:color w:val="auto"/>
                      <w:sz w:val="21"/>
                      <w:szCs w:val="21"/>
                      <w:lang w:val="en-US" w:eastAsia="zh-CN"/>
                    </w:rPr>
                    <w:t>3.项目不属于钢铁、火电、化工、制浆造纸、印染等项目，也不属于电力、化工、石化等行业。</w:t>
                  </w:r>
                </w:p>
                <w:p w14:paraId="458FF6BE">
                  <w:pPr>
                    <w:pBdr>
                      <w:top w:val="none" w:color="auto" w:sz="0" w:space="1"/>
                      <w:left w:val="none" w:color="auto" w:sz="0" w:space="4"/>
                      <w:bottom w:val="none" w:color="auto" w:sz="0" w:space="1"/>
                      <w:right w:val="none" w:color="auto" w:sz="0" w:space="4"/>
                    </w:pBdr>
                    <w:spacing w:line="340" w:lineRule="exact"/>
                    <w:jc w:val="left"/>
                    <w:rPr>
                      <w:rFonts w:hint="eastAsia" w:cs="Times New Roman"/>
                      <w:color w:val="auto"/>
                      <w:sz w:val="21"/>
                      <w:szCs w:val="21"/>
                      <w:lang w:val="en-US" w:eastAsia="zh-CN"/>
                    </w:rPr>
                  </w:pPr>
                  <w:r>
                    <w:rPr>
                      <w:rFonts w:hint="eastAsia" w:cs="Times New Roman"/>
                      <w:color w:val="auto"/>
                      <w:sz w:val="21"/>
                      <w:szCs w:val="21"/>
                      <w:lang w:val="en-US" w:eastAsia="zh-CN"/>
                    </w:rPr>
                    <w:t>4、项目不涉及锅炉。</w:t>
                  </w:r>
                </w:p>
                <w:p w14:paraId="0B74167D">
                  <w:pPr>
                    <w:pBdr>
                      <w:top w:val="none" w:color="auto" w:sz="0" w:space="1"/>
                      <w:left w:val="none" w:color="auto" w:sz="0" w:space="4"/>
                      <w:bottom w:val="none" w:color="auto" w:sz="0" w:space="1"/>
                      <w:right w:val="none" w:color="auto" w:sz="0" w:space="4"/>
                    </w:pBdr>
                    <w:spacing w:line="340" w:lineRule="exact"/>
                    <w:jc w:val="left"/>
                    <w:rPr>
                      <w:rFonts w:hint="default" w:cs="Times New Roman"/>
                      <w:color w:val="auto"/>
                      <w:sz w:val="21"/>
                      <w:szCs w:val="21"/>
                      <w:lang w:val="en-US" w:eastAsia="zh-CN"/>
                    </w:rPr>
                  </w:pPr>
                  <w:r>
                    <w:rPr>
                      <w:rFonts w:hint="eastAsia" w:cs="Times New Roman"/>
                      <w:color w:val="auto"/>
                      <w:sz w:val="21"/>
                      <w:szCs w:val="21"/>
                      <w:lang w:val="en-US" w:eastAsia="zh-CN"/>
                    </w:rPr>
                    <w:t>5、项目不属于陶瓷行业。</w:t>
                  </w:r>
                </w:p>
              </w:tc>
              <w:tc>
                <w:tcPr>
                  <w:tcW w:w="662" w:type="dxa"/>
                  <w:noWrap w:val="0"/>
                  <w:vAlign w:val="center"/>
                </w:tcPr>
                <w:p w14:paraId="22DF4665">
                  <w:pPr>
                    <w:pBdr>
                      <w:top w:val="none" w:color="auto" w:sz="0" w:space="1"/>
                      <w:left w:val="none" w:color="auto" w:sz="0" w:space="4"/>
                      <w:bottom w:val="none" w:color="auto" w:sz="0" w:space="1"/>
                      <w:right w:val="none" w:color="auto" w:sz="0" w:space="4"/>
                    </w:pBdr>
                    <w:spacing w:line="34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符合</w:t>
                  </w:r>
                </w:p>
              </w:tc>
            </w:tr>
          </w:tbl>
          <w:p w14:paraId="3629B607">
            <w:pPr>
              <w:pStyle w:val="46"/>
              <w:ind w:firstLine="480"/>
              <w:rPr>
                <w:rFonts w:hint="eastAsia" w:ascii="Times New Roman" w:hAnsi="Times New Roman" w:eastAsia="宋体" w:cs="宋体"/>
                <w:color w:val="auto"/>
                <w:kern w:val="0"/>
                <w:szCs w:val="21"/>
                <w:highlight w:val="none"/>
                <w:lang w:val="en-GB"/>
              </w:rPr>
            </w:pPr>
            <w:r>
              <w:rPr>
                <w:rFonts w:hint="eastAsia" w:cs="宋体"/>
                <w:color w:val="auto"/>
                <w:kern w:val="0"/>
                <w:szCs w:val="21"/>
                <w:highlight w:val="none"/>
                <w:lang w:val="en-GB" w:eastAsia="zh-CN"/>
              </w:rPr>
              <w:t>（2）</w:t>
            </w:r>
            <w:r>
              <w:rPr>
                <w:rFonts w:hint="eastAsia" w:ascii="Times New Roman" w:hAnsi="Times New Roman" w:eastAsia="宋体" w:cs="宋体"/>
                <w:color w:val="auto"/>
                <w:kern w:val="0"/>
                <w:szCs w:val="21"/>
                <w:highlight w:val="none"/>
                <w:lang w:val="en-US" w:eastAsia="zh-CN"/>
              </w:rPr>
              <w:t>与“《福州市生态环境局关于发布福州市2024年生态环境分区管控动态更新成果的通知》（榕环保综〔2025〕1号）”符合性分析</w:t>
            </w:r>
          </w:p>
          <w:p w14:paraId="36BE2FBF">
            <w:pPr>
              <w:pStyle w:val="46"/>
              <w:ind w:firstLine="480"/>
              <w:rPr>
                <w:rFonts w:hint="eastAsia"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根据《福州市生态环境局关于发布福州市2024年生态环境分区管控动态更新成果的通知》（榕环保综〔2025〕1号）相关要求，本项目与管控要求的符合性分析详如下：</w:t>
            </w:r>
          </w:p>
          <w:p w14:paraId="0FBAF83B">
            <w:pPr>
              <w:numPr>
                <w:ilvl w:val="0"/>
                <w:numId w:val="0"/>
              </w:numPr>
              <w:spacing w:before="120" w:beforeLines="50"/>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①与福州市全市总体准入要求的符合性分析</w:t>
            </w:r>
          </w:p>
          <w:p w14:paraId="41C54406">
            <w:pPr>
              <w:pStyle w:val="44"/>
              <w:keepNext w:val="0"/>
              <w:keepLines w:val="0"/>
              <w:pageBreakBefore w:val="0"/>
              <w:widowControl w:val="0"/>
              <w:numPr>
                <w:ilvl w:val="7"/>
                <w:numId w:val="0"/>
              </w:numPr>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rightChars="0"/>
              <w:jc w:val="both"/>
              <w:textAlignment w:val="auto"/>
              <w:rPr>
                <w:rFonts w:hint="eastAsia" w:ascii="Times New Roman" w:hAnsi="Times New Roman" w:eastAsia="宋体" w:cs="宋体"/>
                <w:color w:val="auto"/>
                <w:lang w:val="en-US" w:eastAsia="zh-CN"/>
              </w:rPr>
            </w:pPr>
          </w:p>
          <w:p w14:paraId="10C2BD0D">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default"/>
                <w:color w:val="auto"/>
                <w:lang w:val="en-US" w:eastAsia="zh-CN"/>
              </w:rPr>
            </w:pPr>
            <w:r>
              <w:rPr>
                <w:rFonts w:hint="eastAsia"/>
                <w:color w:val="auto"/>
                <w:lang w:eastAsia="zh-CN"/>
              </w:rPr>
              <w:t>项目与《</w:t>
            </w:r>
            <w:r>
              <w:rPr>
                <w:rFonts w:hint="eastAsia"/>
                <w:color w:val="auto"/>
                <w:lang w:val="en-US" w:eastAsia="zh-CN"/>
              </w:rPr>
              <w:t>福州市</w:t>
            </w:r>
            <w:r>
              <w:rPr>
                <w:rFonts w:hint="eastAsia"/>
                <w:color w:val="auto"/>
                <w:lang w:eastAsia="zh-CN"/>
              </w:rPr>
              <w:t>生态环境总体准入要求》符合性分析</w:t>
            </w:r>
          </w:p>
          <w:tbl>
            <w:tblPr>
              <w:tblStyle w:val="34"/>
              <w:tblW w:w="7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09"/>
              <w:gridCol w:w="3887"/>
              <w:gridCol w:w="1736"/>
              <w:gridCol w:w="666"/>
            </w:tblGrid>
            <w:tr w14:paraId="37BE5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696" w:type="dxa"/>
                  <w:gridSpan w:val="2"/>
                  <w:tcBorders>
                    <w:bottom w:val="single" w:color="000000" w:sz="12" w:space="0"/>
                    <w:tl2br w:val="nil"/>
                    <w:tr2bl w:val="nil"/>
                  </w:tcBorders>
                  <w:shd w:val="clear" w:color="auto" w:fill="auto"/>
                  <w:vAlign w:val="center"/>
                </w:tcPr>
                <w:p w14:paraId="3BE6B926">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准入要求</w:t>
                  </w:r>
                </w:p>
              </w:tc>
              <w:tc>
                <w:tcPr>
                  <w:tcW w:w="1736" w:type="dxa"/>
                  <w:tcBorders>
                    <w:bottom w:val="single" w:color="000000" w:sz="12" w:space="0"/>
                    <w:tl2br w:val="nil"/>
                    <w:tr2bl w:val="nil"/>
                  </w:tcBorders>
                  <w:shd w:val="clear" w:color="auto" w:fill="auto"/>
                  <w:vAlign w:val="center"/>
                </w:tcPr>
                <w:p w14:paraId="06A47907">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本项目</w:t>
                  </w:r>
                </w:p>
              </w:tc>
              <w:tc>
                <w:tcPr>
                  <w:tcW w:w="666" w:type="dxa"/>
                  <w:tcBorders>
                    <w:bottom w:val="single" w:color="000000" w:sz="12" w:space="0"/>
                    <w:tl2br w:val="nil"/>
                    <w:tr2bl w:val="nil"/>
                  </w:tcBorders>
                  <w:shd w:val="clear" w:color="auto" w:fill="auto"/>
                  <w:vAlign w:val="center"/>
                </w:tcPr>
                <w:p w14:paraId="5DEE8082">
                  <w:pPr>
                    <w:pStyle w:val="92"/>
                    <w:keepNext w:val="0"/>
                    <w:keepLines w:val="0"/>
                    <w:widowControl/>
                    <w:suppressLineNumbers w:val="0"/>
                    <w:spacing w:before="0" w:beforeAutospacing="0" w:after="0" w:afterAutospacing="0"/>
                    <w:ind w:left="0" w:right="0"/>
                    <w:rPr>
                      <w:rFonts w:hint="default"/>
                      <w:color w:val="auto"/>
                      <w:lang w:val="en-US"/>
                    </w:rPr>
                  </w:pPr>
                  <w:r>
                    <w:rPr>
                      <w:rFonts w:hint="eastAsia" w:cs="Times New Roman"/>
                      <w:color w:val="auto"/>
                      <w:spacing w:val="7"/>
                      <w:sz w:val="21"/>
                      <w:szCs w:val="21"/>
                      <w:lang w:val="en-US" w:eastAsia="zh-CN"/>
                    </w:rPr>
                    <w:t>符合性</w:t>
                  </w:r>
                </w:p>
              </w:tc>
            </w:tr>
            <w:tr w14:paraId="7F666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58" w:hRule="atLeast"/>
                <w:jc w:val="center"/>
              </w:trPr>
              <w:tc>
                <w:tcPr>
                  <w:tcW w:w="809" w:type="dxa"/>
                  <w:vMerge w:val="restart"/>
                  <w:tcBorders>
                    <w:top w:val="single" w:color="000000" w:sz="12" w:space="0"/>
                    <w:tl2br w:val="nil"/>
                    <w:tr2bl w:val="nil"/>
                  </w:tcBorders>
                  <w:shd w:val="clear" w:color="auto" w:fill="auto"/>
                  <w:vAlign w:val="center"/>
                </w:tcPr>
                <w:p w14:paraId="24ED6759">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空间布局</w:t>
                  </w:r>
                </w:p>
              </w:tc>
              <w:tc>
                <w:tcPr>
                  <w:tcW w:w="3887" w:type="dxa"/>
                  <w:tcBorders>
                    <w:top w:val="single" w:color="000000" w:sz="12" w:space="0"/>
                    <w:tl2br w:val="nil"/>
                    <w:tr2bl w:val="nil"/>
                  </w:tcBorders>
                  <w:shd w:val="clear" w:color="auto" w:fill="auto"/>
                  <w:vAlign w:val="center"/>
                </w:tcPr>
                <w:p w14:paraId="22E7E6A4">
                  <w:pPr>
                    <w:rPr>
                      <w:rFonts w:hint="eastAsia"/>
                      <w:b/>
                      <w:bCs/>
                      <w:color w:val="auto"/>
                      <w:vertAlign w:val="baseline"/>
                      <w:lang w:val="en-US" w:eastAsia="zh-CN"/>
                    </w:rPr>
                  </w:pPr>
                  <w:r>
                    <w:rPr>
                      <w:rFonts w:hint="eastAsia"/>
                      <w:b/>
                      <w:bCs/>
                      <w:color w:val="auto"/>
                      <w:vertAlign w:val="baseline"/>
                      <w:lang w:val="en-US" w:eastAsia="zh-CN"/>
                    </w:rPr>
                    <w:t>一、优先保护单元中的生态保护红线</w:t>
                  </w:r>
                </w:p>
                <w:p w14:paraId="6FDD4E14">
                  <w:pPr>
                    <w:rPr>
                      <w:rFonts w:hint="eastAsia"/>
                      <w:color w:val="auto"/>
                      <w:vertAlign w:val="baseline"/>
                      <w:lang w:val="en-US" w:eastAsia="zh-CN"/>
                    </w:rPr>
                  </w:pPr>
                  <w:r>
                    <w:rPr>
                      <w:rFonts w:hint="eastAsia"/>
                      <w:color w:val="auto"/>
                      <w:vertAlign w:val="baseline"/>
                      <w:lang w:val="en-US" w:eastAsia="zh-CN"/>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法律法规规定允许的其他人为活动。2.依据《福建省自然资源厅福建省生态环境厅福建省林业局关于进一步加强生态保护红线监管的通知（试行）》（闽自然资发〔2023〕56号），允许占用生态保护红线的重大项目范围：（1）党中央、国务院发布文件或批准规划中明确具体名称的项目和国务院批准的项目。（2）中央军委及其有关部门批准的军事国防项目。（3）国家级规划（指国务院及其有关部门正式颁布）明确的交通、水利项目。（4）国家级规划明确的电网项目，国家级规划明确的且符合国家产业政策的能源矿产勘查开采、油气管线、水电、核电项目。（5）为贯彻落实党中央、国务院重大决策部署，国务院投资主管部门或国务院投资主管部门会同有关部门确认的交通、能源、水利等基础设施项目。（6）按照国家重大项目用地保障工作机制要求，国家发展改革委会同有关部门确认的需中央加大建设用地保障力度，确实难以避让的国家重大项目。</w:t>
                  </w:r>
                </w:p>
                <w:p w14:paraId="78C3A9E7">
                  <w:pPr>
                    <w:rPr>
                      <w:rFonts w:hint="default" w:ascii="Times New Roman" w:hAnsi="Times New Roman" w:cs="Times New Roman"/>
                      <w:color w:val="auto"/>
                      <w:sz w:val="21"/>
                      <w:szCs w:val="21"/>
                      <w:lang w:val="en-US"/>
                    </w:rPr>
                  </w:pPr>
                </w:p>
              </w:tc>
              <w:tc>
                <w:tcPr>
                  <w:tcW w:w="1736" w:type="dxa"/>
                  <w:tcBorders>
                    <w:top w:val="single" w:color="000000" w:sz="12" w:space="0"/>
                    <w:tl2br w:val="nil"/>
                    <w:tr2bl w:val="nil"/>
                  </w:tcBorders>
                  <w:shd w:val="clear" w:color="auto" w:fill="auto"/>
                  <w:vAlign w:val="center"/>
                </w:tcPr>
                <w:p w14:paraId="17ACE3A0">
                  <w:pPr>
                    <w:rPr>
                      <w:rFonts w:hint="eastAsia"/>
                      <w:b/>
                      <w:bCs/>
                      <w:color w:val="auto"/>
                      <w:vertAlign w:val="baseline"/>
                      <w:lang w:val="en-US" w:eastAsia="zh-CN"/>
                    </w:rPr>
                  </w:pPr>
                  <w:r>
                    <w:rPr>
                      <w:rFonts w:hint="eastAsia"/>
                      <w:b/>
                      <w:bCs/>
                      <w:color w:val="auto"/>
                      <w:vertAlign w:val="baseline"/>
                      <w:lang w:val="en-US" w:eastAsia="zh-CN"/>
                    </w:rPr>
                    <w:t>一、优先保护单元中的生态保护红线</w:t>
                  </w:r>
                </w:p>
                <w:p w14:paraId="61D4AE0B">
                  <w:pPr>
                    <w:keepNext w:val="0"/>
                    <w:keepLines w:val="0"/>
                    <w:widowControl/>
                    <w:suppressLineNumbers w:val="0"/>
                    <w:spacing w:before="0" w:beforeAutospacing="0" w:after="0" w:afterAutospacing="0"/>
                    <w:ind w:left="0" w:right="0"/>
                    <w:jc w:val="both"/>
                    <w:rPr>
                      <w:rFonts w:hint="eastAsia" w:cs="Times New Roman"/>
                      <w:color w:val="auto"/>
                      <w:sz w:val="21"/>
                      <w:szCs w:val="21"/>
                      <w:lang w:val="en-US" w:eastAsia="zh-CN"/>
                    </w:rPr>
                  </w:pPr>
                  <w:r>
                    <w:rPr>
                      <w:rFonts w:hint="eastAsia"/>
                      <w:color w:val="auto"/>
                      <w:lang w:val="en-US" w:eastAsia="zh-CN"/>
                    </w:rPr>
                    <w:t>项目位于</w:t>
                  </w:r>
                  <w:r>
                    <w:rPr>
                      <w:rFonts w:hint="eastAsia" w:cs="Times New Roman"/>
                      <w:color w:val="auto"/>
                      <w:sz w:val="21"/>
                      <w:szCs w:val="21"/>
                      <w:lang w:val="en-US" w:eastAsia="zh-CN"/>
                    </w:rPr>
                    <w:t>福建省福州市福清融侨经济技术开发区镜洋镇（租赁福州鼎力机械有限公司铸造车间1号），项目建设区未涉及优先保护单元中的生态保护红线。</w:t>
                  </w:r>
                </w:p>
                <w:p w14:paraId="727A2D05">
                  <w:pPr>
                    <w:keepNext w:val="0"/>
                    <w:keepLines w:val="0"/>
                    <w:widowControl/>
                    <w:suppressLineNumbers w:val="0"/>
                    <w:spacing w:before="0" w:beforeAutospacing="0" w:after="0" w:afterAutospacing="0"/>
                    <w:ind w:left="0" w:right="0"/>
                    <w:jc w:val="both"/>
                    <w:rPr>
                      <w:rFonts w:hint="default" w:cs="Times New Roman"/>
                      <w:color w:val="auto"/>
                      <w:sz w:val="21"/>
                      <w:szCs w:val="21"/>
                      <w:lang w:val="en-US" w:eastAsia="zh-CN"/>
                    </w:rPr>
                  </w:pPr>
                </w:p>
              </w:tc>
              <w:tc>
                <w:tcPr>
                  <w:tcW w:w="666" w:type="dxa"/>
                  <w:tcBorders>
                    <w:top w:val="single" w:color="000000" w:sz="12" w:space="0"/>
                    <w:tl2br w:val="nil"/>
                    <w:tr2bl w:val="nil"/>
                  </w:tcBorders>
                  <w:shd w:val="clear" w:color="auto" w:fill="auto"/>
                  <w:vAlign w:val="center"/>
                </w:tcPr>
                <w:p w14:paraId="2399BE58">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符合</w:t>
                  </w:r>
                </w:p>
              </w:tc>
            </w:tr>
            <w:tr w14:paraId="23B8A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48" w:hRule="atLeast"/>
                <w:jc w:val="center"/>
              </w:trPr>
              <w:tc>
                <w:tcPr>
                  <w:tcW w:w="809" w:type="dxa"/>
                  <w:vMerge w:val="continue"/>
                  <w:tcBorders>
                    <w:tl2br w:val="nil"/>
                    <w:tr2bl w:val="nil"/>
                  </w:tcBorders>
                  <w:shd w:val="clear" w:color="auto" w:fill="auto"/>
                  <w:vAlign w:val="center"/>
                </w:tcPr>
                <w:p w14:paraId="2E2AA1B3"/>
              </w:tc>
              <w:tc>
                <w:tcPr>
                  <w:tcW w:w="3887" w:type="dxa"/>
                  <w:tcBorders>
                    <w:top w:val="single" w:color="000000" w:sz="12" w:space="0"/>
                    <w:tl2br w:val="nil"/>
                    <w:tr2bl w:val="nil"/>
                  </w:tcBorders>
                  <w:shd w:val="clear" w:color="auto" w:fill="auto"/>
                  <w:vAlign w:val="center"/>
                </w:tcPr>
                <w:p w14:paraId="19B09202">
                  <w:pPr>
                    <w:rPr>
                      <w:rFonts w:hint="eastAsia"/>
                      <w:b/>
                      <w:bCs/>
                      <w:vertAlign w:val="baseline"/>
                      <w:lang w:val="en-US" w:eastAsia="zh-CN"/>
                    </w:rPr>
                  </w:pPr>
                  <w:r>
                    <w:rPr>
                      <w:rFonts w:hint="eastAsia"/>
                      <w:b/>
                      <w:bCs/>
                      <w:vertAlign w:val="baseline"/>
                      <w:lang w:val="en-US" w:eastAsia="zh-CN"/>
                    </w:rPr>
                    <w:t>二、优先保护单元中的一般生态空间</w:t>
                  </w:r>
                </w:p>
                <w:p w14:paraId="6491AB84">
                  <w:pPr>
                    <w:rPr>
                      <w:rFonts w:hint="eastAsia"/>
                      <w:vertAlign w:val="baseline"/>
                      <w:lang w:val="en-US" w:eastAsia="zh-CN"/>
                    </w:rPr>
                  </w:pPr>
                  <w:r>
                    <w:rPr>
                      <w:rFonts w:hint="eastAsia"/>
                      <w:vertAlign w:val="baseline"/>
                      <w:lang w:val="en-US" w:eastAsia="zh-CN"/>
                    </w:rPr>
                    <w:t>1.一般生态空间以保护和修复生态环境、提供生态产品和服务为首要任务，因地制宜地发展不影响主体功能定位的适宜产业。2.一般生态空间内未纳入生态保护红线的饮用水水源保护区等各类法定保护地，其管控要求依照相关法律法规执行。3.一般生态空间内现有合法的水泥厂、矿山开发等生产性设施及生活垃圾处置等民生工程予以保留，应按照法律法规要求落实污染防治和生态保护措施，避免对生态功能造成破坏。</w:t>
                  </w:r>
                </w:p>
                <w:p w14:paraId="41F39A6C">
                  <w:pPr>
                    <w:rPr>
                      <w:rFonts w:hint="eastAsia"/>
                      <w:b/>
                      <w:bCs/>
                      <w:vertAlign w:val="baseline"/>
                      <w:lang w:val="en-US" w:eastAsia="zh-CN"/>
                    </w:rPr>
                  </w:pPr>
                  <w:r>
                    <w:rPr>
                      <w:rFonts w:hint="eastAsia"/>
                      <w:b/>
                      <w:bCs/>
                      <w:vertAlign w:val="baseline"/>
                      <w:lang w:val="en-US" w:eastAsia="zh-CN"/>
                    </w:rPr>
                    <w:t>三、其它要求</w:t>
                  </w:r>
                </w:p>
                <w:p w14:paraId="2806F37A">
                  <w:pPr>
                    <w:rPr>
                      <w:rFonts w:hint="eastAsia"/>
                      <w:vertAlign w:val="baseline"/>
                      <w:lang w:val="en-US" w:eastAsia="zh-CN"/>
                    </w:rPr>
                  </w:pPr>
                  <w:r>
                    <w:rPr>
                      <w:rFonts w:hint="eastAsia"/>
                      <w:vertAlign w:val="baseline"/>
                      <w:lang w:val="en-US" w:eastAsia="zh-CN"/>
                    </w:rPr>
                    <w:t>1.福州市石化中上游项目重点在福州江阴港城经济区、可门港经济区化工新材料产业园布局。</w:t>
                  </w:r>
                </w:p>
                <w:p w14:paraId="058409DE">
                  <w:pPr>
                    <w:rPr>
                      <w:rFonts w:hint="eastAsia"/>
                      <w:vertAlign w:val="baseline"/>
                      <w:lang w:val="en-US" w:eastAsia="zh-CN"/>
                    </w:rPr>
                  </w:pPr>
                  <w:r>
                    <w:rPr>
                      <w:rFonts w:hint="eastAsia"/>
                      <w:vertAlign w:val="baseline"/>
                      <w:lang w:val="en-US" w:eastAsia="zh-CN"/>
                    </w:rPr>
                    <w:t>2.禁止在闽江马尾罗星塔以上流域范围新、扩建制革项目，严控新（扩）建植物制浆、印染、合成革及人造革、电镀项目。</w:t>
                  </w:r>
                </w:p>
                <w:p w14:paraId="55430CB6">
                  <w:pPr>
                    <w:rPr>
                      <w:rFonts w:hint="eastAsia"/>
                      <w:vertAlign w:val="baseline"/>
                      <w:lang w:val="en-US" w:eastAsia="zh-CN"/>
                    </w:rPr>
                  </w:pPr>
                  <w:r>
                    <w:rPr>
                      <w:rFonts w:hint="eastAsia"/>
                      <w:vertAlign w:val="baseline"/>
                      <w:lang w:val="en-US" w:eastAsia="zh-CN"/>
                    </w:rPr>
                    <w:t>3.禁止在通风廊道和主导风向的上风向布局大气重污染企业，推进建成区大气重污染企业搬迁或升级改造、环境风险企业搬迁或关闭退出。</w:t>
                  </w:r>
                </w:p>
                <w:p w14:paraId="19147C0F">
                  <w:pPr>
                    <w:rPr>
                      <w:rFonts w:hint="eastAsia"/>
                      <w:vertAlign w:val="baseline"/>
                      <w:lang w:val="en-US" w:eastAsia="zh-CN"/>
                    </w:rPr>
                  </w:pPr>
                  <w:r>
                    <w:rPr>
                      <w:rFonts w:hint="eastAsia"/>
                      <w:vertAlign w:val="baseline"/>
                      <w:lang w:val="en-US" w:eastAsia="zh-CN"/>
                    </w:rPr>
                    <w:t>4.禁止新、改、扩建生产高VOCs含量有机溶剂型涂料、油墨和胶黏剂的项目。5.持续加强闽清等地建陶产业的环境综合治理，充分衔接国土空间规划和生态环境分区管控，并对照产业政策、城市总体发展规划等要求，进一步明确发展定位，优化产业布局和规模。</w:t>
                  </w:r>
                </w:p>
                <w:p w14:paraId="4E5D9469">
                  <w:pPr>
                    <w:rPr>
                      <w:rFonts w:hint="eastAsia"/>
                      <w:vertAlign w:val="baseline"/>
                      <w:lang w:val="en-US" w:eastAsia="zh-CN"/>
                    </w:rPr>
                  </w:pPr>
                  <w:r>
                    <w:rPr>
                      <w:rFonts w:hint="eastAsia"/>
                      <w:vertAlign w:val="baseline"/>
                      <w:lang w:val="en-US" w:eastAsia="zh-CN"/>
                    </w:rPr>
                    <w:t>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48A40FBB">
                  <w:pPr>
                    <w:rPr>
                      <w:rFonts w:hint="eastAsia"/>
                      <w:vertAlign w:val="baseline"/>
                      <w:lang w:val="en-US" w:eastAsia="zh-CN"/>
                    </w:rPr>
                  </w:pPr>
                  <w:r>
                    <w:rPr>
                      <w:rFonts w:hint="eastAsia"/>
                      <w:vertAlign w:val="baseline"/>
                      <w:lang w:val="en-US" w:eastAsia="zh-CN"/>
                    </w:rPr>
                    <w:t>7.禁止在流域上游新建、扩建重污染企业和项目。</w:t>
                  </w:r>
                </w:p>
                <w:p w14:paraId="0DCD4658">
                  <w:pPr>
                    <w:rPr>
                      <w:rFonts w:hint="eastAsia"/>
                      <w:vertAlign w:val="baseline"/>
                      <w:lang w:val="en-US" w:eastAsia="zh-CN"/>
                    </w:rPr>
                  </w:pPr>
                  <w:r>
                    <w:rPr>
                      <w:rFonts w:hint="eastAsia"/>
                      <w:vertAlign w:val="baseline"/>
                      <w:lang w:val="en-US" w:eastAsia="zh-CN"/>
                    </w:rPr>
                    <w:t>8.重要敏感水体及富营养化湖库生态缓冲带除相关政府部门批准的科学研究活动外，禁止其它可能对保护区构成危害或不良影响的大规模生产、建设活动。9.新、改、扩建煤电、钢铁、建材、石化、化工等“两高”项目，严格落实国家、省、市产业规划、产业政策、“三线一单”、规划环评，以及产能置换、煤炭消费减量替代、区域污染削减等相关要求。</w:t>
                  </w:r>
                </w:p>
                <w:p w14:paraId="0EA021FC">
                  <w:pPr>
                    <w:rPr>
                      <w:rFonts w:hint="eastAsia"/>
                      <w:vertAlign w:val="baseline"/>
                      <w:lang w:val="en-US" w:eastAsia="zh-CN"/>
                    </w:rPr>
                  </w:pPr>
                  <w:r>
                    <w:rPr>
                      <w:rFonts w:hint="eastAsia"/>
                      <w:vertAlign w:val="baseline"/>
                      <w:lang w:val="en-US" w:eastAsia="zh-CN"/>
                    </w:rPr>
                    <w:t>10.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736" w:type="dxa"/>
                  <w:tcBorders>
                    <w:tl2br w:val="nil"/>
                    <w:tr2bl w:val="nil"/>
                  </w:tcBorders>
                  <w:shd w:val="clear" w:color="auto" w:fill="auto"/>
                  <w:vAlign w:val="center"/>
                </w:tcPr>
                <w:p w14:paraId="2A5FB539">
                  <w:pPr>
                    <w:rPr>
                      <w:rFonts w:hint="eastAsia"/>
                      <w:b/>
                      <w:bCs/>
                      <w:vertAlign w:val="baseline"/>
                      <w:lang w:val="en-US" w:eastAsia="zh-CN"/>
                    </w:rPr>
                  </w:pPr>
                  <w:r>
                    <w:rPr>
                      <w:rFonts w:hint="eastAsia"/>
                      <w:b/>
                      <w:bCs/>
                      <w:vertAlign w:val="baseline"/>
                      <w:lang w:val="en-US" w:eastAsia="zh-CN"/>
                    </w:rPr>
                    <w:t>二、优先保护单元中的一般生态空间</w:t>
                  </w:r>
                </w:p>
                <w:p w14:paraId="0FBFFB06">
                  <w:pPr>
                    <w:rPr>
                      <w:rFonts w:hint="eastAsia" w:cs="Times New Roman"/>
                      <w:color w:val="auto"/>
                      <w:kern w:val="2"/>
                      <w:sz w:val="21"/>
                      <w:szCs w:val="21"/>
                      <w:shd w:val="clear"/>
                      <w:lang w:val="en-US" w:eastAsia="zh-CN" w:bidi="ar-SA"/>
                    </w:rPr>
                  </w:pPr>
                  <w:r>
                    <w:rPr>
                      <w:rFonts w:hint="eastAsia" w:ascii="Times New Roman" w:hAnsi="Times New Roman" w:eastAsia="宋体" w:cs="Times New Roman"/>
                      <w:color w:val="auto"/>
                      <w:kern w:val="2"/>
                      <w:sz w:val="21"/>
                      <w:szCs w:val="21"/>
                      <w:shd w:val="clear"/>
                      <w:lang w:val="en-US" w:eastAsia="zh-CN" w:bidi="ar-SA"/>
                    </w:rPr>
                    <w:t>本项目主要从事</w:t>
                  </w:r>
                  <w:r>
                    <w:rPr>
                      <w:rFonts w:hint="eastAsia" w:cs="Times New Roman"/>
                      <w:color w:val="auto"/>
                      <w:kern w:val="2"/>
                      <w:sz w:val="21"/>
                      <w:szCs w:val="21"/>
                      <w:shd w:val="clear"/>
                      <w:lang w:val="en-US" w:eastAsia="zh-CN" w:bidi="ar-SA"/>
                    </w:rPr>
                    <w:t>汽车桌椅骨架</w:t>
                  </w:r>
                  <w:r>
                    <w:rPr>
                      <w:rFonts w:hint="eastAsia" w:ascii="Times New Roman" w:hAnsi="Times New Roman" w:eastAsia="宋体" w:cs="Times New Roman"/>
                      <w:color w:val="auto"/>
                      <w:kern w:val="2"/>
                      <w:sz w:val="21"/>
                      <w:szCs w:val="21"/>
                      <w:shd w:val="clear"/>
                      <w:lang w:val="en-US" w:eastAsia="zh-CN" w:bidi="ar-SA"/>
                    </w:rPr>
                    <w:t>的生产加工，位于</w:t>
                  </w:r>
                  <w:r>
                    <w:rPr>
                      <w:rFonts w:hint="eastAsia" w:cs="Times New Roman"/>
                      <w:color w:val="auto"/>
                      <w:sz w:val="21"/>
                      <w:szCs w:val="21"/>
                      <w:lang w:val="en-US" w:eastAsia="zh-CN"/>
                    </w:rPr>
                    <w:t>福建省福州市福清融侨经济技术开发区镜洋镇（租赁福州鼎力机械有限公司铸造车间1号）</w:t>
                  </w:r>
                  <w:r>
                    <w:rPr>
                      <w:rFonts w:hint="eastAsia" w:ascii="Times New Roman" w:hAnsi="Times New Roman" w:eastAsia="宋体" w:cs="Times New Roman"/>
                      <w:color w:val="auto"/>
                      <w:kern w:val="2"/>
                      <w:sz w:val="21"/>
                      <w:szCs w:val="21"/>
                      <w:shd w:val="clear"/>
                      <w:lang w:val="en-US" w:eastAsia="zh-CN" w:bidi="ar-SA"/>
                    </w:rPr>
                    <w:t>，项目建设与空间布局约束要求不冲突</w:t>
                  </w:r>
                  <w:r>
                    <w:rPr>
                      <w:rFonts w:hint="eastAsia" w:cs="Times New Roman"/>
                      <w:color w:val="auto"/>
                      <w:kern w:val="2"/>
                      <w:sz w:val="21"/>
                      <w:szCs w:val="21"/>
                      <w:shd w:val="clear"/>
                      <w:lang w:val="en-US" w:eastAsia="zh-CN" w:bidi="ar-SA"/>
                    </w:rPr>
                    <w:t>。</w:t>
                  </w:r>
                </w:p>
                <w:p w14:paraId="4AC1ADE8">
                  <w:pPr>
                    <w:rPr>
                      <w:rFonts w:hint="eastAsia"/>
                      <w:b/>
                      <w:bCs/>
                      <w:vertAlign w:val="baseline"/>
                      <w:lang w:val="en-US" w:eastAsia="zh-CN"/>
                    </w:rPr>
                  </w:pPr>
                  <w:r>
                    <w:rPr>
                      <w:rFonts w:hint="eastAsia"/>
                      <w:b/>
                      <w:bCs/>
                      <w:vertAlign w:val="baseline"/>
                      <w:lang w:val="en-US" w:eastAsia="zh-CN"/>
                    </w:rPr>
                    <w:t>三、其它要求</w:t>
                  </w:r>
                </w:p>
                <w:p w14:paraId="291D0219">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1.项目不属于石化项目。</w:t>
                  </w:r>
                </w:p>
                <w:p w14:paraId="1173B9AC">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2.项目不属于制革项目，也不属于植物制浆、印染、合成革及人造革、电镀项目。</w:t>
                  </w:r>
                </w:p>
                <w:p w14:paraId="6B88C8B7">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3、项目不属于大气重污染企业。</w:t>
                  </w:r>
                </w:p>
                <w:p w14:paraId="22540F4F">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4.项目不属于生产高VOCs含量有机溶剂型涂料、油墨和胶黏剂的项目。</w:t>
                  </w:r>
                </w:p>
                <w:p w14:paraId="4E9BE16A">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5.项目不属于建陶产业。</w:t>
                  </w:r>
                </w:p>
                <w:p w14:paraId="2929F2E8">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6.项目不涉及重点重金属污染物排放；不属于低端落后产能项目；不涉及用汞的电石法（聚）氯乙烯生产工艺，不属于电镀行业。</w:t>
                  </w:r>
                </w:p>
                <w:p w14:paraId="4605355E">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7、项目不属于重污染企业和项目。</w:t>
                  </w:r>
                </w:p>
                <w:p w14:paraId="178723D0">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8.项目不位于重要敏感水体及富营养化湖库生态缓冲带。</w:t>
                  </w:r>
                </w:p>
                <w:p w14:paraId="0721C13F">
                  <w:pPr>
                    <w:rPr>
                      <w:rFonts w:hint="eastAsia"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9.项目不属于煤电、钢铁、建材、石化、化工等“两高”项目。</w:t>
                  </w:r>
                </w:p>
                <w:p w14:paraId="407A0275">
                  <w:pPr>
                    <w:rPr>
                      <w:rFonts w:hint="default" w:cs="Times New Roman"/>
                      <w:color w:val="auto"/>
                      <w:kern w:val="2"/>
                      <w:sz w:val="21"/>
                      <w:szCs w:val="21"/>
                      <w:shd w:val="clear"/>
                      <w:lang w:val="en-US" w:eastAsia="zh-CN" w:bidi="ar-SA"/>
                    </w:rPr>
                  </w:pPr>
                  <w:r>
                    <w:rPr>
                      <w:rFonts w:hint="eastAsia" w:cs="Times New Roman"/>
                      <w:color w:val="auto"/>
                      <w:kern w:val="2"/>
                      <w:sz w:val="21"/>
                      <w:szCs w:val="21"/>
                      <w:shd w:val="clear"/>
                      <w:lang w:val="en-US" w:eastAsia="zh-CN" w:bidi="ar-SA"/>
                    </w:rPr>
                    <w:t>10.项目选址不涉及永久基本农田。</w:t>
                  </w:r>
                </w:p>
              </w:tc>
              <w:tc>
                <w:tcPr>
                  <w:tcW w:w="666" w:type="dxa"/>
                  <w:tcBorders>
                    <w:tl2br w:val="nil"/>
                    <w:tr2bl w:val="nil"/>
                  </w:tcBorders>
                  <w:shd w:val="clear" w:color="auto" w:fill="auto"/>
                  <w:vAlign w:val="center"/>
                </w:tcPr>
                <w:p w14:paraId="1ACAEEB7">
                  <w:pPr>
                    <w:rPr>
                      <w:rFonts w:hint="default"/>
                      <w:vertAlign w:val="baseline"/>
                      <w:lang w:val="en-US" w:eastAsia="zh-CN"/>
                    </w:rPr>
                  </w:pPr>
                  <w:r>
                    <w:rPr>
                      <w:rFonts w:hint="eastAsia"/>
                      <w:vertAlign w:val="baseline"/>
                      <w:lang w:val="en-US" w:eastAsia="zh-CN"/>
                    </w:rPr>
                    <w:t>符合</w:t>
                  </w:r>
                </w:p>
              </w:tc>
            </w:tr>
            <w:tr w14:paraId="278F4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09" w:type="dxa"/>
                  <w:tcBorders>
                    <w:tl2br w:val="nil"/>
                    <w:tr2bl w:val="nil"/>
                  </w:tcBorders>
                  <w:shd w:val="clear" w:color="auto" w:fill="auto"/>
                  <w:vAlign w:val="center"/>
                </w:tcPr>
                <w:p w14:paraId="4B121724">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污染物排放管控</w:t>
                  </w:r>
                </w:p>
              </w:tc>
              <w:tc>
                <w:tcPr>
                  <w:tcW w:w="3887" w:type="dxa"/>
                  <w:tcBorders>
                    <w:tl2br w:val="nil"/>
                    <w:tr2bl w:val="nil"/>
                  </w:tcBorders>
                  <w:shd w:val="clear" w:color="auto" w:fill="auto"/>
                  <w:vAlign w:val="center"/>
                </w:tcPr>
                <w:p w14:paraId="590006B6">
                  <w:pPr>
                    <w:rPr>
                      <w:rFonts w:hint="eastAsia"/>
                      <w:vertAlign w:val="baseline"/>
                      <w:lang w:val="en-US" w:eastAsia="zh-CN"/>
                    </w:rPr>
                  </w:pPr>
                  <w:r>
                    <w:rPr>
                      <w:rFonts w:hint="eastAsia"/>
                      <w:vertAlign w:val="baseline"/>
                      <w:lang w:val="en-US" w:eastAsia="zh-CN"/>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14:paraId="5E9638E4">
                  <w:pPr>
                    <w:rPr>
                      <w:rFonts w:hint="eastAsia"/>
                      <w:vertAlign w:val="baseline"/>
                      <w:lang w:val="en-US" w:eastAsia="zh-CN"/>
                    </w:rPr>
                  </w:pPr>
                  <w:r>
                    <w:rPr>
                      <w:rFonts w:hint="eastAsia"/>
                      <w:vertAlign w:val="baseline"/>
                      <w:lang w:val="en-US" w:eastAsia="zh-CN"/>
                    </w:rPr>
                    <w:t>2.新、改、扩建涉VOCs排放项目，应从源头加强控制，使用低（无）VOCs含量的原辅材料，实施新建项目VOCs排放区域内1.2及以上倍量替代。</w:t>
                  </w:r>
                </w:p>
                <w:p w14:paraId="5E37AA05">
                  <w:pPr>
                    <w:rPr>
                      <w:rFonts w:hint="eastAsia"/>
                      <w:vertAlign w:val="baseline"/>
                      <w:lang w:val="en-US" w:eastAsia="zh-CN"/>
                    </w:rPr>
                  </w:pPr>
                  <w:r>
                    <w:rPr>
                      <w:rFonts w:hint="eastAsia"/>
                      <w:vertAlign w:val="baseline"/>
                      <w:lang w:val="en-US" w:eastAsia="zh-CN"/>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1288B759">
                  <w:pPr>
                    <w:rPr>
                      <w:rFonts w:hint="eastAsia"/>
                      <w:vertAlign w:val="baseline"/>
                      <w:lang w:val="en-US" w:eastAsia="zh-CN"/>
                    </w:rPr>
                  </w:pPr>
                  <w:r>
                    <w:rPr>
                      <w:rFonts w:hint="eastAsia"/>
                      <w:vertAlign w:val="baseline"/>
                      <w:lang w:val="en-US" w:eastAsia="zh-CN"/>
                    </w:rPr>
                    <w:t>4.氟化工、印染、电镀等行业企业实行水污染物特别排放限值。</w:t>
                  </w:r>
                </w:p>
                <w:p w14:paraId="6E789094">
                  <w:pPr>
                    <w:rPr>
                      <w:rFonts w:hint="eastAsia"/>
                      <w:vertAlign w:val="baseline"/>
                      <w:lang w:val="en-US" w:eastAsia="zh-CN"/>
                    </w:rPr>
                  </w:pPr>
                  <w:r>
                    <w:rPr>
                      <w:rFonts w:hint="eastAsia"/>
                      <w:vertAlign w:val="baseline"/>
                      <w:lang w:val="en-US" w:eastAsia="zh-CN"/>
                    </w:rPr>
                    <w:t>5.新、改、扩建重点行业［2］建设项目要遵循重点重金属污染物排放“等量替代”原则，总量来源原则上应是同一重点行业内的削减量，当同一重点行业无法满足时可从其他重点行业调剂。</w:t>
                  </w:r>
                </w:p>
                <w:p w14:paraId="225997D0">
                  <w:pPr>
                    <w:rPr>
                      <w:rFonts w:hint="eastAsia"/>
                      <w:vertAlign w:val="baseline"/>
                      <w:lang w:val="en-US" w:eastAsia="zh-CN"/>
                    </w:rPr>
                  </w:pPr>
                  <w:r>
                    <w:rPr>
                      <w:rFonts w:hint="eastAsia"/>
                      <w:vertAlign w:val="baseline"/>
                      <w:lang w:val="en-US" w:eastAsia="zh-CN"/>
                    </w:rPr>
                    <w:t>6.每小时35（含）—65蒸吨燃煤锅炉和位于县级及以上城市建成区内保留的燃煤、燃油、燃生物质锅炉，原则上2024年底前必须全面实现超低排放。</w:t>
                  </w:r>
                </w:p>
                <w:p w14:paraId="466676A4">
                  <w:pPr>
                    <w:rPr>
                      <w:rFonts w:hint="eastAsia"/>
                      <w:vertAlign w:val="baseline"/>
                      <w:lang w:val="en-US" w:eastAsia="zh-CN"/>
                    </w:rPr>
                  </w:pPr>
                  <w:r>
                    <w:rPr>
                      <w:rFonts w:hint="eastAsia"/>
                      <w:vertAlign w:val="baseline"/>
                      <w:lang w:val="en-US" w:eastAsia="zh-CN"/>
                    </w:rPr>
                    <w:t>7.水泥行业新改扩建项目严格对照超低排放、能效标杆水平建设实施；现有项目超低排放改造应按文件（闽环规〔2023〕2号）的时限要求分步推进，2025年底前全面完成［3］［4］。</w:t>
                  </w:r>
                </w:p>
                <w:p w14:paraId="03C91E4C">
                  <w:pPr>
                    <w:rPr>
                      <w:rFonts w:hint="default" w:ascii="Times New Roman" w:hAnsi="Times New Roman" w:cs="Times New Roman"/>
                      <w:color w:val="auto"/>
                      <w:sz w:val="21"/>
                      <w:szCs w:val="21"/>
                      <w:lang w:val="en-US"/>
                    </w:rPr>
                  </w:pPr>
                  <w:r>
                    <w:rPr>
                      <w:rFonts w:hint="eastAsia"/>
                      <w:vertAlign w:val="baseline"/>
                      <w:lang w:val="en-US" w:eastAsia="zh-CN"/>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736" w:type="dxa"/>
                  <w:tcBorders>
                    <w:tl2br w:val="nil"/>
                    <w:tr2bl w:val="nil"/>
                  </w:tcBorders>
                  <w:shd w:val="clear" w:color="auto" w:fill="auto"/>
                  <w:vAlign w:val="center"/>
                </w:tcPr>
                <w:p w14:paraId="3C608009">
                  <w:pPr>
                    <w:pStyle w:val="92"/>
                    <w:keepNext w:val="0"/>
                    <w:keepLines w:val="0"/>
                    <w:widowControl/>
                    <w:suppressLineNumbers w:val="0"/>
                    <w:spacing w:before="0" w:beforeAutospacing="0" w:after="0" w:afterAutospacing="0"/>
                    <w:ind w:left="0" w:right="0"/>
                    <w:jc w:val="both"/>
                    <w:rPr>
                      <w:rFonts w:hint="default"/>
                      <w:color w:val="auto"/>
                      <w:vertAlign w:val="baseline"/>
                      <w:lang w:val="en-US" w:eastAsia="zh-CN"/>
                    </w:rPr>
                  </w:pPr>
                  <w:r>
                    <w:rPr>
                      <w:rFonts w:hint="eastAsia"/>
                      <w:color w:val="auto"/>
                      <w:lang w:val="en-US" w:eastAsia="zh-CN"/>
                    </w:rPr>
                    <w:t>1.项目新增生产废水排放，按照建设单位将严格按照文件规定要求对</w:t>
                  </w:r>
                  <w:r>
                    <w:rPr>
                      <w:rFonts w:hint="eastAsia"/>
                      <w:vertAlign w:val="baseline"/>
                      <w:lang w:val="en-US" w:eastAsia="zh-CN"/>
                    </w:rPr>
                    <w:t>水污染物化学需氧量、氨氮进行申请购买；项目新增大气污染物二氧化硫、氮氧化物，</w:t>
                  </w:r>
                  <w:r>
                    <w:rPr>
                      <w:rFonts w:hint="eastAsia"/>
                      <w:color w:val="auto"/>
                      <w:lang w:val="en-US" w:eastAsia="zh-CN"/>
                    </w:rPr>
                    <w:t>建设单位将严格按照文件规定要求对</w:t>
                  </w:r>
                  <w:r>
                    <w:rPr>
                      <w:rFonts w:hint="eastAsia"/>
                      <w:vertAlign w:val="baseline"/>
                      <w:lang w:val="en-US" w:eastAsia="zh-CN"/>
                    </w:rPr>
                    <w:t>大气污染</w:t>
                  </w:r>
                  <w:r>
                    <w:rPr>
                      <w:rFonts w:hint="eastAsia"/>
                      <w:color w:val="auto"/>
                      <w:vertAlign w:val="baseline"/>
                      <w:lang w:val="en-US" w:eastAsia="zh-CN"/>
                    </w:rPr>
                    <w:t>物二氧化硫、氮氧化物进行申请购买。</w:t>
                  </w:r>
                </w:p>
                <w:p w14:paraId="0E98620C">
                  <w:pPr>
                    <w:pStyle w:val="92"/>
                    <w:keepNext w:val="0"/>
                    <w:keepLines w:val="0"/>
                    <w:widowControl/>
                    <w:suppressLineNumbers w:val="0"/>
                    <w:spacing w:before="0" w:beforeAutospacing="0" w:after="0" w:afterAutospacing="0"/>
                    <w:ind w:left="0" w:right="0"/>
                    <w:jc w:val="both"/>
                    <w:rPr>
                      <w:rFonts w:hint="eastAsia"/>
                      <w:color w:val="auto"/>
                      <w:shd w:val="clear"/>
                      <w:lang w:val="en-US" w:eastAsia="zh-CN"/>
                    </w:rPr>
                  </w:pPr>
                  <w:r>
                    <w:rPr>
                      <w:rFonts w:hint="eastAsia"/>
                      <w:color w:val="auto"/>
                      <w:lang w:val="en-US" w:eastAsia="zh-CN"/>
                    </w:rPr>
                    <w:t>2.</w:t>
                  </w:r>
                  <w:r>
                    <w:rPr>
                      <w:rFonts w:hint="eastAsia"/>
                      <w:color w:val="auto"/>
                      <w:shd w:val="clear"/>
                      <w:lang w:val="en-US" w:eastAsia="zh-CN"/>
                    </w:rPr>
                    <w:t>项目位于</w:t>
                  </w:r>
                  <w:r>
                    <w:rPr>
                      <w:rFonts w:hint="eastAsia" w:cs="Times New Roman"/>
                      <w:color w:val="auto"/>
                      <w:sz w:val="21"/>
                      <w:szCs w:val="21"/>
                      <w:lang w:val="en-US" w:eastAsia="zh-CN"/>
                    </w:rPr>
                    <w:t>福建省福州市福清融侨经济技术开发区镜洋镇（租赁福州鼎力机械有限公司铸造车间1号）</w:t>
                  </w:r>
                  <w:r>
                    <w:rPr>
                      <w:rFonts w:hint="eastAsia"/>
                      <w:color w:val="auto"/>
                      <w:shd w:val="clear"/>
                      <w:lang w:val="en-US" w:eastAsia="zh-CN"/>
                    </w:rPr>
                    <w:t>，属于其规定的污染物管控区域。项目涉VOCs排放，建设单位将严格按照文件规定要求对VOCs总量进行调剂。</w:t>
                  </w:r>
                </w:p>
                <w:p w14:paraId="4BD0C115">
                  <w:pPr>
                    <w:pStyle w:val="92"/>
                    <w:keepNext w:val="0"/>
                    <w:keepLines w:val="0"/>
                    <w:widowControl/>
                    <w:suppressLineNumbers w:val="0"/>
                    <w:spacing w:before="0" w:beforeAutospacing="0" w:after="0" w:afterAutospacing="0"/>
                    <w:ind w:left="0" w:right="0"/>
                    <w:jc w:val="both"/>
                    <w:rPr>
                      <w:rFonts w:hint="eastAsia"/>
                      <w:color w:val="auto"/>
                      <w:shd w:val="clear"/>
                      <w:lang w:val="en-US" w:eastAsia="zh-CN"/>
                    </w:rPr>
                  </w:pPr>
                  <w:r>
                    <w:rPr>
                      <w:rFonts w:hint="eastAsia"/>
                      <w:color w:val="auto"/>
                      <w:shd w:val="clear"/>
                      <w:lang w:val="en-US" w:eastAsia="zh-CN"/>
                    </w:rPr>
                    <w:t>3、项目主要从事汽车座椅骨架的生产加工，不属于</w:t>
                  </w:r>
                  <w:r>
                    <w:rPr>
                      <w:rFonts w:hint="default" w:ascii="Times New Roman" w:hAnsi="Times New Roman" w:eastAsia="宋体" w:cs="Times New Roman"/>
                      <w:color w:val="auto"/>
                      <w:kern w:val="0"/>
                      <w:sz w:val="21"/>
                      <w:szCs w:val="21"/>
                      <w:shd w:val="clear"/>
                      <w:lang w:val="en-US" w:eastAsia="zh-CN" w:bidi="ar"/>
                    </w:rPr>
                    <w:t>钢铁、水泥、平板玻璃、有色金属冶炼、化工</w:t>
                  </w:r>
                  <w:r>
                    <w:rPr>
                      <w:rFonts w:hint="eastAsia"/>
                      <w:color w:val="auto"/>
                      <w:shd w:val="clear"/>
                      <w:lang w:val="en-US" w:eastAsia="zh-CN"/>
                    </w:rPr>
                    <w:t>项目。</w:t>
                  </w:r>
                </w:p>
                <w:p w14:paraId="2FA7022F">
                  <w:pPr>
                    <w:pStyle w:val="92"/>
                    <w:keepNext w:val="0"/>
                    <w:keepLines w:val="0"/>
                    <w:widowControl/>
                    <w:suppressLineNumbers w:val="0"/>
                    <w:spacing w:before="0" w:beforeAutospacing="0" w:after="0" w:afterAutospacing="0"/>
                    <w:ind w:left="0" w:right="0"/>
                    <w:jc w:val="both"/>
                    <w:rPr>
                      <w:rFonts w:hint="eastAsia"/>
                      <w:color w:val="auto"/>
                      <w:shd w:val="clear"/>
                      <w:lang w:val="en-US" w:eastAsia="zh-CN"/>
                    </w:rPr>
                  </w:pPr>
                  <w:r>
                    <w:rPr>
                      <w:rFonts w:hint="eastAsia"/>
                      <w:color w:val="auto"/>
                      <w:shd w:val="clear"/>
                      <w:lang w:val="en-US" w:eastAsia="zh-CN"/>
                    </w:rPr>
                    <w:t>4.项目不属于氟化工、印染、电镀等行业。</w:t>
                  </w:r>
                </w:p>
                <w:p w14:paraId="70034E56">
                  <w:pPr>
                    <w:pStyle w:val="92"/>
                    <w:keepNext w:val="0"/>
                    <w:keepLines w:val="0"/>
                    <w:widowControl/>
                    <w:suppressLineNumbers w:val="0"/>
                    <w:spacing w:before="0" w:beforeAutospacing="0" w:after="0" w:afterAutospacing="0"/>
                    <w:ind w:left="0" w:right="0"/>
                    <w:jc w:val="both"/>
                    <w:rPr>
                      <w:rFonts w:hint="eastAsia"/>
                      <w:color w:val="auto"/>
                      <w:shd w:val="clear"/>
                      <w:lang w:val="en-US" w:eastAsia="zh-CN"/>
                    </w:rPr>
                  </w:pPr>
                  <w:r>
                    <w:rPr>
                      <w:rFonts w:hint="eastAsia"/>
                      <w:color w:val="auto"/>
                      <w:shd w:val="clear"/>
                      <w:lang w:val="en-US" w:eastAsia="zh-CN"/>
                    </w:rPr>
                    <w:t>5.项目不属于重点行业建设项目。</w:t>
                  </w:r>
                </w:p>
                <w:p w14:paraId="214BFEED">
                  <w:pPr>
                    <w:pStyle w:val="92"/>
                    <w:keepNext w:val="0"/>
                    <w:keepLines w:val="0"/>
                    <w:widowControl/>
                    <w:suppressLineNumbers w:val="0"/>
                    <w:spacing w:before="0" w:beforeAutospacing="0" w:after="0" w:afterAutospacing="0"/>
                    <w:ind w:left="0" w:right="0"/>
                    <w:jc w:val="both"/>
                    <w:rPr>
                      <w:rFonts w:hint="eastAsia"/>
                      <w:color w:val="auto"/>
                      <w:shd w:val="clear"/>
                      <w:lang w:val="en-US" w:eastAsia="zh-CN"/>
                    </w:rPr>
                  </w:pPr>
                  <w:r>
                    <w:rPr>
                      <w:rFonts w:hint="eastAsia"/>
                      <w:color w:val="auto"/>
                      <w:shd w:val="clear"/>
                      <w:lang w:val="en-US" w:eastAsia="zh-CN"/>
                    </w:rPr>
                    <w:t>6.项目不涉及燃煤锅炉。</w:t>
                  </w:r>
                </w:p>
                <w:p w14:paraId="71282F3F">
                  <w:pPr>
                    <w:pStyle w:val="92"/>
                    <w:keepNext w:val="0"/>
                    <w:keepLines w:val="0"/>
                    <w:widowControl/>
                    <w:suppressLineNumbers w:val="0"/>
                    <w:spacing w:before="0" w:beforeAutospacing="0" w:after="0" w:afterAutospacing="0"/>
                    <w:ind w:left="0" w:right="0"/>
                    <w:jc w:val="both"/>
                    <w:rPr>
                      <w:rFonts w:hint="eastAsia"/>
                      <w:color w:val="auto"/>
                      <w:shd w:val="clear"/>
                      <w:lang w:val="en-US" w:eastAsia="zh-CN"/>
                    </w:rPr>
                  </w:pPr>
                  <w:r>
                    <w:rPr>
                      <w:rFonts w:hint="eastAsia"/>
                      <w:color w:val="auto"/>
                      <w:shd w:val="clear"/>
                      <w:lang w:val="en-US" w:eastAsia="zh-CN"/>
                    </w:rPr>
                    <w:t>7.项目不属于水泥行业。</w:t>
                  </w:r>
                </w:p>
                <w:p w14:paraId="70897136">
                  <w:pPr>
                    <w:pStyle w:val="92"/>
                    <w:keepNext w:val="0"/>
                    <w:keepLines w:val="0"/>
                    <w:widowControl/>
                    <w:suppressLineNumbers w:val="0"/>
                    <w:spacing w:before="0" w:beforeAutospacing="0" w:after="0" w:afterAutospacing="0"/>
                    <w:ind w:left="0" w:right="0"/>
                    <w:jc w:val="both"/>
                    <w:rPr>
                      <w:rFonts w:hint="default"/>
                      <w:color w:val="auto"/>
                      <w:shd w:val="clear"/>
                      <w:lang w:val="en-US" w:eastAsia="zh-CN"/>
                    </w:rPr>
                  </w:pPr>
                  <w:r>
                    <w:rPr>
                      <w:rFonts w:hint="eastAsia"/>
                      <w:color w:val="auto"/>
                      <w:shd w:val="clear"/>
                      <w:lang w:val="en-US" w:eastAsia="zh-CN"/>
                    </w:rPr>
                    <w:t>8.项目不位于化工园区，不属于印染、</w:t>
                  </w:r>
                  <w:r>
                    <w:rPr>
                      <w:rFonts w:hint="eastAsia"/>
                      <w:vertAlign w:val="baseline"/>
                      <w:lang w:val="en-US" w:eastAsia="zh-CN"/>
                    </w:rPr>
                    <w:t>皮革、农药、医药、涂料等行业。不涉及废药品、废农药以及抗生素生产过程中产生的废母液、废反应基和废培养基等废物。</w:t>
                  </w:r>
                </w:p>
              </w:tc>
              <w:tc>
                <w:tcPr>
                  <w:tcW w:w="666" w:type="dxa"/>
                  <w:tcBorders>
                    <w:tl2br w:val="nil"/>
                    <w:tr2bl w:val="nil"/>
                  </w:tcBorders>
                  <w:shd w:val="clear" w:color="auto" w:fill="auto"/>
                  <w:vAlign w:val="center"/>
                </w:tcPr>
                <w:p w14:paraId="280B69F3">
                  <w:pPr>
                    <w:pStyle w:val="92"/>
                    <w:keepNext w:val="0"/>
                    <w:keepLines w:val="0"/>
                    <w:widowControl/>
                    <w:suppressLineNumbers w:val="0"/>
                    <w:spacing w:before="0" w:beforeAutospacing="0" w:after="0" w:afterAutospacing="0"/>
                    <w:ind w:left="0" w:right="0"/>
                    <w:rPr>
                      <w:rFonts w:hint="default"/>
                      <w:color w:val="auto"/>
                      <w:lang w:val="en-US"/>
                    </w:rPr>
                  </w:pPr>
                  <w:r>
                    <w:rPr>
                      <w:rFonts w:hint="eastAsia" w:ascii="Times New Roman" w:hAnsi="Times New Roman" w:eastAsia="宋体" w:cs="宋体"/>
                      <w:color w:val="auto"/>
                    </w:rPr>
                    <w:t>符合</w:t>
                  </w:r>
                </w:p>
              </w:tc>
            </w:tr>
            <w:tr w14:paraId="211E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14:paraId="2E7FD29E">
                  <w:pPr>
                    <w:pStyle w:val="92"/>
                    <w:keepNext w:val="0"/>
                    <w:keepLines w:val="0"/>
                    <w:widowControl/>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环境风险防控</w:t>
                  </w:r>
                </w:p>
              </w:tc>
              <w:tc>
                <w:tcPr>
                  <w:tcW w:w="3887" w:type="dxa"/>
                  <w:tcBorders>
                    <w:tl2br w:val="nil"/>
                    <w:tr2bl w:val="nil"/>
                  </w:tcBorders>
                  <w:shd w:val="clear" w:color="auto" w:fill="auto"/>
                  <w:vAlign w:val="top"/>
                </w:tcPr>
                <w:p w14:paraId="75242B2F">
                  <w:pPr>
                    <w:pStyle w:val="92"/>
                    <w:keepNext w:val="0"/>
                    <w:keepLines w:val="0"/>
                    <w:widowControl/>
                    <w:suppressLineNumbers w:val="0"/>
                    <w:spacing w:before="0" w:beforeAutospacing="0" w:after="0" w:afterAutospacing="0"/>
                    <w:ind w:left="0" w:right="0"/>
                    <w:jc w:val="both"/>
                    <w:rPr>
                      <w:rFonts w:hint="eastAsia" w:cs="宋体"/>
                      <w:color w:val="auto"/>
                      <w:lang w:val="en-US" w:eastAsia="zh-CN"/>
                    </w:rPr>
                  </w:pPr>
                </w:p>
                <w:p w14:paraId="1982B5BF">
                  <w:pPr>
                    <w:pStyle w:val="92"/>
                    <w:keepNext w:val="0"/>
                    <w:keepLines w:val="0"/>
                    <w:widowControl/>
                    <w:suppressLineNumbers w:val="0"/>
                    <w:spacing w:before="0" w:beforeAutospacing="0" w:after="0" w:afterAutospacing="0"/>
                    <w:ind w:right="0"/>
                    <w:jc w:val="center"/>
                    <w:rPr>
                      <w:rFonts w:hint="eastAsia" w:ascii="Times New Roman" w:hAnsi="Times New Roman" w:eastAsia="宋体" w:cs="宋体"/>
                      <w:color w:val="auto"/>
                      <w:lang w:val="en-US" w:eastAsia="zh-CN"/>
                    </w:rPr>
                  </w:pPr>
                  <w:r>
                    <w:rPr>
                      <w:rFonts w:hint="eastAsia" w:cs="宋体"/>
                      <w:color w:val="auto"/>
                      <w:lang w:val="en-US" w:eastAsia="zh-CN"/>
                    </w:rPr>
                    <w:t>无</w:t>
                  </w:r>
                </w:p>
              </w:tc>
              <w:tc>
                <w:tcPr>
                  <w:tcW w:w="1736" w:type="dxa"/>
                  <w:tcBorders>
                    <w:tl2br w:val="nil"/>
                    <w:tr2bl w:val="nil"/>
                  </w:tcBorders>
                  <w:shd w:val="clear" w:color="auto" w:fill="auto"/>
                  <w:vAlign w:val="center"/>
                </w:tcPr>
                <w:p w14:paraId="59C497F9">
                  <w:pPr>
                    <w:pStyle w:val="92"/>
                    <w:keepNext w:val="0"/>
                    <w:keepLines w:val="0"/>
                    <w:widowControl/>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w:t>
                  </w:r>
                </w:p>
              </w:tc>
              <w:tc>
                <w:tcPr>
                  <w:tcW w:w="666" w:type="dxa"/>
                  <w:tcBorders>
                    <w:tl2br w:val="nil"/>
                    <w:tr2bl w:val="nil"/>
                  </w:tcBorders>
                  <w:shd w:val="clear" w:color="auto" w:fill="auto"/>
                  <w:vAlign w:val="center"/>
                </w:tcPr>
                <w:p w14:paraId="017CC577">
                  <w:pPr>
                    <w:pStyle w:val="92"/>
                    <w:keepNext w:val="0"/>
                    <w:keepLines w:val="0"/>
                    <w:widowControl/>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419D5F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14:paraId="23323E4D">
                  <w:pPr>
                    <w:pStyle w:val="92"/>
                    <w:keepNext w:val="0"/>
                    <w:keepLines w:val="0"/>
                    <w:widowControl/>
                    <w:suppressLineNumbers w:val="0"/>
                    <w:spacing w:before="0" w:beforeAutospacing="0" w:after="0" w:afterAutospacing="0"/>
                    <w:ind w:left="0" w:right="0"/>
                    <w:rPr>
                      <w:rFonts w:hint="eastAsia" w:ascii="Times New Roman" w:hAnsi="Times New Roman" w:eastAsia="宋体" w:cs="宋体"/>
                      <w:color w:val="auto"/>
                    </w:rPr>
                  </w:pPr>
                  <w:r>
                    <w:rPr>
                      <w:rFonts w:hint="eastAsia" w:ascii="Times New Roman" w:hAnsi="Times New Roman" w:eastAsia="宋体" w:cs="宋体"/>
                      <w:color w:val="auto"/>
                    </w:rPr>
                    <w:t>资源开发效率要求</w:t>
                  </w:r>
                </w:p>
              </w:tc>
              <w:tc>
                <w:tcPr>
                  <w:tcW w:w="3887" w:type="dxa"/>
                  <w:tcBorders>
                    <w:tl2br w:val="nil"/>
                    <w:tr2bl w:val="nil"/>
                  </w:tcBorders>
                  <w:shd w:val="clear" w:color="auto" w:fill="auto"/>
                  <w:vAlign w:val="top"/>
                </w:tcPr>
                <w:p w14:paraId="5E96F70D">
                  <w:pPr>
                    <w:pStyle w:val="92"/>
                    <w:keepNext w:val="0"/>
                    <w:keepLines w:val="0"/>
                    <w:widowControl/>
                    <w:suppressLineNumbers w:val="0"/>
                    <w:spacing w:before="0" w:beforeAutospacing="0" w:after="0" w:afterAutospacing="0"/>
                    <w:ind w:left="0" w:right="0"/>
                    <w:rPr>
                      <w:rFonts w:hint="eastAsia"/>
                      <w:vertAlign w:val="baseline"/>
                      <w:lang w:val="en-US" w:eastAsia="zh-CN"/>
                    </w:rPr>
                  </w:pPr>
                  <w:r>
                    <w:rPr>
                      <w:rFonts w:hint="eastAsia"/>
                      <w:vertAlign w:val="baseline"/>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08FED5B">
                  <w:pPr>
                    <w:pStyle w:val="92"/>
                    <w:keepNext w:val="0"/>
                    <w:keepLines w:val="0"/>
                    <w:widowControl/>
                    <w:suppressLineNumbers w:val="0"/>
                    <w:spacing w:before="0" w:beforeAutospacing="0" w:after="0" w:afterAutospacing="0"/>
                    <w:ind w:left="0" w:right="0"/>
                    <w:rPr>
                      <w:rFonts w:hint="default" w:ascii="Times New Roman" w:hAnsi="Times New Roman" w:eastAsia="宋体" w:cs="宋体"/>
                      <w:color w:val="auto"/>
                      <w:lang w:val="en-US" w:eastAsia="en-US"/>
                    </w:rPr>
                  </w:pPr>
                  <w:r>
                    <w:rPr>
                      <w:rFonts w:hint="eastAsia"/>
                      <w:vertAlign w:val="baseline"/>
                      <w:lang w:val="en-US" w:eastAsia="zh-CN"/>
                    </w:rPr>
                    <w:t>2.按照“提气、转电、控煤”的发展思路，推动陶瓷行业进一步优化用能结构，实现能源消费清洁低碳化。</w:t>
                  </w:r>
                </w:p>
              </w:tc>
              <w:tc>
                <w:tcPr>
                  <w:tcW w:w="1736" w:type="dxa"/>
                  <w:tcBorders>
                    <w:tl2br w:val="nil"/>
                    <w:tr2bl w:val="nil"/>
                  </w:tcBorders>
                  <w:shd w:val="clear" w:color="auto" w:fill="auto"/>
                  <w:vAlign w:val="center"/>
                </w:tcPr>
                <w:p w14:paraId="1C01E140">
                  <w:pPr>
                    <w:pStyle w:val="92"/>
                    <w:keepNext w:val="0"/>
                    <w:keepLines w:val="0"/>
                    <w:widowControl/>
                    <w:suppressLineNumbers w:val="0"/>
                    <w:spacing w:before="0" w:beforeAutospacing="0" w:after="0" w:afterAutospacing="0"/>
                    <w:ind w:left="0" w:right="0"/>
                    <w:jc w:val="both"/>
                    <w:rPr>
                      <w:rFonts w:hint="eastAsia"/>
                      <w:color w:val="auto"/>
                      <w:shd w:val="clear"/>
                      <w:lang w:val="en-US" w:eastAsia="zh-CN"/>
                    </w:rPr>
                  </w:pPr>
                  <w:r>
                    <w:rPr>
                      <w:rFonts w:hint="eastAsia"/>
                      <w:color w:val="auto"/>
                      <w:shd w:val="clear"/>
                      <w:lang w:val="en-US" w:eastAsia="zh-CN"/>
                    </w:rPr>
                    <w:t>1.本项目不涉及左列锅炉且本项目采用电能、天然气作为燃料，属于清洁能源。</w:t>
                  </w:r>
                </w:p>
                <w:p w14:paraId="4628FB2A">
                  <w:pPr>
                    <w:pStyle w:val="92"/>
                    <w:keepNext w:val="0"/>
                    <w:keepLines w:val="0"/>
                    <w:widowControl/>
                    <w:suppressLineNumbers w:val="0"/>
                    <w:spacing w:before="0" w:beforeAutospacing="0" w:after="0" w:afterAutospacing="0"/>
                    <w:ind w:left="0" w:right="0"/>
                    <w:jc w:val="both"/>
                    <w:rPr>
                      <w:rFonts w:hint="default"/>
                      <w:color w:val="auto"/>
                      <w:shd w:val="clear"/>
                      <w:lang w:val="en-US" w:eastAsia="zh-CN"/>
                    </w:rPr>
                  </w:pPr>
                  <w:r>
                    <w:rPr>
                      <w:rFonts w:hint="eastAsia"/>
                      <w:color w:val="auto"/>
                      <w:shd w:val="clear"/>
                      <w:lang w:val="en-US" w:eastAsia="zh-CN"/>
                    </w:rPr>
                    <w:t>2.项目不属于陶瓷行业。</w:t>
                  </w:r>
                </w:p>
              </w:tc>
              <w:tc>
                <w:tcPr>
                  <w:tcW w:w="666" w:type="dxa"/>
                  <w:tcBorders>
                    <w:tl2br w:val="nil"/>
                    <w:tr2bl w:val="nil"/>
                  </w:tcBorders>
                  <w:shd w:val="clear" w:color="auto" w:fill="auto"/>
                  <w:vAlign w:val="center"/>
                </w:tcPr>
                <w:p w14:paraId="78B45870">
                  <w:pPr>
                    <w:pStyle w:val="92"/>
                    <w:keepNext w:val="0"/>
                    <w:keepLines w:val="0"/>
                    <w:widowControl/>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rPr>
                    <w:t>符合</w:t>
                  </w:r>
                </w:p>
              </w:tc>
            </w:tr>
            <w:tr w14:paraId="76D29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09" w:type="dxa"/>
                  <w:tcBorders>
                    <w:tl2br w:val="nil"/>
                    <w:tr2bl w:val="nil"/>
                  </w:tcBorders>
                  <w:shd w:val="clear" w:color="auto" w:fill="auto"/>
                  <w:vAlign w:val="center"/>
                </w:tcPr>
                <w:p w14:paraId="3D9365E4">
                  <w:pPr>
                    <w:pStyle w:val="92"/>
                    <w:keepNext w:val="0"/>
                    <w:keepLines w:val="0"/>
                    <w:widowControl/>
                    <w:suppressLineNumbers w:val="0"/>
                    <w:spacing w:before="0" w:beforeAutospacing="0" w:after="0" w:afterAutospacing="0"/>
                    <w:ind w:left="0" w:right="0"/>
                    <w:rPr>
                      <w:rFonts w:hint="eastAsia" w:ascii="Times New Roman" w:hAnsi="Times New Roman" w:eastAsia="宋体" w:cs="宋体"/>
                      <w:color w:val="auto"/>
                    </w:rPr>
                  </w:pPr>
                  <w:r>
                    <w:rPr>
                      <w:rFonts w:hint="eastAsia"/>
                      <w:color w:val="auto"/>
                      <w:vertAlign w:val="baseline"/>
                      <w:lang w:val="en-US" w:eastAsia="zh-CN"/>
                    </w:rPr>
                    <w:t>城镇生活类重点管控单元</w:t>
                  </w:r>
                </w:p>
              </w:tc>
              <w:tc>
                <w:tcPr>
                  <w:tcW w:w="3887" w:type="dxa"/>
                  <w:tcBorders>
                    <w:tl2br w:val="nil"/>
                    <w:tr2bl w:val="nil"/>
                  </w:tcBorders>
                  <w:shd w:val="clear" w:color="auto" w:fill="auto"/>
                  <w:vAlign w:val="top"/>
                </w:tcPr>
                <w:p w14:paraId="6F061104">
                  <w:pPr>
                    <w:pStyle w:val="92"/>
                    <w:keepNext w:val="0"/>
                    <w:keepLines w:val="0"/>
                    <w:widowControl/>
                    <w:suppressLineNumbers w:val="0"/>
                    <w:spacing w:before="0" w:beforeAutospacing="0" w:after="0" w:afterAutospacing="0"/>
                    <w:ind w:left="0" w:right="0"/>
                    <w:jc w:val="left"/>
                    <w:rPr>
                      <w:rFonts w:hint="eastAsia"/>
                      <w:color w:val="auto"/>
                      <w:vertAlign w:val="baseline"/>
                      <w:lang w:val="en-US" w:eastAsia="zh-CN"/>
                    </w:rPr>
                  </w:pPr>
                  <w:r>
                    <w:rPr>
                      <w:rFonts w:hint="eastAsia"/>
                      <w:color w:val="auto"/>
                      <w:vertAlign w:val="baseline"/>
                      <w:lang w:val="en-US" w:eastAsia="zh-CN"/>
                    </w:rPr>
                    <w:t>1、空间布局约束</w:t>
                  </w:r>
                </w:p>
                <w:p w14:paraId="41A58812">
                  <w:pPr>
                    <w:pStyle w:val="92"/>
                    <w:keepNext w:val="0"/>
                    <w:keepLines w:val="0"/>
                    <w:widowControl/>
                    <w:suppressLineNumbers w:val="0"/>
                    <w:spacing w:before="0" w:beforeAutospacing="0" w:after="0" w:afterAutospacing="0"/>
                    <w:ind w:left="0" w:right="0"/>
                    <w:jc w:val="left"/>
                    <w:rPr>
                      <w:rFonts w:hint="eastAsia"/>
                      <w:color w:val="auto"/>
                      <w:vertAlign w:val="baseline"/>
                      <w:lang w:val="en-US" w:eastAsia="zh-CN"/>
                    </w:rPr>
                  </w:pPr>
                  <w:r>
                    <w:rPr>
                      <w:rFonts w:hint="eastAsia"/>
                      <w:color w:val="auto"/>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p w14:paraId="7D8A35CE">
                  <w:pPr>
                    <w:pStyle w:val="92"/>
                    <w:keepNext w:val="0"/>
                    <w:keepLines w:val="0"/>
                    <w:widowControl/>
                    <w:suppressLineNumbers w:val="0"/>
                    <w:spacing w:before="0" w:beforeAutospacing="0" w:after="0" w:afterAutospacing="0"/>
                    <w:ind w:left="0" w:right="0"/>
                    <w:jc w:val="left"/>
                    <w:rPr>
                      <w:rFonts w:hint="eastAsia"/>
                      <w:color w:val="auto"/>
                      <w:vertAlign w:val="baseline"/>
                      <w:lang w:val="en-US" w:eastAsia="zh-CN"/>
                    </w:rPr>
                  </w:pPr>
                  <w:r>
                    <w:rPr>
                      <w:rFonts w:hint="eastAsia"/>
                      <w:color w:val="auto"/>
                      <w:vertAlign w:val="baseline"/>
                      <w:lang w:val="en-US" w:eastAsia="zh-CN"/>
                    </w:rPr>
                    <w:t>2、污染物排放管控</w:t>
                  </w:r>
                </w:p>
                <w:p w14:paraId="3FF83310">
                  <w:pPr>
                    <w:pStyle w:val="92"/>
                    <w:keepNext w:val="0"/>
                    <w:keepLines w:val="0"/>
                    <w:widowControl/>
                    <w:suppressLineNumbers w:val="0"/>
                    <w:spacing w:before="0" w:beforeAutospacing="0" w:after="0" w:afterAutospacing="0"/>
                    <w:ind w:left="0" w:right="0"/>
                    <w:jc w:val="left"/>
                    <w:rPr>
                      <w:rFonts w:hint="eastAsia"/>
                      <w:color w:val="auto"/>
                      <w:vertAlign w:val="baseline"/>
                      <w:lang w:val="en-US" w:eastAsia="zh-CN"/>
                    </w:rPr>
                  </w:pPr>
                  <w:r>
                    <w:rPr>
                      <w:rFonts w:hint="eastAsia"/>
                      <w:color w:val="auto"/>
                      <w:vertAlign w:val="baseline"/>
                      <w:lang w:val="en-US" w:eastAsia="zh-CN"/>
                    </w:rPr>
                    <w:t>在城市建成区新建大气污染型项目，二氧化硫、氮氧化物排放量应实行倍量削减替代。</w:t>
                  </w:r>
                </w:p>
                <w:p w14:paraId="530070F5">
                  <w:pPr>
                    <w:pStyle w:val="92"/>
                    <w:keepNext w:val="0"/>
                    <w:keepLines w:val="0"/>
                    <w:widowControl/>
                    <w:suppressLineNumbers w:val="0"/>
                    <w:spacing w:before="0" w:beforeAutospacing="0" w:after="0" w:afterAutospacing="0"/>
                    <w:ind w:left="0" w:right="0"/>
                    <w:jc w:val="left"/>
                    <w:rPr>
                      <w:rFonts w:hint="eastAsia"/>
                      <w:color w:val="auto"/>
                      <w:vertAlign w:val="baseline"/>
                      <w:lang w:val="en-US" w:eastAsia="zh-CN"/>
                    </w:rPr>
                  </w:pPr>
                  <w:r>
                    <w:rPr>
                      <w:rFonts w:hint="eastAsia"/>
                      <w:color w:val="auto"/>
                      <w:vertAlign w:val="baseline"/>
                      <w:lang w:val="en-US" w:eastAsia="zh-CN"/>
                    </w:rPr>
                    <w:t>3、环境风险防控</w:t>
                  </w:r>
                </w:p>
                <w:p w14:paraId="3DC5E298">
                  <w:pPr>
                    <w:pStyle w:val="92"/>
                    <w:keepNext w:val="0"/>
                    <w:keepLines w:val="0"/>
                    <w:widowControl/>
                    <w:suppressLineNumbers w:val="0"/>
                    <w:spacing w:before="0" w:beforeAutospacing="0" w:after="0" w:afterAutospacing="0"/>
                    <w:ind w:left="0" w:right="0"/>
                    <w:jc w:val="left"/>
                    <w:rPr>
                      <w:rFonts w:hint="eastAsia"/>
                      <w:color w:val="auto"/>
                      <w:vertAlign w:val="baseline"/>
                      <w:lang w:val="en-US" w:eastAsia="zh-CN"/>
                    </w:rPr>
                  </w:pPr>
                  <w:r>
                    <w:rPr>
                      <w:rFonts w:hint="eastAsia"/>
                      <w:color w:val="auto"/>
                      <w:vertAlign w:val="baseline"/>
                      <w:lang w:val="en-US" w:eastAsia="zh-CN"/>
                    </w:rPr>
                    <w:t>无</w:t>
                  </w:r>
                </w:p>
                <w:p w14:paraId="6D7A8D1A">
                  <w:pPr>
                    <w:pStyle w:val="92"/>
                    <w:keepNext w:val="0"/>
                    <w:keepLines w:val="0"/>
                    <w:widowControl/>
                    <w:suppressLineNumbers w:val="0"/>
                    <w:spacing w:before="0" w:beforeAutospacing="0" w:after="0" w:afterAutospacing="0"/>
                    <w:ind w:left="0" w:right="0"/>
                    <w:jc w:val="left"/>
                    <w:rPr>
                      <w:rFonts w:hint="eastAsia"/>
                      <w:color w:val="auto"/>
                      <w:vertAlign w:val="baseline"/>
                      <w:lang w:val="en-US" w:eastAsia="zh-CN"/>
                    </w:rPr>
                  </w:pPr>
                  <w:r>
                    <w:rPr>
                      <w:rFonts w:hint="eastAsia"/>
                      <w:color w:val="auto"/>
                      <w:vertAlign w:val="baseline"/>
                      <w:lang w:val="en-US" w:eastAsia="zh-CN"/>
                    </w:rPr>
                    <w:t>4、资源开发效率要求</w:t>
                  </w:r>
                </w:p>
                <w:p w14:paraId="1909F0D2">
                  <w:pPr>
                    <w:pStyle w:val="92"/>
                    <w:keepNext w:val="0"/>
                    <w:keepLines w:val="0"/>
                    <w:widowControl/>
                    <w:suppressLineNumbers w:val="0"/>
                    <w:spacing w:before="0" w:beforeAutospacing="0" w:after="0" w:afterAutospacing="0"/>
                    <w:ind w:left="0" w:right="0"/>
                    <w:jc w:val="left"/>
                    <w:rPr>
                      <w:rFonts w:hint="eastAsia"/>
                      <w:color w:val="auto"/>
                      <w:vertAlign w:val="baseline"/>
                      <w:lang w:val="en-US" w:eastAsia="zh-CN"/>
                    </w:rPr>
                  </w:pPr>
                  <w:r>
                    <w:rPr>
                      <w:rFonts w:hint="eastAsia"/>
                      <w:color w:val="auto"/>
                      <w:vertAlign w:val="baseline"/>
                      <w:lang w:val="en-US" w:eastAsia="zh-CN"/>
                    </w:rPr>
                    <w:t>无</w:t>
                  </w:r>
                </w:p>
              </w:tc>
              <w:tc>
                <w:tcPr>
                  <w:tcW w:w="1736" w:type="dxa"/>
                  <w:tcBorders>
                    <w:tl2br w:val="nil"/>
                    <w:tr2bl w:val="nil"/>
                  </w:tcBorders>
                  <w:shd w:val="clear" w:color="auto" w:fill="auto"/>
                  <w:vAlign w:val="center"/>
                </w:tcPr>
                <w:p w14:paraId="73EB0DB5">
                  <w:pPr>
                    <w:pStyle w:val="92"/>
                    <w:keepNext w:val="0"/>
                    <w:keepLines w:val="0"/>
                    <w:widowControl/>
                    <w:suppressLineNumbers w:val="0"/>
                    <w:spacing w:before="0" w:beforeAutospacing="0" w:after="0" w:afterAutospacing="0"/>
                    <w:ind w:left="0" w:right="0"/>
                    <w:jc w:val="both"/>
                    <w:rPr>
                      <w:rFonts w:hint="eastAsia"/>
                      <w:color w:val="auto"/>
                      <w:shd w:val="clear"/>
                      <w:lang w:val="en-US" w:eastAsia="zh-CN"/>
                    </w:rPr>
                  </w:pPr>
                  <w:r>
                    <w:rPr>
                      <w:rFonts w:hint="eastAsia"/>
                      <w:color w:val="auto"/>
                      <w:shd w:val="clear"/>
                      <w:lang w:val="en-US" w:eastAsia="zh-CN"/>
                    </w:rPr>
                    <w:t>1.项目不属于危险化学品生产企业。</w:t>
                  </w:r>
                </w:p>
                <w:p w14:paraId="1D848209">
                  <w:pPr>
                    <w:pStyle w:val="92"/>
                    <w:keepNext w:val="0"/>
                    <w:keepLines w:val="0"/>
                    <w:widowControl/>
                    <w:suppressLineNumbers w:val="0"/>
                    <w:spacing w:before="0" w:beforeAutospacing="0" w:after="0" w:afterAutospacing="0"/>
                    <w:ind w:left="0" w:right="0"/>
                    <w:jc w:val="both"/>
                    <w:rPr>
                      <w:rFonts w:hint="default"/>
                      <w:color w:val="auto"/>
                      <w:shd w:val="clear"/>
                      <w:lang w:val="en-US" w:eastAsia="zh-CN"/>
                    </w:rPr>
                  </w:pPr>
                  <w:r>
                    <w:rPr>
                      <w:rFonts w:hint="eastAsia"/>
                      <w:color w:val="auto"/>
                      <w:shd w:val="clear"/>
                      <w:lang w:val="en-US" w:eastAsia="zh-CN"/>
                    </w:rPr>
                    <w:t>2.项目不属于城市建成区且项目</w:t>
                  </w:r>
                  <w:r>
                    <w:rPr>
                      <w:rFonts w:hint="eastAsia"/>
                      <w:color w:val="auto"/>
                      <w:lang w:val="en-US" w:eastAsia="zh-CN"/>
                    </w:rPr>
                    <w:t>建设单位将严格按照文件规定要求对</w:t>
                  </w:r>
                  <w:r>
                    <w:rPr>
                      <w:rFonts w:hint="eastAsia"/>
                      <w:color w:val="auto"/>
                      <w:vertAlign w:val="baseline"/>
                      <w:lang w:val="en-US" w:eastAsia="zh-CN"/>
                    </w:rPr>
                    <w:t>大气污染物二氧化硫、氮氧化物进行申请购买。</w:t>
                  </w:r>
                </w:p>
              </w:tc>
              <w:tc>
                <w:tcPr>
                  <w:tcW w:w="666" w:type="dxa"/>
                  <w:tcBorders>
                    <w:tl2br w:val="nil"/>
                    <w:tr2bl w:val="nil"/>
                  </w:tcBorders>
                  <w:shd w:val="clear" w:color="auto" w:fill="auto"/>
                  <w:vAlign w:val="center"/>
                </w:tcPr>
                <w:p w14:paraId="545FDBE7">
                  <w:pPr>
                    <w:pStyle w:val="92"/>
                    <w:keepNext w:val="0"/>
                    <w:keepLines w:val="0"/>
                    <w:widowControl/>
                    <w:suppressLineNumbers w:val="0"/>
                    <w:spacing w:before="0" w:beforeAutospacing="0" w:after="0" w:afterAutospacing="0"/>
                    <w:ind w:left="0" w:leftChars="0" w:right="0" w:rightChars="0"/>
                    <w:rPr>
                      <w:rFonts w:hint="eastAsia" w:ascii="Times New Roman" w:hAnsi="Times New Roman" w:eastAsia="宋体" w:cs="宋体"/>
                      <w:color w:val="auto"/>
                    </w:rPr>
                  </w:pPr>
                  <w:r>
                    <w:rPr>
                      <w:rFonts w:hint="eastAsia" w:ascii="Times New Roman" w:hAnsi="Times New Roman" w:eastAsia="宋体" w:cs="宋体"/>
                      <w:color w:val="auto"/>
                    </w:rPr>
                    <w:t>符合</w:t>
                  </w:r>
                </w:p>
              </w:tc>
            </w:tr>
          </w:tbl>
          <w:p w14:paraId="58942419">
            <w:pPr>
              <w:numPr>
                <w:ilvl w:val="0"/>
                <w:numId w:val="0"/>
              </w:numPr>
              <w:spacing w:before="120" w:beforeLines="50"/>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Calibri"/>
                <w:color w:val="auto"/>
                <w:kern w:val="2"/>
                <w:sz w:val="24"/>
                <w:szCs w:val="24"/>
                <w:lang w:val="en-US" w:eastAsia="zh-CN" w:bidi="ar-SA"/>
              </w:rPr>
              <w:t>②</w:t>
            </w:r>
            <w:r>
              <w:rPr>
                <w:rFonts w:hint="eastAsia" w:ascii="Times New Roman" w:hAnsi="Times New Roman" w:eastAsia="宋体" w:cs="Times New Roman"/>
                <w:color w:val="auto"/>
                <w:kern w:val="2"/>
                <w:sz w:val="24"/>
                <w:szCs w:val="24"/>
                <w:lang w:val="en-US" w:eastAsia="zh-CN" w:bidi="ar-SA"/>
              </w:rPr>
              <w:t>与福清市生态环境准入清单符合性分析</w:t>
            </w:r>
          </w:p>
          <w:p w14:paraId="0BB12885">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jc w:val="center"/>
              <w:textAlignment w:val="auto"/>
              <w:rPr>
                <w:rFonts w:hint="default" w:eastAsia="宋体"/>
                <w:color w:val="auto"/>
                <w:lang w:val="en-US" w:eastAsia="zh-CN"/>
              </w:rPr>
            </w:pPr>
            <w:r>
              <w:rPr>
                <w:rFonts w:hint="eastAsia" w:eastAsia="宋体"/>
                <w:color w:val="auto"/>
                <w:lang w:val="en-US" w:eastAsia="zh-CN"/>
              </w:rPr>
              <w:t>本项目与福清市生态环境准入清单符合性分析</w:t>
            </w:r>
          </w:p>
          <w:tbl>
            <w:tblPr>
              <w:tblStyle w:val="3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40"/>
              <w:gridCol w:w="1061"/>
              <w:gridCol w:w="665"/>
              <w:gridCol w:w="410"/>
              <w:gridCol w:w="2015"/>
              <w:gridCol w:w="1868"/>
            </w:tblGrid>
            <w:tr w14:paraId="472AA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694" w:type="pct"/>
                  <w:tcBorders>
                    <w:tl2br w:val="nil"/>
                    <w:tr2bl w:val="nil"/>
                  </w:tcBorders>
                  <w:noWrap w:val="0"/>
                  <w:vAlign w:val="center"/>
                </w:tcPr>
                <w:p w14:paraId="3F15DB8C">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环境管控单元编码</w:t>
                  </w:r>
                </w:p>
              </w:tc>
              <w:tc>
                <w:tcPr>
                  <w:tcW w:w="765" w:type="pct"/>
                  <w:tcBorders>
                    <w:tl2br w:val="nil"/>
                    <w:tr2bl w:val="nil"/>
                  </w:tcBorders>
                  <w:noWrap w:val="0"/>
                  <w:vAlign w:val="center"/>
                </w:tcPr>
                <w:p w14:paraId="6322E4F6">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环境管控单元名称</w:t>
                  </w:r>
                </w:p>
              </w:tc>
              <w:tc>
                <w:tcPr>
                  <w:tcW w:w="500" w:type="pct"/>
                  <w:tcBorders>
                    <w:tl2br w:val="nil"/>
                    <w:tr2bl w:val="nil"/>
                  </w:tcBorders>
                  <w:noWrap w:val="0"/>
                  <w:vAlign w:val="center"/>
                </w:tcPr>
                <w:p w14:paraId="734700EF">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管控单元类别</w:t>
                  </w:r>
                </w:p>
              </w:tc>
              <w:tc>
                <w:tcPr>
                  <w:tcW w:w="1733" w:type="pct"/>
                  <w:gridSpan w:val="2"/>
                  <w:tcBorders>
                    <w:tl2br w:val="nil"/>
                    <w:tr2bl w:val="nil"/>
                  </w:tcBorders>
                  <w:noWrap w:val="0"/>
                  <w:vAlign w:val="center"/>
                </w:tcPr>
                <w:p w14:paraId="3E6C5E9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管控要求</w:t>
                  </w:r>
                </w:p>
              </w:tc>
              <w:tc>
                <w:tcPr>
                  <w:tcW w:w="1305" w:type="pct"/>
                  <w:tcBorders>
                    <w:tl2br w:val="nil"/>
                    <w:tr2bl w:val="nil"/>
                  </w:tcBorders>
                  <w:noWrap w:val="0"/>
                  <w:vAlign w:val="center"/>
                </w:tcPr>
                <w:p w14:paraId="3B218619">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符合性</w:t>
                  </w:r>
                </w:p>
              </w:tc>
            </w:tr>
            <w:tr w14:paraId="37664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8" w:hRule="atLeast"/>
              </w:trPr>
              <w:tc>
                <w:tcPr>
                  <w:tcW w:w="694" w:type="pct"/>
                  <w:vMerge w:val="restart"/>
                  <w:tcBorders>
                    <w:tl2br w:val="nil"/>
                    <w:tr2bl w:val="nil"/>
                  </w:tcBorders>
                  <w:noWrap w:val="0"/>
                  <w:vAlign w:val="center"/>
                </w:tcPr>
                <w:p w14:paraId="1B758522">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ZH35018120008</w:t>
                  </w:r>
                </w:p>
              </w:tc>
              <w:tc>
                <w:tcPr>
                  <w:tcW w:w="765" w:type="pct"/>
                  <w:vMerge w:val="restart"/>
                  <w:tcBorders>
                    <w:tl2br w:val="nil"/>
                    <w:tr2bl w:val="nil"/>
                  </w:tcBorders>
                  <w:noWrap w:val="0"/>
                  <w:vAlign w:val="center"/>
                </w:tcPr>
                <w:p w14:paraId="461D0B8C">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福清市重点管控单元1</w:t>
                  </w:r>
                </w:p>
              </w:tc>
              <w:tc>
                <w:tcPr>
                  <w:tcW w:w="500" w:type="pct"/>
                  <w:vMerge w:val="restart"/>
                  <w:tcBorders>
                    <w:tl2br w:val="nil"/>
                    <w:tr2bl w:val="nil"/>
                  </w:tcBorders>
                  <w:noWrap w:val="0"/>
                  <w:vAlign w:val="center"/>
                </w:tcPr>
                <w:p w14:paraId="46C86ACD">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重点管控单元</w:t>
                  </w:r>
                </w:p>
              </w:tc>
              <w:tc>
                <w:tcPr>
                  <w:tcW w:w="329" w:type="pct"/>
                  <w:tcBorders>
                    <w:tl2br w:val="nil"/>
                    <w:tr2bl w:val="nil"/>
                  </w:tcBorders>
                  <w:noWrap w:val="0"/>
                  <w:vAlign w:val="center"/>
                </w:tcPr>
                <w:p w14:paraId="177553D0">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空间布局约束</w:t>
                  </w:r>
                </w:p>
              </w:tc>
              <w:tc>
                <w:tcPr>
                  <w:tcW w:w="1404" w:type="pct"/>
                  <w:tcBorders>
                    <w:tl2br w:val="nil"/>
                    <w:tr2bl w:val="nil"/>
                  </w:tcBorders>
                  <w:noWrap w:val="0"/>
                  <w:vAlign w:val="center"/>
                </w:tcPr>
                <w:p w14:paraId="7FB7451A">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1681DABC">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2.严格控制包装印刷、工业涂装、制鞋等高VOCs排放的项目建设，相关新建项目必须进入工业园区。</w:t>
                  </w:r>
                </w:p>
                <w:p w14:paraId="7C268F8E">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3.禁止开发利用未经评估和无害化处理的列入建设用地污染地块名录及开发利用负面清单的土地。</w:t>
                  </w:r>
                </w:p>
              </w:tc>
              <w:tc>
                <w:tcPr>
                  <w:tcW w:w="1305" w:type="pct"/>
                  <w:tcBorders>
                    <w:tl2br w:val="nil"/>
                    <w:tr2bl w:val="nil"/>
                  </w:tcBorders>
                  <w:noWrap w:val="0"/>
                  <w:vAlign w:val="center"/>
                </w:tcPr>
                <w:p w14:paraId="775C6990">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1.本项目主要从事加工汽车座椅骨架，不属于有色金属、印染</w:t>
                  </w:r>
                  <w:r>
                    <w:rPr>
                      <w:rFonts w:hint="default" w:ascii="Times New Roman" w:hAnsi="Times New Roman" w:eastAsia="宋体" w:cs="Times New Roman"/>
                      <w:color w:val="auto"/>
                      <w:sz w:val="21"/>
                      <w:szCs w:val="21"/>
                      <w:highlight w:val="none"/>
                      <w:lang w:val="en-US" w:eastAsia="zh-CN"/>
                    </w:rPr>
                    <w:t>原料药制造、化工等企业</w:t>
                  </w:r>
                  <w:r>
                    <w:rPr>
                      <w:rFonts w:hint="eastAsia" w:ascii="Times New Roman" w:hAnsi="Times New Roman" w:eastAsia="宋体" w:cs="Times New Roman"/>
                      <w:color w:val="auto"/>
                      <w:sz w:val="21"/>
                      <w:szCs w:val="21"/>
                      <w:highlight w:val="none"/>
                      <w:lang w:val="en-US" w:eastAsia="zh-CN"/>
                    </w:rPr>
                    <w:t>；</w:t>
                  </w:r>
                </w:p>
                <w:p w14:paraId="7AB7DA51">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2.本项目使用低VOCs含量的原料，不属于</w:t>
                  </w:r>
                  <w:r>
                    <w:rPr>
                      <w:rFonts w:hint="default" w:ascii="Times New Roman" w:hAnsi="Times New Roman" w:eastAsia="宋体" w:cs="Times New Roman"/>
                      <w:color w:val="auto"/>
                      <w:sz w:val="21"/>
                      <w:szCs w:val="21"/>
                      <w:highlight w:val="none"/>
                      <w:lang w:val="en-US" w:eastAsia="zh-CN"/>
                    </w:rPr>
                    <w:t>高VOCs排放的项目</w:t>
                  </w:r>
                  <w:r>
                    <w:rPr>
                      <w:rFonts w:hint="eastAsia" w:ascii="Times New Roman" w:hAnsi="Times New Roman" w:eastAsia="宋体" w:cs="Times New Roman"/>
                      <w:color w:val="auto"/>
                      <w:sz w:val="21"/>
                      <w:szCs w:val="21"/>
                      <w:highlight w:val="none"/>
                      <w:lang w:val="en-US" w:eastAsia="zh-CN"/>
                    </w:rPr>
                    <w:t>；</w:t>
                  </w:r>
                </w:p>
                <w:p w14:paraId="24273DC1">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3.项目租赁</w:t>
                  </w:r>
                  <w:r>
                    <w:rPr>
                      <w:rFonts w:hint="eastAsia" w:cs="Times New Roman"/>
                      <w:color w:val="auto"/>
                      <w:sz w:val="21"/>
                      <w:szCs w:val="21"/>
                      <w:highlight w:val="none"/>
                      <w:lang w:val="en-US" w:eastAsia="zh-CN"/>
                    </w:rPr>
                    <w:t>福州鼎力机械有限公司</w:t>
                  </w:r>
                  <w:r>
                    <w:rPr>
                      <w:rFonts w:hint="eastAsia" w:ascii="Times New Roman" w:hAnsi="Times New Roman" w:eastAsia="宋体" w:cs="Times New Roman"/>
                      <w:color w:val="auto"/>
                      <w:sz w:val="21"/>
                      <w:szCs w:val="21"/>
                      <w:highlight w:val="none"/>
                      <w:lang w:val="en-US" w:eastAsia="zh-CN"/>
                    </w:rPr>
                    <w:t>现有厂房，不属于</w:t>
                  </w:r>
                  <w:r>
                    <w:rPr>
                      <w:rFonts w:hint="default" w:ascii="Times New Roman" w:hAnsi="Times New Roman" w:eastAsia="宋体" w:cs="Times New Roman"/>
                      <w:color w:val="auto"/>
                      <w:sz w:val="21"/>
                      <w:szCs w:val="21"/>
                      <w:highlight w:val="none"/>
                      <w:lang w:val="en-US" w:eastAsia="zh-CN"/>
                    </w:rPr>
                    <w:t>建设用地污染地块名录及开发利用负面清单的土地</w:t>
                  </w:r>
                  <w:r>
                    <w:rPr>
                      <w:rFonts w:hint="eastAsia" w:ascii="Times New Roman" w:hAnsi="Times New Roman" w:eastAsia="宋体" w:cs="Times New Roman"/>
                      <w:color w:val="auto"/>
                      <w:sz w:val="21"/>
                      <w:szCs w:val="21"/>
                      <w:highlight w:val="none"/>
                      <w:lang w:val="en-US" w:eastAsia="zh-CN"/>
                    </w:rPr>
                    <w:t>。符合</w:t>
                  </w:r>
                </w:p>
              </w:tc>
            </w:tr>
            <w:tr w14:paraId="3B6C6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694" w:type="pct"/>
                  <w:vMerge w:val="continue"/>
                  <w:tcBorders>
                    <w:tl2br w:val="nil"/>
                    <w:tr2bl w:val="nil"/>
                  </w:tcBorders>
                  <w:noWrap w:val="0"/>
                  <w:vAlign w:val="center"/>
                </w:tcPr>
                <w:p w14:paraId="6BD29DA4">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765" w:type="pct"/>
                  <w:vMerge w:val="continue"/>
                  <w:tcBorders>
                    <w:tl2br w:val="nil"/>
                    <w:tr2bl w:val="nil"/>
                  </w:tcBorders>
                  <w:noWrap w:val="0"/>
                  <w:vAlign w:val="center"/>
                </w:tcPr>
                <w:p w14:paraId="30D7A86F">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500" w:type="pct"/>
                  <w:vMerge w:val="continue"/>
                  <w:tcBorders>
                    <w:tl2br w:val="nil"/>
                    <w:tr2bl w:val="nil"/>
                  </w:tcBorders>
                  <w:noWrap w:val="0"/>
                  <w:vAlign w:val="center"/>
                </w:tcPr>
                <w:p w14:paraId="204F4BAE">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329" w:type="pct"/>
                  <w:tcBorders>
                    <w:tl2br w:val="nil"/>
                    <w:tr2bl w:val="nil"/>
                  </w:tcBorders>
                  <w:noWrap w:val="0"/>
                  <w:vAlign w:val="center"/>
                </w:tcPr>
                <w:p w14:paraId="024EE8A5">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污染物排放管控</w:t>
                  </w:r>
                </w:p>
              </w:tc>
              <w:tc>
                <w:tcPr>
                  <w:tcW w:w="1404" w:type="pct"/>
                  <w:tcBorders>
                    <w:tl2br w:val="nil"/>
                    <w:tr2bl w:val="nil"/>
                  </w:tcBorders>
                  <w:noWrap w:val="0"/>
                  <w:vAlign w:val="center"/>
                </w:tcPr>
                <w:p w14:paraId="76B25878">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落实新增二氧化硫、氮氧化物和VOCs排放总量控制要求。</w:t>
                  </w:r>
                </w:p>
                <w:p w14:paraId="6E3770F8">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1305" w:type="pct"/>
                  <w:tcBorders>
                    <w:tl2br w:val="nil"/>
                    <w:tr2bl w:val="nil"/>
                  </w:tcBorders>
                  <w:noWrap w:val="0"/>
                  <w:vAlign w:val="center"/>
                </w:tcPr>
                <w:p w14:paraId="3B4BB793">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本项目新增大气污染物SO₂、NOx</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排放量实行1.5倍削减替代；</w:t>
                  </w:r>
                </w:p>
                <w:p w14:paraId="7D028494">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本项目新增VOCs排放量实行倍量削减替代。符合</w:t>
                  </w:r>
                </w:p>
              </w:tc>
            </w:tr>
            <w:tr w14:paraId="1AE7D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694" w:type="pct"/>
                  <w:vMerge w:val="continue"/>
                  <w:tcBorders>
                    <w:tl2br w:val="nil"/>
                    <w:tr2bl w:val="nil"/>
                  </w:tcBorders>
                  <w:noWrap w:val="0"/>
                  <w:vAlign w:val="center"/>
                </w:tcPr>
                <w:p w14:paraId="18C93271">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765" w:type="pct"/>
                  <w:vMerge w:val="continue"/>
                  <w:tcBorders>
                    <w:tl2br w:val="nil"/>
                    <w:tr2bl w:val="nil"/>
                  </w:tcBorders>
                  <w:noWrap w:val="0"/>
                  <w:vAlign w:val="center"/>
                </w:tcPr>
                <w:p w14:paraId="43C20515">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500" w:type="pct"/>
                  <w:vMerge w:val="continue"/>
                  <w:tcBorders>
                    <w:tl2br w:val="nil"/>
                    <w:tr2bl w:val="nil"/>
                  </w:tcBorders>
                  <w:noWrap w:val="0"/>
                  <w:vAlign w:val="center"/>
                </w:tcPr>
                <w:p w14:paraId="129D41FA">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329" w:type="pct"/>
                  <w:tcBorders>
                    <w:tl2br w:val="nil"/>
                    <w:tr2bl w:val="nil"/>
                  </w:tcBorders>
                  <w:noWrap w:val="0"/>
                  <w:vAlign w:val="center"/>
                </w:tcPr>
                <w:p w14:paraId="013EEF0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环境风险防控</w:t>
                  </w:r>
                </w:p>
              </w:tc>
              <w:tc>
                <w:tcPr>
                  <w:tcW w:w="1404" w:type="pct"/>
                  <w:tcBorders>
                    <w:tl2br w:val="nil"/>
                    <w:tr2bl w:val="nil"/>
                  </w:tcBorders>
                  <w:noWrap w:val="0"/>
                  <w:vAlign w:val="center"/>
                </w:tcPr>
                <w:p w14:paraId="2E3DE2BA">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305" w:type="pct"/>
                  <w:tcBorders>
                    <w:tl2br w:val="nil"/>
                    <w:tr2bl w:val="nil"/>
                  </w:tcBorders>
                  <w:noWrap w:val="0"/>
                  <w:vAlign w:val="center"/>
                </w:tcPr>
                <w:p w14:paraId="6755786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项目建立环境风险防控体系等。厂区地面均已完成硬化处理，生产过程基本不造成地下水、土壤污染。</w:t>
                  </w:r>
                </w:p>
              </w:tc>
            </w:tr>
            <w:tr w14:paraId="5850A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694" w:type="pct"/>
                  <w:vMerge w:val="continue"/>
                  <w:tcBorders>
                    <w:tl2br w:val="nil"/>
                    <w:tr2bl w:val="nil"/>
                  </w:tcBorders>
                  <w:noWrap w:val="0"/>
                  <w:vAlign w:val="center"/>
                </w:tcPr>
                <w:p w14:paraId="0E2B59E7">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765" w:type="pct"/>
                  <w:vMerge w:val="continue"/>
                  <w:tcBorders>
                    <w:tl2br w:val="nil"/>
                    <w:tr2bl w:val="nil"/>
                  </w:tcBorders>
                  <w:noWrap w:val="0"/>
                  <w:vAlign w:val="center"/>
                </w:tcPr>
                <w:p w14:paraId="2483984E">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500" w:type="pct"/>
                  <w:vMerge w:val="continue"/>
                  <w:tcBorders>
                    <w:tl2br w:val="nil"/>
                    <w:tr2bl w:val="nil"/>
                  </w:tcBorders>
                  <w:noWrap w:val="0"/>
                  <w:vAlign w:val="center"/>
                </w:tcPr>
                <w:p w14:paraId="3C98E852">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p>
              </w:tc>
              <w:tc>
                <w:tcPr>
                  <w:tcW w:w="329" w:type="pct"/>
                  <w:tcBorders>
                    <w:tl2br w:val="nil"/>
                    <w:tr2bl w:val="nil"/>
                  </w:tcBorders>
                  <w:noWrap w:val="0"/>
                  <w:vAlign w:val="center"/>
                </w:tcPr>
                <w:p w14:paraId="1F03F3D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资源开发效率要求</w:t>
                  </w:r>
                </w:p>
              </w:tc>
              <w:tc>
                <w:tcPr>
                  <w:tcW w:w="1404" w:type="pct"/>
                  <w:tcBorders>
                    <w:tl2br w:val="nil"/>
                    <w:tr2bl w:val="nil"/>
                  </w:tcBorders>
                  <w:noWrap w:val="0"/>
                  <w:vAlign w:val="center"/>
                </w:tcPr>
                <w:p w14:paraId="421DB6DB">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高污染燃料禁燃区内禁止燃用高污染燃料，禁止新建、扩建燃用高污染燃料的设施。已建的燃用高污染燃料设施，限期改用电、天然气、液化石油气等清洁能源。</w:t>
                  </w:r>
                </w:p>
              </w:tc>
              <w:tc>
                <w:tcPr>
                  <w:tcW w:w="1305" w:type="pct"/>
                  <w:tcBorders>
                    <w:tl2br w:val="nil"/>
                    <w:tr2bl w:val="nil"/>
                  </w:tcBorders>
                  <w:noWrap w:val="0"/>
                  <w:vAlign w:val="center"/>
                </w:tcPr>
                <w:p w14:paraId="67E258C2">
                  <w:pPr>
                    <w:pStyle w:val="153"/>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olor w:val="auto"/>
                      <w:sz w:val="21"/>
                      <w:szCs w:val="21"/>
                      <w:highlight w:val="none"/>
                      <w:lang w:val="en-US" w:eastAsia="zh-CN"/>
                    </w:rPr>
                  </w:pPr>
                  <w:r>
                    <w:rPr>
                      <w:rFonts w:hint="eastAsia"/>
                      <w:color w:val="auto"/>
                      <w:shd w:val="clear"/>
                      <w:lang w:val="en-US" w:eastAsia="zh-CN"/>
                    </w:rPr>
                    <w:t>本项目采用电能、天然气作为燃料，属于清洁能源。</w:t>
                  </w:r>
                </w:p>
              </w:tc>
            </w:tr>
          </w:tbl>
          <w:p w14:paraId="261AC798">
            <w:pPr>
              <w:spacing w:line="360" w:lineRule="auto"/>
              <w:ind w:firstLine="480" w:firstLineChars="200"/>
              <w:rPr>
                <w:rFonts w:hint="eastAsia" w:ascii="Times New Roman" w:hAnsi="Times New Roman" w:eastAsia="宋体" w:cs="宋体"/>
                <w:color w:val="auto"/>
                <w:sz w:val="24"/>
                <w:highlight w:val="none"/>
                <w:shd w:val="clear"/>
                <w:lang w:val="en-US" w:eastAsia="zh-CN" w:bidi="ar"/>
              </w:rPr>
            </w:pPr>
          </w:p>
          <w:p w14:paraId="299F56BF">
            <w:pPr>
              <w:pStyle w:val="46"/>
              <w:bidi w:val="0"/>
              <w:rPr>
                <w:color w:val="auto"/>
              </w:rPr>
            </w:pPr>
            <w:r>
              <w:rPr>
                <w:rFonts w:hint="eastAsia"/>
                <w:color w:val="auto"/>
                <w:lang w:val="en-US" w:eastAsia="zh-CN"/>
              </w:rPr>
              <w:t>综上所述，</w:t>
            </w:r>
            <w:r>
              <w:rPr>
                <w:rFonts w:hint="eastAsia"/>
                <w:color w:val="auto"/>
                <w:lang w:eastAsia="zh-CN"/>
              </w:rPr>
              <w:t>本项目位于</w:t>
            </w:r>
            <w:r>
              <w:rPr>
                <w:rFonts w:hint="eastAsia"/>
                <w:color w:val="auto"/>
                <w:lang w:val="en-US" w:eastAsia="zh-CN"/>
              </w:rPr>
              <w:t>福建省福州市福清融侨经济技术开发区镜洋镇（租赁福州鼎力机械有限公司铸造车间1号）</w:t>
            </w:r>
            <w:r>
              <w:rPr>
                <w:rFonts w:hint="eastAsia"/>
                <w:color w:val="auto"/>
                <w:lang w:eastAsia="zh-CN"/>
              </w:rPr>
              <w:t>，</w:t>
            </w:r>
            <w:r>
              <w:rPr>
                <w:rFonts w:hint="eastAsia"/>
                <w:color w:val="auto"/>
                <w:lang w:val="en-US" w:eastAsia="zh-CN"/>
              </w:rPr>
              <w:t>项目的建设符合“福州</w:t>
            </w:r>
            <w:r>
              <w:rPr>
                <w:rFonts w:hint="eastAsia"/>
                <w:color w:val="auto"/>
                <w:lang w:eastAsia="zh-CN"/>
              </w:rPr>
              <w:t>市生态环境总体准入要求”，用地性质为工业用地，符合</w:t>
            </w:r>
            <w:r>
              <w:rPr>
                <w:rFonts w:hint="eastAsia"/>
                <w:color w:val="auto"/>
                <w:lang w:val="en-US" w:eastAsia="zh-CN"/>
              </w:rPr>
              <w:t>福建省生态环境分区管控</w:t>
            </w:r>
            <w:r>
              <w:rPr>
                <w:rFonts w:hint="eastAsia"/>
                <w:color w:val="auto"/>
                <w:lang w:eastAsia="zh-CN"/>
              </w:rPr>
              <w:t>要求，项目选址合理。</w:t>
            </w:r>
          </w:p>
        </w:tc>
      </w:tr>
    </w:tbl>
    <w:p w14:paraId="1483A56C">
      <w:pPr>
        <w:spacing w:line="360" w:lineRule="auto"/>
        <w:rPr>
          <w:rFonts w:eastAsia="黑体"/>
          <w:color w:val="auto"/>
          <w:sz w:val="30"/>
          <w:highlight w:val="none"/>
        </w:rPr>
        <w:sectPr>
          <w:footerReference r:id="rId4" w:type="default"/>
          <w:pgSz w:w="11905" w:h="16838"/>
          <w:pgMar w:top="1417" w:right="1417" w:bottom="1417" w:left="1417" w:header="851" w:footer="1077" w:gutter="0"/>
          <w:pgBorders>
            <w:top w:val="none" w:sz="0" w:space="0"/>
            <w:left w:val="none" w:sz="0" w:space="0"/>
            <w:bottom w:val="none" w:sz="0" w:space="0"/>
            <w:right w:val="none" w:sz="0" w:space="0"/>
          </w:pgBorders>
          <w:pgNumType w:fmt="decimal" w:start="1"/>
          <w:cols w:space="0" w:num="1"/>
          <w:docGrid w:linePitch="312" w:charSpace="0"/>
        </w:sectPr>
      </w:pPr>
    </w:p>
    <w:p w14:paraId="03695F0A">
      <w:pPr>
        <w:pStyle w:val="2"/>
        <w:bidi w:val="0"/>
        <w:ind w:left="432" w:leftChars="0" w:hanging="432" w:firstLineChars="0"/>
        <w:rPr>
          <w:color w:val="auto"/>
          <w:highlight w:val="none"/>
        </w:rPr>
      </w:pPr>
      <w:r>
        <w:rPr>
          <w:rFonts w:hint="eastAsia"/>
          <w:color w:val="auto"/>
          <w:highlight w:val="none"/>
        </w:rPr>
        <w:t>建设项目工程分析</w:t>
      </w:r>
      <w:bookmarkEnd w:id="6"/>
      <w:bookmarkEnd w:id="7"/>
      <w:bookmarkEnd w:id="8"/>
      <w:bookmarkEnd w:id="9"/>
      <w:bookmarkEnd w:id="10"/>
    </w:p>
    <w:tbl>
      <w:tblPr>
        <w:tblStyle w:val="34"/>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8"/>
        <w:gridCol w:w="8889"/>
      </w:tblGrid>
      <w:tr w14:paraId="5F4BE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338F160D">
            <w:pPr>
              <w:pStyle w:val="30"/>
              <w:adjustRightInd w:val="0"/>
              <w:snapToGrid w:val="0"/>
              <w:spacing w:before="0" w:beforeAutospacing="0" w:after="0" w:afterAutospacing="0"/>
              <w:jc w:val="center"/>
              <w:rPr>
                <w:rFonts w:cs="宋体"/>
                <w:color w:val="auto"/>
                <w:sz w:val="21"/>
                <w:szCs w:val="21"/>
                <w:highlight w:val="none"/>
              </w:rPr>
            </w:pPr>
            <w:bookmarkStart w:id="13" w:name="_Hlk86096164"/>
            <w:r>
              <w:rPr>
                <w:rFonts w:hint="eastAsia" w:cs="宋体"/>
                <w:color w:val="auto"/>
                <w:sz w:val="21"/>
                <w:szCs w:val="21"/>
                <w:highlight w:val="none"/>
              </w:rPr>
              <w:t>建设内容</w:t>
            </w:r>
          </w:p>
        </w:tc>
        <w:tc>
          <w:tcPr>
            <w:tcW w:w="8861" w:type="dxa"/>
          </w:tcPr>
          <w:p w14:paraId="403E512F">
            <w:pPr>
              <w:pStyle w:val="3"/>
              <w:bidi w:val="0"/>
              <w:rPr>
                <w:color w:val="auto"/>
              </w:rPr>
            </w:pPr>
            <w:r>
              <w:rPr>
                <w:rFonts w:hint="eastAsia"/>
                <w:color w:val="auto"/>
              </w:rPr>
              <w:t>项目由来</w:t>
            </w:r>
          </w:p>
          <w:p w14:paraId="616FA7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0"/>
                <w:highlight w:val="none"/>
                <w:shd w:val="clear"/>
                <w:lang w:val="en-US" w:eastAsia="zh-CN" w:bidi="ar-SA"/>
              </w:rPr>
            </w:pPr>
            <w:r>
              <w:rPr>
                <w:rFonts w:hint="eastAsia" w:cs="Times New Roman"/>
                <w:color w:val="auto"/>
                <w:kern w:val="0"/>
                <w:sz w:val="24"/>
                <w:szCs w:val="20"/>
                <w:highlight w:val="none"/>
                <w:lang w:val="zh-CN" w:eastAsia="zh-CN" w:bidi="ar-SA"/>
              </w:rPr>
              <w:t>福州景卓汽车零部件有限公司</w:t>
            </w:r>
            <w:r>
              <w:rPr>
                <w:rFonts w:hint="default" w:ascii="Times New Roman" w:hAnsi="Times New Roman" w:eastAsia="宋体" w:cs="Times New Roman"/>
                <w:color w:val="auto"/>
                <w:kern w:val="0"/>
                <w:sz w:val="24"/>
                <w:szCs w:val="20"/>
                <w:highlight w:val="none"/>
                <w:shd w:val="clear"/>
                <w:lang w:val="zh-CN" w:eastAsia="zh-CN" w:bidi="ar-SA"/>
              </w:rPr>
              <w:t>成立于20</w:t>
            </w:r>
            <w:r>
              <w:rPr>
                <w:rFonts w:hint="eastAsia" w:ascii="Times New Roman" w:hAnsi="Times New Roman" w:eastAsia="宋体" w:cs="Times New Roman"/>
                <w:color w:val="auto"/>
                <w:kern w:val="0"/>
                <w:sz w:val="24"/>
                <w:szCs w:val="20"/>
                <w:highlight w:val="none"/>
                <w:shd w:val="clear"/>
                <w:lang w:val="en-US" w:eastAsia="zh-CN" w:bidi="ar-SA"/>
              </w:rPr>
              <w:t>25</w:t>
            </w:r>
            <w:r>
              <w:rPr>
                <w:rFonts w:hint="default" w:ascii="Times New Roman" w:hAnsi="Times New Roman" w:eastAsia="宋体" w:cs="Times New Roman"/>
                <w:color w:val="auto"/>
                <w:kern w:val="0"/>
                <w:sz w:val="24"/>
                <w:szCs w:val="20"/>
                <w:highlight w:val="none"/>
                <w:shd w:val="clear"/>
                <w:lang w:val="zh-CN" w:eastAsia="zh-CN" w:bidi="ar-SA"/>
              </w:rPr>
              <w:t>年</w:t>
            </w:r>
            <w:r>
              <w:rPr>
                <w:rFonts w:hint="eastAsia" w:cs="Times New Roman"/>
                <w:color w:val="auto"/>
                <w:kern w:val="0"/>
                <w:sz w:val="24"/>
                <w:szCs w:val="20"/>
                <w:highlight w:val="none"/>
                <w:shd w:val="clear"/>
                <w:lang w:val="en-US" w:eastAsia="zh-CN" w:bidi="ar-SA"/>
              </w:rPr>
              <w:t>12</w:t>
            </w:r>
            <w:r>
              <w:rPr>
                <w:rFonts w:hint="default" w:ascii="Times New Roman" w:hAnsi="Times New Roman" w:eastAsia="宋体" w:cs="Times New Roman"/>
                <w:color w:val="auto"/>
                <w:kern w:val="0"/>
                <w:sz w:val="24"/>
                <w:szCs w:val="20"/>
                <w:highlight w:val="none"/>
                <w:shd w:val="clear"/>
                <w:lang w:val="zh-CN" w:eastAsia="zh-CN" w:bidi="ar-SA"/>
              </w:rPr>
              <w:t>月</w:t>
            </w:r>
            <w:r>
              <w:rPr>
                <w:rFonts w:hint="eastAsia" w:cs="Times New Roman"/>
                <w:color w:val="auto"/>
                <w:kern w:val="0"/>
                <w:sz w:val="24"/>
                <w:szCs w:val="20"/>
                <w:highlight w:val="none"/>
                <w:shd w:val="clear"/>
                <w:lang w:val="en-US" w:eastAsia="zh-CN" w:bidi="ar-SA"/>
              </w:rPr>
              <w:t>29</w:t>
            </w:r>
            <w:r>
              <w:rPr>
                <w:rFonts w:hint="default" w:ascii="Times New Roman" w:hAnsi="Times New Roman" w:eastAsia="宋体" w:cs="Times New Roman"/>
                <w:color w:val="auto"/>
                <w:kern w:val="0"/>
                <w:sz w:val="24"/>
                <w:szCs w:val="20"/>
                <w:highlight w:val="none"/>
                <w:shd w:val="clear"/>
                <w:lang w:val="zh-CN" w:eastAsia="zh-CN" w:bidi="ar-SA"/>
              </w:rPr>
              <w:t>日</w:t>
            </w:r>
            <w:r>
              <w:rPr>
                <w:rFonts w:hint="default" w:ascii="Times New Roman" w:hAnsi="Times New Roman" w:eastAsia="宋体" w:cs="Times New Roman"/>
                <w:color w:val="auto"/>
                <w:kern w:val="0"/>
                <w:sz w:val="24"/>
                <w:szCs w:val="20"/>
                <w:highlight w:val="none"/>
                <w:shd w:val="clear"/>
                <w:lang w:val="en-US" w:eastAsia="zh-CN" w:bidi="ar-SA"/>
              </w:rPr>
              <w:t>，</w:t>
            </w:r>
            <w:r>
              <w:rPr>
                <w:rFonts w:hint="eastAsia" w:ascii="Times New Roman" w:hAnsi="Times New Roman" w:eastAsia="宋体" w:cs="Times New Roman"/>
                <w:color w:val="auto"/>
                <w:kern w:val="0"/>
                <w:sz w:val="24"/>
                <w:szCs w:val="20"/>
                <w:highlight w:val="none"/>
                <w:shd w:val="clear"/>
                <w:lang w:val="en-US" w:eastAsia="zh-CN" w:bidi="ar-SA"/>
              </w:rPr>
              <w:t>租用</w:t>
            </w:r>
            <w:r>
              <w:rPr>
                <w:rFonts w:hint="eastAsia" w:cs="Times New Roman"/>
                <w:b w:val="0"/>
                <w:bCs w:val="0"/>
                <w:i w:val="0"/>
                <w:iCs w:val="0"/>
                <w:color w:val="auto"/>
                <w:kern w:val="0"/>
                <w:sz w:val="24"/>
                <w:szCs w:val="20"/>
                <w:highlight w:val="none"/>
                <w:shd w:val="clear"/>
                <w:lang w:val="zh-CN" w:eastAsia="zh-CN" w:bidi="ar-SA"/>
              </w:rPr>
              <w:t>福州鼎力机械有限公司</w:t>
            </w:r>
            <w:r>
              <w:rPr>
                <w:rFonts w:hint="eastAsia" w:cs="Times New Roman"/>
                <w:b w:val="0"/>
                <w:bCs w:val="0"/>
                <w:i w:val="0"/>
                <w:iCs w:val="0"/>
                <w:color w:val="auto"/>
                <w:kern w:val="0"/>
                <w:sz w:val="24"/>
                <w:szCs w:val="20"/>
                <w:highlight w:val="none"/>
                <w:shd w:val="clear"/>
                <w:lang w:val="en-US" w:eastAsia="zh-CN" w:bidi="ar-SA"/>
              </w:rPr>
              <w:t>内</w:t>
            </w:r>
            <w:r>
              <w:rPr>
                <w:rFonts w:hint="eastAsia" w:cs="Times New Roman"/>
                <w:b w:val="0"/>
                <w:bCs w:val="0"/>
                <w:i w:val="0"/>
                <w:iCs w:val="0"/>
                <w:color w:val="auto"/>
                <w:kern w:val="0"/>
                <w:sz w:val="24"/>
                <w:szCs w:val="20"/>
                <w:highlight w:val="none"/>
                <w:shd w:val="clear"/>
                <w:lang w:val="zh-CN" w:eastAsia="zh-CN" w:bidi="ar-SA"/>
              </w:rPr>
              <w:t>铸造车间1号，</w:t>
            </w:r>
            <w:r>
              <w:rPr>
                <w:rFonts w:hint="eastAsia" w:ascii="Times New Roman" w:hAnsi="Times New Roman" w:eastAsia="宋体" w:cs="Times New Roman"/>
                <w:b w:val="0"/>
                <w:bCs w:val="0"/>
                <w:color w:val="auto"/>
                <w:kern w:val="0"/>
                <w:sz w:val="24"/>
                <w:szCs w:val="20"/>
                <w:highlight w:val="none"/>
                <w:shd w:val="clear"/>
                <w:lang w:val="en-US" w:eastAsia="zh-CN" w:bidi="ar-SA"/>
              </w:rPr>
              <w:t>位于</w:t>
            </w:r>
            <w:r>
              <w:rPr>
                <w:rFonts w:hint="eastAsia" w:cs="Times New Roman"/>
                <w:b w:val="0"/>
                <w:bCs w:val="0"/>
                <w:i w:val="0"/>
                <w:iCs w:val="0"/>
                <w:color w:val="auto"/>
                <w:kern w:val="0"/>
                <w:sz w:val="24"/>
                <w:szCs w:val="20"/>
                <w:highlight w:val="none"/>
                <w:shd w:val="clear"/>
                <w:lang w:val="zh-CN" w:eastAsia="zh-CN" w:bidi="ar-SA"/>
              </w:rPr>
              <w:t>福建省福州市福清市镜洋镇工业区</w:t>
            </w:r>
            <w:r>
              <w:rPr>
                <w:rFonts w:hint="eastAsia" w:ascii="Times New Roman" w:hAnsi="Times New Roman" w:eastAsia="宋体" w:cs="Times New Roman"/>
                <w:b w:val="0"/>
                <w:bCs w:val="0"/>
                <w:color w:val="auto"/>
                <w:kern w:val="0"/>
                <w:sz w:val="24"/>
                <w:szCs w:val="20"/>
                <w:highlight w:val="none"/>
                <w:shd w:val="clear"/>
                <w:lang w:val="en-US" w:eastAsia="zh-CN" w:bidi="ar-SA"/>
              </w:rPr>
              <w:t>，</w:t>
            </w:r>
            <w:r>
              <w:rPr>
                <w:rFonts w:hint="eastAsia" w:ascii="Times New Roman" w:hAnsi="Times New Roman" w:eastAsia="宋体" w:cs="Times New Roman"/>
                <w:color w:val="auto"/>
                <w:kern w:val="0"/>
                <w:sz w:val="24"/>
                <w:szCs w:val="20"/>
                <w:highlight w:val="none"/>
                <w:shd w:val="clear"/>
                <w:lang w:val="en-US" w:eastAsia="zh-CN" w:bidi="ar-SA"/>
              </w:rPr>
              <w:t>拟投资</w:t>
            </w:r>
            <w:r>
              <w:rPr>
                <w:rFonts w:hint="eastAsia" w:cs="Times New Roman"/>
                <w:color w:val="auto"/>
                <w:kern w:val="0"/>
                <w:sz w:val="24"/>
                <w:szCs w:val="20"/>
                <w:highlight w:val="none"/>
                <w:shd w:val="clear"/>
                <w:lang w:val="en-US" w:eastAsia="zh-CN" w:bidi="ar-SA"/>
              </w:rPr>
              <w:t>360</w:t>
            </w:r>
            <w:r>
              <w:rPr>
                <w:rFonts w:hint="eastAsia" w:ascii="Times New Roman" w:hAnsi="Times New Roman" w:eastAsia="宋体" w:cs="Times New Roman"/>
                <w:color w:val="auto"/>
                <w:kern w:val="0"/>
                <w:sz w:val="24"/>
                <w:szCs w:val="20"/>
                <w:highlight w:val="none"/>
                <w:shd w:val="clear"/>
                <w:lang w:val="en-US" w:eastAsia="zh-CN" w:bidi="ar-SA"/>
              </w:rPr>
              <w:t>万元，总建筑面积约</w:t>
            </w:r>
            <w:r>
              <w:rPr>
                <w:rFonts w:hint="eastAsia" w:cs="Times New Roman"/>
                <w:color w:val="auto"/>
                <w:kern w:val="0"/>
                <w:sz w:val="24"/>
                <w:szCs w:val="20"/>
                <w:highlight w:val="none"/>
                <w:shd w:val="clear"/>
                <w:lang w:val="en-US" w:eastAsia="zh-CN" w:bidi="ar-SA"/>
              </w:rPr>
              <w:t>3456</w:t>
            </w:r>
            <w:r>
              <w:rPr>
                <w:rFonts w:hint="default" w:ascii="Times New Roman" w:hAnsi="Times New Roman" w:eastAsia="宋体" w:cs="Times New Roman"/>
                <w:color w:val="auto"/>
                <w:kern w:val="0"/>
                <w:sz w:val="24"/>
                <w:szCs w:val="20"/>
                <w:highlight w:val="none"/>
                <w:shd w:val="clear"/>
                <w:lang w:val="zh-CN" w:eastAsia="zh-CN" w:bidi="ar-SA"/>
              </w:rPr>
              <w:t>m</w:t>
            </w:r>
            <w:r>
              <w:rPr>
                <w:rFonts w:hint="default" w:ascii="Times New Roman" w:hAnsi="Times New Roman" w:eastAsia="宋体" w:cs="Times New Roman"/>
                <w:color w:val="auto"/>
                <w:kern w:val="0"/>
                <w:sz w:val="24"/>
                <w:szCs w:val="20"/>
                <w:highlight w:val="none"/>
                <w:shd w:val="clear"/>
                <w:vertAlign w:val="superscript"/>
                <w:lang w:val="zh-CN" w:eastAsia="zh-CN" w:bidi="ar-SA"/>
              </w:rPr>
              <w:t>2</w:t>
            </w:r>
            <w:r>
              <w:rPr>
                <w:rFonts w:hint="eastAsia" w:ascii="Times New Roman" w:hAnsi="Times New Roman" w:eastAsia="宋体" w:cs="Times New Roman"/>
                <w:color w:val="auto"/>
                <w:kern w:val="0"/>
                <w:sz w:val="24"/>
                <w:szCs w:val="20"/>
                <w:highlight w:val="none"/>
                <w:shd w:val="clear"/>
                <w:lang w:val="en-US" w:eastAsia="zh-CN" w:bidi="ar-SA"/>
              </w:rPr>
              <w:t>，购置焊机、预脱脂UFO洗槽等相关附属设备，技术水平达国内先进。建设1条汽车座椅骨架加工生产线，</w:t>
            </w:r>
            <w:r>
              <w:rPr>
                <w:rFonts w:hint="eastAsia" w:cs="Times New Roman"/>
                <w:color w:val="auto"/>
                <w:kern w:val="0"/>
                <w:sz w:val="24"/>
                <w:szCs w:val="20"/>
                <w:highlight w:val="none"/>
                <w:shd w:val="clear"/>
                <w:lang w:val="en-US" w:eastAsia="zh-CN" w:bidi="ar-SA"/>
              </w:rPr>
              <w:t>设计年用电泳涂料15.9t，年用</w:t>
            </w:r>
            <w:r>
              <w:rPr>
                <w:rFonts w:hint="eastAsia" w:ascii="Times New Roman" w:hAnsi="Times New Roman" w:eastAsia="宋体" w:cs="Times New Roman"/>
                <w:color w:val="auto"/>
                <w:kern w:val="0"/>
                <w:sz w:val="24"/>
                <w:szCs w:val="20"/>
                <w:highlight w:val="none"/>
                <w:shd w:val="clear"/>
                <w:lang w:val="en-US" w:eastAsia="zh-CN" w:bidi="ar-SA"/>
              </w:rPr>
              <w:t>塑料粉末（粉末涂料）</w:t>
            </w:r>
            <w:r>
              <w:rPr>
                <w:rFonts w:hint="eastAsia" w:cs="Times New Roman"/>
                <w:color w:val="auto"/>
                <w:kern w:val="0"/>
                <w:sz w:val="24"/>
                <w:szCs w:val="20"/>
                <w:highlight w:val="none"/>
                <w:shd w:val="clear"/>
                <w:lang w:val="en-US" w:eastAsia="zh-CN" w:bidi="ar-SA"/>
              </w:rPr>
              <w:t>5t和水性环氧酯涂料8t，</w:t>
            </w:r>
            <w:r>
              <w:rPr>
                <w:rFonts w:hint="eastAsia" w:cs="Times New Roman"/>
                <w:b w:val="0"/>
                <w:bCs w:val="0"/>
                <w:i w:val="0"/>
                <w:iCs w:val="0"/>
                <w:color w:val="auto"/>
                <w:kern w:val="0"/>
                <w:sz w:val="24"/>
                <w:szCs w:val="20"/>
                <w:highlight w:val="none"/>
                <w:shd w:val="clear"/>
                <w:lang w:val="en-US" w:eastAsia="zh-CN" w:bidi="ar-SA"/>
              </w:rPr>
              <w:t>即项目年使用非溶剂型低VOCs含量涂料为23.9t，年</w:t>
            </w:r>
            <w:r>
              <w:rPr>
                <w:rFonts w:hint="eastAsia" w:ascii="Times New Roman" w:hAnsi="Times New Roman" w:eastAsia="宋体" w:cs="Times New Roman"/>
                <w:color w:val="auto"/>
                <w:kern w:val="0"/>
                <w:sz w:val="24"/>
                <w:szCs w:val="20"/>
                <w:highlight w:val="none"/>
                <w:shd w:val="clear"/>
                <w:lang w:val="en-US" w:eastAsia="zh-CN" w:bidi="ar-SA"/>
              </w:rPr>
              <w:t>加工汽车座椅骨架</w:t>
            </w:r>
            <w:r>
              <w:rPr>
                <w:rFonts w:hint="eastAsia" w:cs="Times New Roman"/>
                <w:color w:val="auto"/>
                <w:kern w:val="0"/>
                <w:sz w:val="24"/>
                <w:szCs w:val="20"/>
                <w:highlight w:val="none"/>
                <w:shd w:val="clear"/>
                <w:lang w:val="en-US" w:eastAsia="zh-CN" w:bidi="ar-SA"/>
              </w:rPr>
              <w:t>12</w:t>
            </w:r>
            <w:r>
              <w:rPr>
                <w:rFonts w:hint="eastAsia" w:ascii="Times New Roman" w:hAnsi="Times New Roman" w:eastAsia="宋体" w:cs="Times New Roman"/>
                <w:color w:val="auto"/>
                <w:kern w:val="0"/>
                <w:sz w:val="24"/>
                <w:szCs w:val="20"/>
                <w:highlight w:val="none"/>
                <w:shd w:val="clear"/>
                <w:lang w:val="en-US" w:eastAsia="zh-CN" w:bidi="ar-SA"/>
              </w:rPr>
              <w:t>万套。</w:t>
            </w:r>
          </w:p>
          <w:p w14:paraId="5D5D7E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cs="Times New Roman"/>
                <w:color w:val="auto"/>
                <w:kern w:val="0"/>
                <w:sz w:val="24"/>
                <w:szCs w:val="20"/>
                <w:highlight w:val="none"/>
                <w:shd w:val="clear"/>
                <w:lang w:val="en-US" w:eastAsia="zh-CN" w:bidi="ar-SA"/>
              </w:rPr>
              <w:t>福州鼎力机械有限公司年产机械零件、汽车铸件（铸铁、铸钢）2000吨</w:t>
            </w:r>
            <w:r>
              <w:rPr>
                <w:rFonts w:hint="eastAsia" w:ascii="Times New Roman" w:hAnsi="Times New Roman" w:eastAsia="宋体" w:cs="Times New Roman"/>
                <w:color w:val="auto"/>
                <w:kern w:val="0"/>
                <w:sz w:val="24"/>
                <w:szCs w:val="20"/>
                <w:highlight w:val="none"/>
                <w:shd w:val="clear"/>
                <w:lang w:val="en-US" w:eastAsia="zh-CN" w:bidi="ar-SA"/>
              </w:rPr>
              <w:t>项目（以下简称</w:t>
            </w:r>
            <w:r>
              <w:rPr>
                <w:rFonts w:hint="eastAsia" w:cs="Times New Roman"/>
                <w:color w:val="auto"/>
                <w:kern w:val="0"/>
                <w:sz w:val="24"/>
                <w:szCs w:val="20"/>
                <w:highlight w:val="none"/>
                <w:shd w:val="clear"/>
                <w:lang w:val="en-US" w:eastAsia="zh-CN" w:bidi="ar-SA"/>
              </w:rPr>
              <w:t>“</w:t>
            </w:r>
            <w:r>
              <w:rPr>
                <w:rFonts w:hint="eastAsia" w:ascii="Times New Roman" w:hAnsi="Times New Roman" w:eastAsia="宋体" w:cs="Times New Roman"/>
                <w:color w:val="auto"/>
                <w:kern w:val="0"/>
                <w:sz w:val="24"/>
                <w:szCs w:val="20"/>
                <w:highlight w:val="none"/>
                <w:shd w:val="clear"/>
                <w:lang w:val="en-US" w:eastAsia="zh-CN" w:bidi="ar-SA"/>
              </w:rPr>
              <w:t>该项目</w:t>
            </w:r>
            <w:r>
              <w:rPr>
                <w:rFonts w:hint="eastAsia" w:cs="Times New Roman"/>
                <w:color w:val="auto"/>
                <w:kern w:val="0"/>
                <w:sz w:val="24"/>
                <w:szCs w:val="20"/>
                <w:highlight w:val="none"/>
                <w:shd w:val="clear"/>
                <w:lang w:val="en-US" w:eastAsia="zh-CN" w:bidi="ar-SA"/>
              </w:rPr>
              <w:t>”</w:t>
            </w:r>
            <w:r>
              <w:rPr>
                <w:rFonts w:hint="eastAsia" w:ascii="Times New Roman" w:hAnsi="Times New Roman" w:eastAsia="宋体" w:cs="Times New Roman"/>
                <w:color w:val="auto"/>
                <w:kern w:val="0"/>
                <w:sz w:val="24"/>
                <w:szCs w:val="20"/>
                <w:highlight w:val="none"/>
                <w:shd w:val="clear"/>
                <w:lang w:val="en-US" w:eastAsia="zh-CN" w:bidi="ar-SA"/>
              </w:rPr>
              <w:t>），</w:t>
            </w:r>
            <w:r>
              <w:rPr>
                <w:rFonts w:hint="eastAsia" w:cs="Times New Roman"/>
                <w:color w:val="auto"/>
                <w:kern w:val="0"/>
                <w:sz w:val="24"/>
                <w:szCs w:val="20"/>
                <w:highlight w:val="none"/>
                <w:shd w:val="clear"/>
                <w:lang w:val="en-US" w:eastAsia="zh-CN" w:bidi="ar-SA"/>
              </w:rPr>
              <w:t>该</w:t>
            </w:r>
            <w:r>
              <w:rPr>
                <w:rFonts w:hint="eastAsia" w:ascii="Times New Roman" w:hAnsi="Times New Roman" w:eastAsia="宋体" w:cs="Times New Roman"/>
                <w:color w:val="auto"/>
                <w:kern w:val="0"/>
                <w:sz w:val="24"/>
                <w:szCs w:val="20"/>
                <w:highlight w:val="none"/>
                <w:shd w:val="clear"/>
                <w:lang w:val="en-US" w:eastAsia="zh-CN" w:bidi="ar-SA"/>
              </w:rPr>
              <w:t>项目</w:t>
            </w:r>
            <w:r>
              <w:rPr>
                <w:rFonts w:hint="eastAsia" w:ascii="Times New Roman" w:hAnsi="Times New Roman" w:eastAsia="宋体" w:cs="Times New Roman"/>
                <w:color w:val="auto"/>
                <w:kern w:val="0"/>
                <w:sz w:val="24"/>
                <w:szCs w:val="20"/>
                <w:highlight w:val="none"/>
                <w:u w:val="none"/>
                <w:shd w:val="clear"/>
                <w:lang w:val="en-US" w:eastAsia="zh-CN" w:bidi="ar-SA"/>
              </w:rPr>
              <w:t>总投资</w:t>
            </w:r>
            <w:r>
              <w:rPr>
                <w:rFonts w:hint="eastAsia" w:cs="Times New Roman"/>
                <w:color w:val="auto"/>
                <w:kern w:val="0"/>
                <w:sz w:val="24"/>
                <w:szCs w:val="20"/>
                <w:highlight w:val="none"/>
                <w:u w:val="none"/>
                <w:shd w:val="clear"/>
                <w:lang w:val="en-US" w:eastAsia="zh-CN" w:bidi="ar-SA"/>
              </w:rPr>
              <w:t>180</w:t>
            </w:r>
            <w:r>
              <w:rPr>
                <w:rFonts w:hint="eastAsia" w:ascii="Times New Roman" w:hAnsi="Times New Roman" w:eastAsia="宋体" w:cs="Times New Roman"/>
                <w:color w:val="auto"/>
                <w:kern w:val="0"/>
                <w:sz w:val="24"/>
                <w:szCs w:val="20"/>
                <w:highlight w:val="none"/>
                <w:u w:val="none"/>
                <w:shd w:val="clear"/>
                <w:lang w:val="en-US" w:eastAsia="zh-CN" w:bidi="ar-SA"/>
              </w:rPr>
              <w:t>万元</w:t>
            </w:r>
            <w:r>
              <w:rPr>
                <w:rFonts w:hint="eastAsia" w:ascii="Times New Roman" w:hAnsi="Times New Roman" w:eastAsia="宋体" w:cs="Times New Roman"/>
                <w:color w:val="auto"/>
                <w:kern w:val="0"/>
                <w:sz w:val="24"/>
                <w:szCs w:val="20"/>
                <w:highlight w:val="none"/>
                <w:shd w:val="clear"/>
                <w:lang w:val="en-US" w:eastAsia="zh-CN" w:bidi="ar-SA"/>
              </w:rPr>
              <w:t>，生产场</w:t>
            </w:r>
            <w:r>
              <w:rPr>
                <w:rFonts w:hint="eastAsia" w:ascii="Times New Roman" w:hAnsi="Times New Roman" w:eastAsia="宋体" w:cs="Times New Roman"/>
                <w:color w:val="auto"/>
                <w:kern w:val="0"/>
                <w:sz w:val="24"/>
                <w:szCs w:val="20"/>
                <w:highlight w:val="none"/>
                <w:u w:val="none"/>
                <w:shd w:val="clear"/>
                <w:lang w:val="en-US" w:eastAsia="zh-CN" w:bidi="ar-SA"/>
              </w:rPr>
              <w:t>地</w:t>
            </w:r>
            <w:r>
              <w:rPr>
                <w:rFonts w:hint="eastAsia" w:cs="Times New Roman"/>
                <w:color w:val="auto"/>
                <w:kern w:val="0"/>
                <w:sz w:val="24"/>
                <w:szCs w:val="20"/>
                <w:highlight w:val="none"/>
                <w:u w:val="none"/>
                <w:shd w:val="clear"/>
                <w:lang w:val="en-US" w:eastAsia="zh-CN" w:bidi="ar-SA"/>
              </w:rPr>
              <w:t>为</w:t>
            </w:r>
            <w:r>
              <w:rPr>
                <w:rFonts w:hint="eastAsia" w:cs="Times New Roman"/>
                <w:b w:val="0"/>
                <w:bCs w:val="0"/>
                <w:i w:val="0"/>
                <w:iCs w:val="0"/>
                <w:color w:val="auto"/>
                <w:kern w:val="0"/>
                <w:sz w:val="24"/>
                <w:szCs w:val="20"/>
                <w:highlight w:val="none"/>
                <w:shd w:val="clear"/>
                <w:lang w:val="zh-CN" w:eastAsia="zh-CN" w:bidi="ar-SA"/>
              </w:rPr>
              <w:t>福建省福州市福清市镜洋镇工业区</w:t>
            </w:r>
            <w:r>
              <w:rPr>
                <w:rFonts w:hint="eastAsia" w:ascii="Times New Roman" w:hAnsi="Times New Roman" w:eastAsia="宋体" w:cs="Times New Roman"/>
                <w:color w:val="auto"/>
                <w:kern w:val="0"/>
                <w:sz w:val="24"/>
                <w:szCs w:val="20"/>
                <w:highlight w:val="none"/>
                <w:shd w:val="clear"/>
                <w:lang w:val="en-US" w:eastAsia="zh-CN" w:bidi="ar-SA"/>
              </w:rPr>
              <w:t>，设计年产</w:t>
            </w:r>
            <w:r>
              <w:rPr>
                <w:rFonts w:hint="eastAsia" w:cs="Times New Roman"/>
                <w:color w:val="auto"/>
                <w:kern w:val="0"/>
                <w:sz w:val="24"/>
                <w:szCs w:val="20"/>
                <w:highlight w:val="none"/>
                <w:shd w:val="clear"/>
                <w:lang w:val="en-US" w:eastAsia="zh-CN" w:bidi="ar-SA"/>
              </w:rPr>
              <w:t>机械零件、汽车铸件（铸铁、铸钢）2000吨。福州鼎力机械有限公司</w:t>
            </w:r>
            <w:r>
              <w:rPr>
                <w:rFonts w:hint="eastAsia" w:ascii="Times New Roman" w:hAnsi="Times New Roman" w:eastAsia="宋体" w:cs="Times New Roman"/>
                <w:color w:val="auto"/>
                <w:kern w:val="0"/>
                <w:sz w:val="24"/>
                <w:szCs w:val="20"/>
                <w:highlight w:val="none"/>
                <w:shd w:val="clear"/>
                <w:lang w:val="en-US" w:eastAsia="zh-CN" w:bidi="ar-SA"/>
              </w:rPr>
              <w:t>依法委托</w:t>
            </w:r>
            <w:r>
              <w:rPr>
                <w:rFonts w:hint="eastAsia" w:cs="Times New Roman"/>
                <w:color w:val="auto"/>
                <w:kern w:val="0"/>
                <w:sz w:val="24"/>
                <w:szCs w:val="20"/>
                <w:highlight w:val="none"/>
                <w:shd w:val="clear"/>
                <w:lang w:val="en-US" w:eastAsia="zh-CN" w:bidi="ar-SA"/>
              </w:rPr>
              <w:t>原</w:t>
            </w:r>
            <w:r>
              <w:rPr>
                <w:rFonts w:hint="eastAsia" w:cs="Times New Roman"/>
                <w:color w:val="auto"/>
                <w:kern w:val="0"/>
                <w:sz w:val="24"/>
                <w:szCs w:val="20"/>
                <w:highlight w:val="none"/>
                <w:u w:val="none"/>
                <w:shd w:val="clear"/>
                <w:lang w:val="en-US" w:eastAsia="zh-CN" w:bidi="ar-SA"/>
              </w:rPr>
              <w:t>福建省福清市环保局</w:t>
            </w:r>
            <w:r>
              <w:rPr>
                <w:rFonts w:hint="eastAsia" w:ascii="Times New Roman" w:hAnsi="Times New Roman" w:eastAsia="宋体" w:cs="Times New Roman"/>
                <w:color w:val="auto"/>
                <w:kern w:val="0"/>
                <w:sz w:val="24"/>
                <w:szCs w:val="20"/>
                <w:highlight w:val="none"/>
                <w:shd w:val="clear"/>
                <w:lang w:val="en-US" w:eastAsia="zh-CN" w:bidi="ar-SA"/>
              </w:rPr>
              <w:t>编制完成《</w:t>
            </w:r>
            <w:r>
              <w:rPr>
                <w:rFonts w:hint="eastAsia" w:cs="Times New Roman"/>
                <w:color w:val="auto"/>
                <w:kern w:val="0"/>
                <w:sz w:val="24"/>
                <w:szCs w:val="20"/>
                <w:highlight w:val="none"/>
                <w:shd w:val="clear"/>
                <w:lang w:val="en-US" w:eastAsia="zh-CN" w:bidi="ar-SA"/>
              </w:rPr>
              <w:t>福州鼎力机械有限公司年产机械零件、汽车铸件（铸铁、铸钢）2000吨</w:t>
            </w:r>
            <w:r>
              <w:rPr>
                <w:rFonts w:hint="eastAsia" w:ascii="Times New Roman" w:hAnsi="Times New Roman" w:eastAsia="宋体" w:cs="Times New Roman"/>
                <w:color w:val="auto"/>
                <w:kern w:val="0"/>
                <w:sz w:val="24"/>
                <w:szCs w:val="20"/>
                <w:highlight w:val="none"/>
                <w:shd w:val="clear"/>
                <w:lang w:val="en-US" w:eastAsia="zh-CN" w:bidi="ar-SA"/>
              </w:rPr>
              <w:t>项目环境影响报告表》，并于20</w:t>
            </w:r>
            <w:r>
              <w:rPr>
                <w:rFonts w:hint="eastAsia" w:cs="Times New Roman"/>
                <w:color w:val="auto"/>
                <w:kern w:val="0"/>
                <w:sz w:val="24"/>
                <w:szCs w:val="20"/>
                <w:highlight w:val="none"/>
                <w:shd w:val="clear"/>
                <w:lang w:val="en-US" w:eastAsia="zh-CN" w:bidi="ar-SA"/>
              </w:rPr>
              <w:t>06</w:t>
            </w:r>
            <w:r>
              <w:rPr>
                <w:rFonts w:hint="eastAsia" w:ascii="Times New Roman" w:hAnsi="Times New Roman" w:eastAsia="宋体" w:cs="Times New Roman"/>
                <w:color w:val="auto"/>
                <w:kern w:val="0"/>
                <w:sz w:val="24"/>
                <w:szCs w:val="20"/>
                <w:highlight w:val="none"/>
                <w:shd w:val="clear"/>
                <w:lang w:val="en-US" w:eastAsia="zh-CN" w:bidi="ar-SA"/>
              </w:rPr>
              <w:t>年1</w:t>
            </w:r>
            <w:r>
              <w:rPr>
                <w:rFonts w:hint="eastAsia" w:cs="Times New Roman"/>
                <w:color w:val="auto"/>
                <w:kern w:val="0"/>
                <w:sz w:val="24"/>
                <w:szCs w:val="20"/>
                <w:highlight w:val="none"/>
                <w:shd w:val="clear"/>
                <w:lang w:val="en-US" w:eastAsia="zh-CN" w:bidi="ar-SA"/>
              </w:rPr>
              <w:t>2</w:t>
            </w:r>
            <w:r>
              <w:rPr>
                <w:rFonts w:hint="eastAsia" w:ascii="Times New Roman" w:hAnsi="Times New Roman" w:eastAsia="宋体" w:cs="Times New Roman"/>
                <w:color w:val="auto"/>
                <w:kern w:val="0"/>
                <w:sz w:val="24"/>
                <w:szCs w:val="20"/>
                <w:highlight w:val="none"/>
                <w:shd w:val="clear"/>
                <w:lang w:val="en-US" w:eastAsia="zh-CN" w:bidi="ar-SA"/>
              </w:rPr>
              <w:t>月</w:t>
            </w:r>
            <w:r>
              <w:rPr>
                <w:rFonts w:hint="eastAsia" w:cs="Times New Roman"/>
                <w:color w:val="auto"/>
                <w:kern w:val="0"/>
                <w:sz w:val="24"/>
                <w:szCs w:val="20"/>
                <w:highlight w:val="none"/>
                <w:shd w:val="clear"/>
                <w:lang w:val="en-US" w:eastAsia="zh-CN" w:bidi="ar-SA"/>
              </w:rPr>
              <w:t>3</w:t>
            </w:r>
            <w:r>
              <w:rPr>
                <w:rFonts w:hint="eastAsia" w:ascii="Times New Roman" w:hAnsi="Times New Roman" w:eastAsia="宋体" w:cs="Times New Roman"/>
                <w:color w:val="auto"/>
                <w:kern w:val="0"/>
                <w:sz w:val="24"/>
                <w:szCs w:val="20"/>
                <w:highlight w:val="none"/>
                <w:shd w:val="clear"/>
                <w:lang w:val="en-US" w:eastAsia="zh-CN" w:bidi="ar-SA"/>
              </w:rPr>
              <w:t>1日取得</w:t>
            </w:r>
            <w:r>
              <w:rPr>
                <w:rFonts w:hint="eastAsia" w:cs="Times New Roman"/>
                <w:color w:val="auto"/>
                <w:kern w:val="0"/>
                <w:sz w:val="24"/>
                <w:szCs w:val="20"/>
                <w:highlight w:val="none"/>
                <w:shd w:val="clear"/>
                <w:lang w:val="en-US" w:eastAsia="zh-CN" w:bidi="ar-SA"/>
              </w:rPr>
              <w:t>原</w:t>
            </w:r>
            <w:r>
              <w:rPr>
                <w:rFonts w:hint="eastAsia" w:ascii="Times New Roman" w:hAnsi="Times New Roman" w:eastAsia="宋体" w:cs="Times New Roman"/>
                <w:color w:val="auto"/>
                <w:kern w:val="0"/>
                <w:sz w:val="24"/>
                <w:szCs w:val="20"/>
                <w:highlight w:val="none"/>
                <w:shd w:val="clear"/>
                <w:lang w:val="en-US" w:eastAsia="zh-CN" w:bidi="ar-SA"/>
              </w:rPr>
              <w:t>福清市环境保护局《</w:t>
            </w:r>
            <w:r>
              <w:rPr>
                <w:rFonts w:hint="eastAsia" w:cs="Times New Roman"/>
                <w:color w:val="auto"/>
                <w:kern w:val="0"/>
                <w:sz w:val="24"/>
                <w:szCs w:val="20"/>
                <w:highlight w:val="none"/>
                <w:shd w:val="clear"/>
                <w:lang w:val="en-US" w:eastAsia="zh-CN" w:bidi="ar-SA"/>
              </w:rPr>
              <w:t>年产机械零件、汽车铸件（铸铁、铸钢）2000吨</w:t>
            </w:r>
            <w:r>
              <w:rPr>
                <w:rFonts w:hint="eastAsia" w:ascii="Times New Roman" w:hAnsi="Times New Roman" w:eastAsia="宋体" w:cs="Times New Roman"/>
                <w:color w:val="auto"/>
                <w:kern w:val="0"/>
                <w:sz w:val="24"/>
                <w:szCs w:val="20"/>
                <w:highlight w:val="none"/>
                <w:shd w:val="clear"/>
                <w:lang w:val="en-US" w:eastAsia="zh-CN" w:bidi="ar-SA"/>
              </w:rPr>
              <w:t>项目环境影响报告表的审批意见》，于</w:t>
            </w:r>
            <w:r>
              <w:rPr>
                <w:rFonts w:hint="eastAsia" w:cs="Times New Roman"/>
                <w:color w:val="auto"/>
                <w:kern w:val="0"/>
                <w:sz w:val="24"/>
                <w:szCs w:val="20"/>
                <w:highlight w:val="none"/>
                <w:shd w:val="clear"/>
                <w:lang w:val="en-US" w:eastAsia="zh-CN" w:bidi="ar-SA"/>
              </w:rPr>
              <w:t>2008</w:t>
            </w:r>
            <w:r>
              <w:rPr>
                <w:rFonts w:hint="eastAsia" w:ascii="Times New Roman" w:hAnsi="Times New Roman" w:eastAsia="宋体" w:cs="Times New Roman"/>
                <w:color w:val="auto"/>
                <w:kern w:val="0"/>
                <w:sz w:val="24"/>
                <w:szCs w:val="20"/>
                <w:highlight w:val="none"/>
                <w:shd w:val="clear"/>
                <w:lang w:val="en-US" w:eastAsia="zh-CN" w:bidi="ar-SA"/>
              </w:rPr>
              <w:t>年</w:t>
            </w:r>
            <w:r>
              <w:rPr>
                <w:rFonts w:hint="eastAsia" w:cs="Times New Roman"/>
                <w:color w:val="auto"/>
                <w:kern w:val="0"/>
                <w:sz w:val="24"/>
                <w:szCs w:val="20"/>
                <w:highlight w:val="none"/>
                <w:shd w:val="clear"/>
                <w:lang w:val="en-US" w:eastAsia="zh-CN" w:bidi="ar-SA"/>
              </w:rPr>
              <w:t>7</w:t>
            </w:r>
            <w:r>
              <w:rPr>
                <w:rFonts w:hint="eastAsia" w:ascii="Times New Roman" w:hAnsi="Times New Roman" w:eastAsia="宋体" w:cs="Times New Roman"/>
                <w:color w:val="auto"/>
                <w:kern w:val="0"/>
                <w:sz w:val="24"/>
                <w:szCs w:val="20"/>
                <w:highlight w:val="none"/>
                <w:shd w:val="clear"/>
                <w:lang w:val="en-US" w:eastAsia="zh-CN" w:bidi="ar-SA"/>
              </w:rPr>
              <w:t>月</w:t>
            </w:r>
            <w:r>
              <w:rPr>
                <w:rFonts w:hint="eastAsia" w:cs="Times New Roman"/>
                <w:color w:val="auto"/>
                <w:kern w:val="0"/>
                <w:sz w:val="24"/>
                <w:szCs w:val="20"/>
                <w:highlight w:val="none"/>
                <w:shd w:val="clear"/>
                <w:lang w:val="en-US" w:eastAsia="zh-CN" w:bidi="ar-SA"/>
              </w:rPr>
              <w:t>27日</w:t>
            </w:r>
            <w:r>
              <w:rPr>
                <w:rFonts w:hint="eastAsia" w:ascii="Times New Roman" w:hAnsi="Times New Roman" w:eastAsia="宋体" w:cs="Times New Roman"/>
                <w:color w:val="auto"/>
                <w:kern w:val="0"/>
                <w:sz w:val="24"/>
                <w:szCs w:val="20"/>
                <w:highlight w:val="none"/>
                <w:shd w:val="clear"/>
                <w:lang w:val="en-US" w:eastAsia="zh-CN" w:bidi="ar-SA"/>
              </w:rPr>
              <w:t>通过竣工验收</w:t>
            </w:r>
            <w:r>
              <w:rPr>
                <w:rFonts w:hint="eastAsia" w:cs="Times New Roman"/>
                <w:color w:val="auto"/>
                <w:kern w:val="0"/>
                <w:sz w:val="24"/>
                <w:szCs w:val="20"/>
                <w:highlight w:val="none"/>
                <w:shd w:val="clear"/>
                <w:lang w:val="en-US" w:eastAsia="zh-CN" w:bidi="ar-SA"/>
              </w:rPr>
              <w:t>（详见附件17）</w:t>
            </w:r>
            <w:r>
              <w:rPr>
                <w:rFonts w:hint="eastAsia" w:ascii="Times New Roman" w:hAnsi="Times New Roman" w:eastAsia="宋体" w:cs="Times New Roman"/>
                <w:color w:val="auto"/>
                <w:kern w:val="0"/>
                <w:sz w:val="24"/>
                <w:szCs w:val="20"/>
                <w:highlight w:val="none"/>
                <w:shd w:val="clear"/>
                <w:lang w:val="en-US" w:eastAsia="zh-CN" w:bidi="ar-SA"/>
              </w:rPr>
              <w:t>。</w:t>
            </w:r>
            <w:r>
              <w:rPr>
                <w:rFonts w:hint="eastAsia" w:cs="Times New Roman"/>
                <w:color w:val="auto"/>
                <w:kern w:val="0"/>
                <w:sz w:val="24"/>
                <w:szCs w:val="20"/>
                <w:highlight w:val="none"/>
                <w:shd w:val="clear"/>
                <w:lang w:val="en-US" w:eastAsia="zh-CN" w:bidi="ar-SA"/>
              </w:rPr>
              <w:t>该项目现在处于注销状态，生产设备已搬离车间，故原有项目的铸造车间并未进行生产（停产证明详见附件21）。现铸造车间并未进行生产，处于空置状态</w:t>
            </w:r>
            <w:r>
              <w:rPr>
                <w:rFonts w:hint="eastAsia" w:ascii="Times New Roman" w:hAnsi="Times New Roman" w:eastAsia="宋体" w:cs="Times New Roman"/>
                <w:color w:val="auto"/>
                <w:kern w:val="0"/>
                <w:sz w:val="24"/>
                <w:szCs w:val="20"/>
                <w:highlight w:val="none"/>
                <w:lang w:val="en-US" w:eastAsia="zh-CN" w:bidi="ar-SA"/>
              </w:rPr>
              <w:t>，现</w:t>
            </w:r>
            <w:r>
              <w:rPr>
                <w:rFonts w:hint="eastAsia" w:cs="Times New Roman"/>
                <w:color w:val="auto"/>
                <w:kern w:val="0"/>
                <w:sz w:val="24"/>
                <w:szCs w:val="20"/>
                <w:highlight w:val="none"/>
                <w:lang w:val="en-US" w:eastAsia="zh-CN" w:bidi="ar-SA"/>
              </w:rPr>
              <w:t>租赁</w:t>
            </w:r>
            <w:r>
              <w:rPr>
                <w:rFonts w:hint="eastAsia" w:ascii="Times New Roman" w:hAnsi="Times New Roman" w:eastAsia="宋体" w:cs="Times New Roman"/>
                <w:color w:val="auto"/>
                <w:kern w:val="0"/>
                <w:sz w:val="24"/>
                <w:szCs w:val="20"/>
                <w:highlight w:val="none"/>
                <w:lang w:val="en-US" w:eastAsia="zh-CN" w:bidi="ar-SA"/>
              </w:rPr>
              <w:t>给</w:t>
            </w:r>
            <w:r>
              <w:rPr>
                <w:rFonts w:hint="eastAsia" w:cs="Times New Roman"/>
                <w:color w:val="auto"/>
                <w:kern w:val="0"/>
                <w:sz w:val="24"/>
                <w:szCs w:val="20"/>
                <w:highlight w:val="none"/>
                <w:lang w:val="en-US" w:eastAsia="zh-CN" w:bidi="ar-SA"/>
              </w:rPr>
              <w:t>福州景卓汽车零部件有限公司</w:t>
            </w:r>
            <w:r>
              <w:rPr>
                <w:rFonts w:hint="eastAsia" w:ascii="Times New Roman" w:hAnsi="Times New Roman" w:eastAsia="宋体" w:cs="Times New Roman"/>
                <w:color w:val="auto"/>
                <w:kern w:val="0"/>
                <w:sz w:val="24"/>
                <w:szCs w:val="20"/>
                <w:highlight w:val="none"/>
                <w:shd w:val="clear"/>
                <w:lang w:val="en-US" w:eastAsia="zh-CN" w:bidi="ar-SA"/>
              </w:rPr>
              <w:t>，供其年加工</w:t>
            </w:r>
            <w:r>
              <w:rPr>
                <w:rFonts w:hint="eastAsia" w:cs="Times New Roman"/>
                <w:color w:val="auto"/>
                <w:kern w:val="0"/>
                <w:sz w:val="24"/>
                <w:szCs w:val="20"/>
                <w:highlight w:val="none"/>
                <w:shd w:val="clear"/>
                <w:lang w:val="en-US" w:eastAsia="zh-CN" w:bidi="ar-SA"/>
              </w:rPr>
              <w:t>12</w:t>
            </w:r>
            <w:r>
              <w:rPr>
                <w:rFonts w:hint="eastAsia" w:ascii="Times New Roman" w:hAnsi="Times New Roman" w:eastAsia="宋体" w:cs="Times New Roman"/>
                <w:color w:val="auto"/>
                <w:kern w:val="0"/>
                <w:sz w:val="24"/>
                <w:szCs w:val="20"/>
                <w:highlight w:val="none"/>
                <w:shd w:val="clear"/>
                <w:lang w:val="en-US" w:eastAsia="zh-CN" w:bidi="ar-SA"/>
              </w:rPr>
              <w:t>万套汽车座椅骨架项目</w:t>
            </w:r>
            <w:r>
              <w:rPr>
                <w:rFonts w:hint="eastAsia" w:cs="Times New Roman"/>
                <w:color w:val="auto"/>
                <w:kern w:val="0"/>
                <w:sz w:val="24"/>
                <w:szCs w:val="20"/>
                <w:highlight w:val="none"/>
                <w:shd w:val="clear"/>
                <w:lang w:val="en-US" w:eastAsia="zh-CN" w:bidi="ar-SA"/>
              </w:rPr>
              <w:t>的生产使用（租赁合同详见附件4）。</w:t>
            </w:r>
          </w:p>
          <w:p w14:paraId="43FB4C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福州鼎力机械有限公司年产锥套6000t改扩建项目于2012年8月31日取得原福清市环境保护局《年产锥套6000t改扩建项目环境影响报告表的审批意见》（详见附件17）。然而，鉴于市场发展趋势及公司自身经营状况，福州鼎力机械有限公司已决定终止该改扩建项目，并且自项目获得审批以来，始终未进行任何建设活动，也未投入生产。此外，该年产锥套6000t改扩建项目的生产厂房与福州景卓汽车零部件有限公司年加工汽车座椅骨架12万套项目的生产厂房不存在关联关系。基于以上原因，本报告将不对年产锥套6000t改扩建项目进行详细分析。</w:t>
            </w:r>
          </w:p>
          <w:p w14:paraId="4AEF95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highlight w:val="none"/>
              </w:rPr>
            </w:pPr>
            <w:r>
              <w:rPr>
                <w:rFonts w:hint="eastAsia" w:ascii="Times New Roman" w:hAnsi="Times New Roman" w:eastAsia="宋体" w:cs="Times New Roman"/>
                <w:color w:val="auto"/>
                <w:kern w:val="0"/>
                <w:sz w:val="24"/>
                <w:szCs w:val="20"/>
                <w:highlight w:val="none"/>
                <w:lang w:val="zh-CN" w:eastAsia="zh-CN" w:bidi="ar-SA"/>
              </w:rPr>
              <w:t>根据《中华人民共和国环境影响评价法》和《</w:t>
            </w:r>
            <w:r>
              <w:rPr>
                <w:rFonts w:ascii="Times New Roman" w:hAnsi="Times New Roman" w:eastAsia="宋体" w:cs="Times New Roman"/>
                <w:color w:val="auto"/>
                <w:kern w:val="0"/>
                <w:sz w:val="24"/>
                <w:szCs w:val="20"/>
                <w:highlight w:val="none"/>
                <w:lang w:val="zh-CN" w:eastAsia="zh-CN" w:bidi="ar-SA"/>
              </w:rPr>
              <w:t>建设项目环境保护管理条例》的有关规定，建设项目需履行环</w:t>
            </w:r>
            <w:r>
              <w:rPr>
                <w:rFonts w:ascii="Times New Roman" w:hAnsi="Times New Roman" w:eastAsia="宋体" w:cs="Times New Roman"/>
                <w:color w:val="auto"/>
                <w:sz w:val="24"/>
                <w:highlight w:val="none"/>
              </w:rPr>
              <w:t>境影响评价手续。根据《国民经济行业分类》（GB/T 4754-2017），本项目行业类别为汽车零部件及配件制造C3670，依据《建设项目环境影响评价分类管理名录》（2021年版）的有关规定，本项目属于名录中：“三十三、汽车制造业36——71、汽车整车制造361；汽车用发动机制造362；改装汽车制造363；低速汽车制造364；电车制造365；汽车车身、挂车制造366；汽车零部件及配件制造367”中的“其他（年用非溶剂型低VOCs含量涂料10吨以下的除外）”</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项目不涉及“汽车整车制造（仅组装的除外）；汽车用发动机制造（仅组装的除外）；有电镀工艺的；年用溶剂型涂料（含稀释剂）10吨及以上的”；综上所述，本项目应编制环境影响报告表。</w:t>
            </w:r>
            <w:r>
              <w:rPr>
                <w:rFonts w:hint="eastAsia" w:ascii="Times New Roman" w:hAnsi="Times New Roman" w:eastAsia="宋体" w:cs="Times New Roman"/>
                <w:color w:val="auto"/>
                <w:sz w:val="24"/>
                <w:highlight w:val="none"/>
              </w:rPr>
              <w:t>建设单位委托我司编制该项目的环境影响报告表</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委托书详见附件1</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。本评价单位接受委托后，立即派技术人员踏勘现场和收集有关资料，依照《建设项目环境影响报告表编制技术指南</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污染影响类</w:t>
            </w:r>
            <w:r>
              <w:rPr>
                <w:rFonts w:hint="eastAsia" w:cs="Times New Roman"/>
                <w:color w:val="auto"/>
                <w:sz w:val="24"/>
                <w:highlight w:val="none"/>
                <w:lang w:eastAsia="zh-CN"/>
              </w:rPr>
              <w:t>）（试行）》</w:t>
            </w:r>
            <w:r>
              <w:rPr>
                <w:rFonts w:hint="eastAsia" w:ascii="Times New Roman" w:hAnsi="Times New Roman" w:eastAsia="宋体" w:cs="Times New Roman"/>
                <w:color w:val="auto"/>
                <w:sz w:val="24"/>
                <w:highlight w:val="none"/>
              </w:rPr>
              <w:t>及相关技术规范要求，编制了本环境影响报告表，供建设单位报生态环境主管部门审批和作为污染防治设施建设的依据。</w:t>
            </w:r>
          </w:p>
          <w:p w14:paraId="1D0B0987">
            <w:pPr>
              <w:pStyle w:val="44"/>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Autospacing="0" w:after="0" w:afterAutospacing="0"/>
              <w:ind w:left="210" w:leftChars="0" w:right="0" w:firstLineChars="0"/>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建设项目环境影响评价分类管理名录（摘录）</w:t>
            </w:r>
          </w:p>
          <w:tbl>
            <w:tblPr>
              <w:tblStyle w:val="34"/>
              <w:tblW w:w="864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36"/>
              <w:gridCol w:w="2476"/>
              <w:gridCol w:w="2035"/>
              <w:gridCol w:w="2618"/>
              <w:gridCol w:w="877"/>
            </w:tblGrid>
            <w:tr w14:paraId="240475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112" w:type="dxa"/>
                  <w:gridSpan w:val="2"/>
                  <w:tcBorders>
                    <w:bottom w:val="single" w:color="000000" w:sz="12" w:space="0"/>
                    <w:tl2br w:val="single" w:color="000000" w:sz="4" w:space="0"/>
                  </w:tcBorders>
                  <w:vAlign w:val="center"/>
                </w:tcPr>
                <w:p w14:paraId="445CAD0E">
                  <w:pPr>
                    <w:pStyle w:val="138"/>
                    <w:bidi w:val="0"/>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环评类别</w:t>
                  </w:r>
                </w:p>
                <w:p w14:paraId="742F42C3">
                  <w:pPr>
                    <w:pStyle w:val="138"/>
                    <w:bidi w:val="0"/>
                    <w:jc w:val="both"/>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项目类别</w:t>
                  </w:r>
                </w:p>
              </w:tc>
              <w:tc>
                <w:tcPr>
                  <w:tcW w:w="2035" w:type="dxa"/>
                  <w:tcBorders>
                    <w:bottom w:val="single" w:color="000000" w:sz="12" w:space="0"/>
                  </w:tcBorders>
                  <w:vAlign w:val="center"/>
                </w:tcPr>
                <w:p w14:paraId="4FAACDEF">
                  <w:pPr>
                    <w:pStyle w:val="138"/>
                    <w:bidi w:val="0"/>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报告书</w:t>
                  </w:r>
                </w:p>
              </w:tc>
              <w:tc>
                <w:tcPr>
                  <w:tcW w:w="2618" w:type="dxa"/>
                  <w:tcBorders>
                    <w:bottom w:val="single" w:color="000000" w:sz="12" w:space="0"/>
                  </w:tcBorders>
                  <w:shd w:val="clear" w:color="auto" w:fill="BEBEBE" w:themeFill="background1" w:themeFillShade="BF"/>
                  <w:vAlign w:val="center"/>
                </w:tcPr>
                <w:p w14:paraId="25ACFD8B">
                  <w:pPr>
                    <w:pStyle w:val="138"/>
                    <w:bidi w:val="0"/>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报告表</w:t>
                  </w:r>
                </w:p>
              </w:tc>
              <w:tc>
                <w:tcPr>
                  <w:tcW w:w="877" w:type="dxa"/>
                  <w:tcBorders>
                    <w:bottom w:val="single" w:color="000000" w:sz="12" w:space="0"/>
                  </w:tcBorders>
                  <w:vAlign w:val="center"/>
                </w:tcPr>
                <w:p w14:paraId="6BB03ED1">
                  <w:pPr>
                    <w:pStyle w:val="138"/>
                    <w:bidi w:val="0"/>
                    <w:rPr>
                      <w:rFonts w:hint="default" w:ascii="Times New Roman" w:hAnsi="Times New Roman" w:eastAsia="宋体" w:cs="Times New Roman"/>
                      <w:b w:val="0"/>
                      <w:bCs w:val="0"/>
                      <w:smallCaps w:val="0"/>
                      <w:color w:val="auto"/>
                      <w:highlight w:val="none"/>
                      <w:shd w:val="clear" w:color="auto" w:fill="auto"/>
                    </w:rPr>
                  </w:pPr>
                  <w:r>
                    <w:rPr>
                      <w:rFonts w:hint="default" w:ascii="Times New Roman" w:hAnsi="Times New Roman" w:eastAsia="宋体" w:cs="Times New Roman"/>
                      <w:b w:val="0"/>
                      <w:bCs w:val="0"/>
                      <w:smallCaps w:val="0"/>
                      <w:color w:val="auto"/>
                      <w:highlight w:val="none"/>
                      <w:shd w:val="clear" w:color="auto" w:fill="auto"/>
                    </w:rPr>
                    <w:t>登记表</w:t>
                  </w:r>
                </w:p>
              </w:tc>
            </w:tr>
            <w:tr w14:paraId="4505FB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642" w:type="dxa"/>
                  <w:gridSpan w:val="5"/>
                  <w:tcBorders>
                    <w:top w:val="single" w:color="000000" w:sz="12" w:space="0"/>
                    <w:tl2br w:val="nil"/>
                    <w:tr2bl w:val="nil"/>
                  </w:tcBorders>
                  <w:shd w:val="clear" w:color="auto" w:fill="BEBEBE" w:themeFill="background1" w:themeFillShade="BF"/>
                  <w:vAlign w:val="center"/>
                </w:tcPr>
                <w:p w14:paraId="57707793">
                  <w:pPr>
                    <w:pStyle w:val="138"/>
                    <w:bidi w:val="0"/>
                    <w:jc w:val="left"/>
                    <w:rPr>
                      <w:rFonts w:hint="default" w:ascii="Times New Roman" w:hAnsi="Times New Roman" w:eastAsia="宋体" w:cs="Times New Roman"/>
                      <w:smallCaps w:val="0"/>
                      <w:color w:val="auto"/>
                      <w:highlight w:val="none"/>
                      <w:shd w:val="clear" w:color="auto" w:fill="auto"/>
                      <w:lang w:val="en-US" w:eastAsia="zh-CN"/>
                    </w:rPr>
                  </w:pPr>
                  <w:r>
                    <w:rPr>
                      <w:rFonts w:hint="eastAsia" w:ascii="Times New Roman" w:hAnsi="Times New Roman" w:eastAsia="宋体" w:cs="Times New Roman"/>
                      <w:smallCaps w:val="0"/>
                      <w:color w:val="auto"/>
                      <w:highlight w:val="none"/>
                      <w:shd w:val="clear" w:color="auto" w:fill="auto"/>
                      <w:lang w:val="en-US" w:eastAsia="zh-CN"/>
                    </w:rPr>
                    <w:t>三十三、汽车制造业36</w:t>
                  </w:r>
                </w:p>
              </w:tc>
            </w:tr>
            <w:tr w14:paraId="303D79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36" w:type="dxa"/>
                  <w:tcBorders>
                    <w:tl2br w:val="nil"/>
                    <w:tr2bl w:val="nil"/>
                  </w:tcBorders>
                  <w:shd w:val="clear" w:color="auto" w:fill="auto"/>
                  <w:vAlign w:val="center"/>
                </w:tcPr>
                <w:p w14:paraId="16860E65">
                  <w:pPr>
                    <w:pStyle w:val="138"/>
                    <w:shd w:val="clear" w:color="auto" w:fill="auto"/>
                    <w:bidi w:val="0"/>
                    <w:jc w:val="left"/>
                    <w:rPr>
                      <w:rFonts w:hint="default" w:ascii="Times New Roman" w:hAnsi="Times New Roman" w:eastAsia="宋体" w:cs="Times New Roman"/>
                      <w:smallCaps w:val="0"/>
                      <w:color w:val="auto"/>
                      <w:highlight w:val="none"/>
                      <w:shd w:val="clear" w:color="auto" w:fill="auto"/>
                      <w:lang w:val="en-US" w:eastAsia="zh-CN"/>
                    </w:rPr>
                  </w:pPr>
                  <w:r>
                    <w:rPr>
                      <w:rFonts w:hint="default" w:ascii="Times New Roman" w:hAnsi="Times New Roman" w:eastAsia="宋体" w:cs="Times New Roman"/>
                      <w:smallCaps w:val="0"/>
                      <w:color w:val="auto"/>
                      <w:highlight w:val="none"/>
                      <w:shd w:val="clear" w:color="auto" w:fill="auto"/>
                      <w:lang w:val="en-US" w:eastAsia="zh-CN"/>
                    </w:rPr>
                    <w:t>71</w:t>
                  </w:r>
                </w:p>
              </w:tc>
              <w:tc>
                <w:tcPr>
                  <w:tcW w:w="2476" w:type="dxa"/>
                  <w:tcBorders>
                    <w:tl2br w:val="nil"/>
                    <w:tr2bl w:val="nil"/>
                  </w:tcBorders>
                  <w:shd w:val="clear" w:color="auto" w:fill="auto"/>
                  <w:vAlign w:val="center"/>
                </w:tcPr>
                <w:p w14:paraId="5365B59D">
                  <w:pPr>
                    <w:pStyle w:val="138"/>
                    <w:shd w:val="clear" w:color="auto" w:fill="auto"/>
                    <w:bidi w:val="0"/>
                    <w:jc w:val="left"/>
                    <w:rPr>
                      <w:rFonts w:hint="default" w:ascii="Times New Roman" w:hAnsi="Times New Roman" w:eastAsia="宋体" w:cs="Times New Roman"/>
                      <w:smallCaps w:val="0"/>
                      <w:color w:val="auto"/>
                      <w:highlight w:val="none"/>
                      <w:shd w:val="clear" w:color="auto" w:fill="auto"/>
                      <w:lang w:val="en-US" w:eastAsia="zh-CN"/>
                    </w:rPr>
                  </w:pPr>
                  <w:r>
                    <w:rPr>
                      <w:rFonts w:hint="default" w:ascii="Times New Roman" w:hAnsi="Times New Roman" w:eastAsia="宋体" w:cs="Times New Roman"/>
                      <w:smallCaps w:val="0"/>
                      <w:color w:val="auto"/>
                      <w:highlight w:val="none"/>
                      <w:shd w:val="clear" w:color="auto" w:fill="auto"/>
                      <w:lang w:val="en-US" w:eastAsia="zh-CN"/>
                    </w:rPr>
                    <w:t>汽车整车制造361；汽车用发动机制造362；改装汽车制造363；低速汽车制造364；电车制造365；</w:t>
                  </w:r>
                  <w:r>
                    <w:rPr>
                      <w:color w:val="auto"/>
                      <w:spacing w:val="3"/>
                    </w:rPr>
                    <w:t>汽车车身、挂车制造</w:t>
                  </w:r>
                  <w:r>
                    <w:rPr>
                      <w:rFonts w:ascii="Times New Roman" w:hAnsi="Times New Roman" w:eastAsia="Times New Roman" w:cs="Times New Roman"/>
                      <w:color w:val="auto"/>
                      <w:spacing w:val="3"/>
                    </w:rPr>
                    <w:t>366</w:t>
                  </w:r>
                  <w:r>
                    <w:rPr>
                      <w:color w:val="auto"/>
                      <w:spacing w:val="3"/>
                    </w:rPr>
                    <w:t>；汽车零</w:t>
                  </w:r>
                  <w:r>
                    <w:rPr>
                      <w:color w:val="auto"/>
                      <w:spacing w:val="12"/>
                    </w:rPr>
                    <w:t>部件及配件制造</w:t>
                  </w:r>
                  <w:r>
                    <w:rPr>
                      <w:rFonts w:ascii="Times New Roman" w:hAnsi="Times New Roman" w:eastAsia="Times New Roman" w:cs="Times New Roman"/>
                      <w:color w:val="auto"/>
                      <w:spacing w:val="12"/>
                    </w:rPr>
                    <w:t>367</w:t>
                  </w:r>
                </w:p>
              </w:tc>
              <w:tc>
                <w:tcPr>
                  <w:tcW w:w="2035" w:type="dxa"/>
                  <w:tcBorders>
                    <w:tl2br w:val="nil"/>
                    <w:tr2bl w:val="nil"/>
                  </w:tcBorders>
                  <w:shd w:val="clear" w:color="auto" w:fill="auto"/>
                  <w:vAlign w:val="center"/>
                </w:tcPr>
                <w:p w14:paraId="2FB706C1">
                  <w:pPr>
                    <w:pStyle w:val="138"/>
                    <w:shd w:val="clear" w:color="auto" w:fill="auto"/>
                    <w:bidi w:val="0"/>
                    <w:jc w:val="left"/>
                    <w:rPr>
                      <w:rFonts w:hint="default" w:ascii="Times New Roman" w:hAnsi="Times New Roman" w:eastAsia="宋体" w:cs="Times New Roman"/>
                      <w:smallCaps w:val="0"/>
                      <w:color w:val="auto"/>
                      <w:highlight w:val="none"/>
                      <w:shd w:val="clear" w:color="auto" w:fill="auto"/>
                      <w:lang w:val="en-US" w:eastAsia="zh-CN"/>
                    </w:rPr>
                  </w:pPr>
                  <w:r>
                    <w:rPr>
                      <w:rFonts w:hint="default" w:ascii="Times New Roman" w:hAnsi="Times New Roman" w:eastAsia="宋体" w:cs="Times New Roman"/>
                      <w:smallCaps w:val="0"/>
                      <w:color w:val="auto"/>
                      <w:highlight w:val="none"/>
                      <w:shd w:val="clear" w:color="auto" w:fill="auto"/>
                      <w:lang w:val="en-US" w:eastAsia="zh-CN"/>
                    </w:rPr>
                    <w:t>汽车整车制造（仅组装的除外）；汽车用发</w:t>
                  </w:r>
                  <w:r>
                    <w:rPr>
                      <w:color w:val="auto"/>
                      <w:spacing w:val="2"/>
                    </w:rPr>
                    <w:t>动机制造（仅组</w:t>
                  </w:r>
                  <w:r>
                    <w:rPr>
                      <w:color w:val="auto"/>
                      <w:spacing w:val="5"/>
                    </w:rPr>
                    <w:t>装的除外</w:t>
                  </w:r>
                  <w:r>
                    <w:rPr>
                      <w:color w:val="auto"/>
                      <w:spacing w:val="-6"/>
                    </w:rPr>
                    <w:t>）；</w:t>
                  </w:r>
                  <w:r>
                    <w:rPr>
                      <w:color w:val="auto"/>
                      <w:spacing w:val="5"/>
                    </w:rPr>
                    <w:t>有</w:t>
                  </w:r>
                  <w:r>
                    <w:rPr>
                      <w:color w:val="auto"/>
                      <w:spacing w:val="2"/>
                    </w:rPr>
                    <w:t>电镀工艺的；年</w:t>
                  </w:r>
                  <w:r>
                    <w:rPr>
                      <w:color w:val="auto"/>
                      <w:spacing w:val="8"/>
                    </w:rPr>
                    <w:t>用溶剂型涂料</w:t>
                  </w:r>
                  <w:r>
                    <w:rPr>
                      <w:color w:val="auto"/>
                      <w:spacing w:val="2"/>
                    </w:rPr>
                    <w:t>（含稀释剂）</w:t>
                  </w:r>
                  <w:r>
                    <w:rPr>
                      <w:rFonts w:ascii="Times New Roman" w:hAnsi="Times New Roman" w:eastAsia="Times New Roman" w:cs="Times New Roman"/>
                      <w:color w:val="auto"/>
                      <w:spacing w:val="2"/>
                    </w:rPr>
                    <w:t>10</w:t>
                  </w:r>
                  <w:r>
                    <w:rPr>
                      <w:color w:val="auto"/>
                      <w:spacing w:val="8"/>
                    </w:rPr>
                    <w:t>吨及以上的</w:t>
                  </w:r>
                </w:p>
              </w:tc>
              <w:tc>
                <w:tcPr>
                  <w:tcW w:w="2618" w:type="dxa"/>
                  <w:tcBorders>
                    <w:tl2br w:val="nil"/>
                    <w:tr2bl w:val="nil"/>
                  </w:tcBorders>
                  <w:shd w:val="clear" w:color="auto" w:fill="BEBEBE" w:themeFill="background1" w:themeFillShade="BF"/>
                  <w:vAlign w:val="center"/>
                </w:tcPr>
                <w:p w14:paraId="2DACEE6E">
                  <w:pPr>
                    <w:pStyle w:val="115"/>
                    <w:spacing w:before="44" w:line="228" w:lineRule="auto"/>
                    <w:ind w:left="117"/>
                    <w:jc w:val="left"/>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pPr>
                  <w:r>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t>其他（年用非溶剂型低</w:t>
                  </w:r>
                </w:p>
                <w:p w14:paraId="3DD45CFD">
                  <w:pPr>
                    <w:pStyle w:val="138"/>
                    <w:shd w:val="clear" w:color="auto" w:fill="auto"/>
                    <w:bidi w:val="0"/>
                    <w:jc w:val="left"/>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pPr>
                  <w:r>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t>VOCs含量涂</w:t>
                  </w:r>
                  <w:r>
                    <w:rPr>
                      <w:color w:val="auto"/>
                      <w:spacing w:val="-1"/>
                    </w:rPr>
                    <w:t>料</w:t>
                  </w:r>
                  <w:r>
                    <w:rPr>
                      <w:rFonts w:ascii="Times New Roman" w:hAnsi="Times New Roman" w:eastAsia="Times New Roman" w:cs="Times New Roman"/>
                      <w:color w:val="auto"/>
                      <w:spacing w:val="-1"/>
                    </w:rPr>
                    <w:t>10</w:t>
                  </w:r>
                  <w:r>
                    <w:rPr>
                      <w:color w:val="auto"/>
                      <w:spacing w:val="-1"/>
                    </w:rPr>
                    <w:t>吨以下</w:t>
                  </w:r>
                  <w:r>
                    <w:rPr>
                      <w:color w:val="auto"/>
                    </w:rPr>
                    <w:t>的除外）</w:t>
                  </w:r>
                </w:p>
              </w:tc>
              <w:tc>
                <w:tcPr>
                  <w:tcW w:w="877" w:type="dxa"/>
                  <w:tcBorders>
                    <w:tl2br w:val="nil"/>
                    <w:tr2bl w:val="nil"/>
                  </w:tcBorders>
                  <w:vAlign w:val="center"/>
                </w:tcPr>
                <w:p w14:paraId="49B1E77A">
                  <w:pPr>
                    <w:spacing w:before="284" w:line="274" w:lineRule="exact"/>
                    <w:ind w:left="466" w:leftChars="0"/>
                    <w:jc w:val="left"/>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pPr>
                  <w:r>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t>/</w:t>
                  </w:r>
                </w:p>
              </w:tc>
            </w:tr>
            <w:tr w14:paraId="3F1B4A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642" w:type="dxa"/>
                  <w:gridSpan w:val="5"/>
                  <w:tcBorders>
                    <w:tl2br w:val="nil"/>
                    <w:tr2bl w:val="nil"/>
                  </w:tcBorders>
                  <w:shd w:val="clear" w:color="auto" w:fill="A4A4A4"/>
                  <w:vAlign w:val="center"/>
                </w:tcPr>
                <w:p w14:paraId="7606F3F2">
                  <w:pPr>
                    <w:pStyle w:val="138"/>
                    <w:shd w:val="clear" w:color="auto" w:fill="auto"/>
                    <w:bidi w:val="0"/>
                    <w:jc w:val="left"/>
                    <w:rPr>
                      <w:rFonts w:hint="default" w:ascii="Times New Roman" w:hAnsi="Times New Roman" w:eastAsia="宋体" w:cs="Times New Roman"/>
                      <w:smallCaps w:val="0"/>
                      <w:color w:val="auto"/>
                      <w:kern w:val="2"/>
                      <w:sz w:val="21"/>
                      <w:szCs w:val="22"/>
                      <w:highlight w:val="none"/>
                      <w:u w:val="none"/>
                      <w:shd w:val="clear" w:color="auto" w:fill="auto"/>
                      <w:lang w:val="en-US" w:eastAsia="zh-CN" w:bidi="zh-TW"/>
                    </w:rPr>
                  </w:pPr>
                  <w:r>
                    <w:rPr>
                      <w:rFonts w:hint="default" w:ascii="Times New Roman" w:hAnsi="Times New Roman" w:eastAsia="宋体" w:cs="Times New Roman"/>
                      <w:smallCaps w:val="0"/>
                      <w:color w:val="auto"/>
                      <w:highlight w:val="none"/>
                      <w:shd w:val="clear" w:color="auto" w:fill="auto"/>
                      <w:lang w:val="en-US" w:eastAsia="zh-CN"/>
                    </w:rPr>
                    <w:t>三十、金属制品业 33</w:t>
                  </w:r>
                </w:p>
              </w:tc>
            </w:tr>
            <w:tr w14:paraId="00E155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636" w:type="dxa"/>
                  <w:tcBorders>
                    <w:tl2br w:val="nil"/>
                    <w:tr2bl w:val="nil"/>
                  </w:tcBorders>
                  <w:shd w:val="clear" w:color="auto" w:fill="auto"/>
                  <w:vAlign w:val="center"/>
                </w:tcPr>
                <w:p w14:paraId="1C2DF5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highlight w:val="none"/>
                      <w:lang w:val="en-US" w:eastAsia="zh-CN"/>
                    </w:rPr>
                    <w:t>67</w:t>
                  </w:r>
                </w:p>
              </w:tc>
              <w:tc>
                <w:tcPr>
                  <w:tcW w:w="2476" w:type="dxa"/>
                  <w:tcBorders>
                    <w:tl2br w:val="nil"/>
                    <w:tr2bl w:val="nil"/>
                  </w:tcBorders>
                  <w:shd w:val="clear" w:color="auto" w:fill="auto"/>
                  <w:vAlign w:val="center"/>
                </w:tcPr>
                <w:p w14:paraId="3A79B7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spacing w:val="-2"/>
                      <w:sz w:val="21"/>
                    </w:rPr>
                    <w:t>金属表面处理及热处理加工</w:t>
                  </w:r>
                </w:p>
              </w:tc>
              <w:tc>
                <w:tcPr>
                  <w:tcW w:w="2035" w:type="dxa"/>
                  <w:tcBorders>
                    <w:tl2br w:val="nil"/>
                    <w:tr2bl w:val="nil"/>
                  </w:tcBorders>
                  <w:shd w:val="clear" w:color="auto" w:fill="auto"/>
                  <w:vAlign w:val="center"/>
                </w:tcPr>
                <w:p w14:paraId="255CE953">
                  <w:pPr>
                    <w:keepNext w:val="0"/>
                    <w:keepLines w:val="0"/>
                    <w:pageBreakBefore w:val="0"/>
                    <w:widowControl w:val="0"/>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val="0"/>
                      <w:bCs w:val="0"/>
                      <w:color w:val="auto"/>
                      <w:sz w:val="21"/>
                      <w:szCs w:val="24"/>
                    </w:rPr>
                    <w:t>有电镀工艺的；有钝化工艺的热镀锌；使用有机涂层的（喷粉、喷塑、浸塑和电泳除外；年用溶剂型涂料（含稀释剂）10吨以下和用非溶剂型低VOCs含量涂料的除外）</w:t>
                  </w:r>
                </w:p>
              </w:tc>
              <w:tc>
                <w:tcPr>
                  <w:tcW w:w="2618" w:type="dxa"/>
                  <w:tcBorders>
                    <w:tl2br w:val="nil"/>
                    <w:tr2bl w:val="nil"/>
                  </w:tcBorders>
                  <w:shd w:val="clear" w:color="auto" w:fill="A4A4A4"/>
                  <w:vAlign w:val="center"/>
                </w:tcPr>
                <w:p w14:paraId="440CD8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4"/>
                    </w:rPr>
                    <w:t>其他</w:t>
                  </w:r>
                  <w:r>
                    <w:rPr>
                      <w:rFonts w:hint="default" w:ascii="Times New Roman" w:hAnsi="Times New Roman" w:eastAsia="宋体" w:cs="Times New Roman"/>
                      <w:color w:val="auto"/>
                      <w:sz w:val="21"/>
                      <w:szCs w:val="24"/>
                      <w:lang w:eastAsia="zh-CN"/>
                    </w:rPr>
                    <w:t>（</w:t>
                  </w:r>
                  <w:r>
                    <w:rPr>
                      <w:rFonts w:hint="default" w:ascii="Times New Roman" w:hAnsi="Times New Roman" w:eastAsia="宋体" w:cs="Times New Roman"/>
                      <w:color w:val="auto"/>
                      <w:sz w:val="21"/>
                      <w:szCs w:val="24"/>
                    </w:rPr>
                    <w:t>年用非溶剂型低VOCs含量涂料10吨以下的除外</w:t>
                  </w:r>
                  <w:r>
                    <w:rPr>
                      <w:rFonts w:hint="default" w:ascii="Times New Roman" w:hAnsi="Times New Roman" w:eastAsia="宋体" w:cs="Times New Roman"/>
                      <w:color w:val="auto"/>
                      <w:sz w:val="21"/>
                      <w:szCs w:val="24"/>
                      <w:lang w:eastAsia="zh-CN"/>
                    </w:rPr>
                    <w:t>）</w:t>
                  </w:r>
                </w:p>
              </w:tc>
              <w:tc>
                <w:tcPr>
                  <w:tcW w:w="877" w:type="dxa"/>
                  <w:tcBorders>
                    <w:tl2br w:val="nil"/>
                    <w:tr2bl w:val="nil"/>
                  </w:tcBorders>
                  <w:shd w:val="clear" w:color="auto" w:fill="auto"/>
                  <w:vAlign w:val="center"/>
                </w:tcPr>
                <w:p w14:paraId="1EEC54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4"/>
                      <w:lang w:val="en-US" w:eastAsia="zh-CN"/>
                    </w:rPr>
                    <w:t>/</w:t>
                  </w:r>
                </w:p>
              </w:tc>
            </w:tr>
            <w:tr w14:paraId="0975CB6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642" w:type="dxa"/>
                  <w:gridSpan w:val="5"/>
                  <w:tcBorders>
                    <w:tl2br w:val="nil"/>
                    <w:tr2bl w:val="nil"/>
                  </w:tcBorders>
                  <w:shd w:val="clear" w:color="auto" w:fill="auto"/>
                  <w:vAlign w:val="center"/>
                </w:tcPr>
                <w:p w14:paraId="5924C7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rPr>
                  </w:pPr>
                  <w:r>
                    <w:rPr>
                      <w:rFonts w:hint="eastAsia" w:cs="Times New Roman"/>
                      <w:color w:val="auto"/>
                      <w:sz w:val="21"/>
                      <w:szCs w:val="24"/>
                      <w:lang w:val="en-US" w:eastAsia="zh-CN"/>
                    </w:rPr>
                    <w:t>注：本项目属于电泳涂装，电泳涂装与电镀是两种本质完全不同的表面处理工艺：电泳是以水为分散介质，利用电场使带电荷的有机涂料微粒定向迁移并沉积于工件表面，经烘烤固化形成有机高分子涂膜的涂装技术，其沉积物为绝缘性漆膜，主要用于防腐和装饰；电镀则是利用电解原理使金属离子在阴极表面发生电化学还原反应，沉积形成金属镀层的工艺，其沉积物为导电性金属层，主要用于改变表面金属性能或提升装饰性，两者在工艺原理、沉积物质、膜层特性及适用标准等方面均存在根本性差异，因此电泳项目不属于电镀范畴。</w:t>
                  </w:r>
                </w:p>
                <w:p w14:paraId="15A40D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lang w:val="en-US" w:eastAsia="zh-CN"/>
                    </w:rPr>
                  </w:pPr>
                  <w:r>
                    <w:rPr>
                      <w:rFonts w:hint="default"/>
                      <w:color w:val="auto"/>
                      <w:lang w:val="en-US" w:eastAsia="zh-CN"/>
                    </w:rPr>
                    <w:t>本项目采用阴极电泳涂装工艺，利用高压直流电场使</w:t>
                  </w:r>
                  <w:r>
                    <w:rPr>
                      <w:rFonts w:hint="default"/>
                      <w:b/>
                      <w:bCs/>
                      <w:color w:val="auto"/>
                      <w:lang w:val="en-US" w:eastAsia="zh-CN"/>
                    </w:rPr>
                    <w:t>水性环氧树脂粒子</w:t>
                  </w:r>
                  <w:r>
                    <w:rPr>
                      <w:rFonts w:hint="default"/>
                      <w:color w:val="auto"/>
                      <w:lang w:val="en-US" w:eastAsia="zh-CN"/>
                    </w:rPr>
                    <w:t>沉积于金属表面，经高温烘烤固化形成有机保护膜。工艺过程</w:t>
                  </w:r>
                  <w:r>
                    <w:rPr>
                      <w:rFonts w:hint="default"/>
                      <w:b/>
                      <w:bCs/>
                      <w:color w:val="auto"/>
                      <w:lang w:val="en-US" w:eastAsia="zh-CN"/>
                    </w:rPr>
                    <w:t>不涉及金属离子电解还原</w:t>
                  </w:r>
                  <w:r>
                    <w:rPr>
                      <w:rFonts w:hint="default"/>
                      <w:color w:val="auto"/>
                      <w:lang w:val="en-US" w:eastAsia="zh-CN"/>
                    </w:rPr>
                    <w:t>，无电镀槽液，无重金属盐主盐、无氰化物、无铬酐等剧毒物质，不属于《建设项目环境影响评价分类管理名录》中的电镀工艺，应按涂装工艺进行环评管理。</w:t>
                  </w:r>
                </w:p>
              </w:tc>
            </w:tr>
          </w:tbl>
          <w:p w14:paraId="6F4C262B">
            <w:pPr>
              <w:pStyle w:val="3"/>
              <w:bidi w:val="0"/>
              <w:ind w:left="0" w:leftChars="0" w:firstLine="0" w:firstLineChars="0"/>
              <w:rPr>
                <w:rFonts w:hint="eastAsia"/>
                <w:color w:val="auto"/>
                <w:highlight w:val="none"/>
              </w:rPr>
            </w:pPr>
            <w:r>
              <w:rPr>
                <w:rFonts w:hint="eastAsia"/>
                <w:color w:val="auto"/>
                <w:highlight w:val="none"/>
              </w:rPr>
              <w:t>项目概况</w:t>
            </w:r>
          </w:p>
          <w:p w14:paraId="717CB90C">
            <w:pPr>
              <w:pStyle w:val="46"/>
              <w:ind w:firstLine="480"/>
              <w:rPr>
                <w:rFonts w:hint="default" w:eastAsia="宋体"/>
                <w:color w:val="auto"/>
                <w:highlight w:val="none"/>
                <w:lang w:val="en-US" w:eastAsia="zh-CN"/>
              </w:rPr>
            </w:pPr>
            <w:r>
              <w:rPr>
                <w:color w:val="auto"/>
                <w:highlight w:val="none"/>
              </w:rPr>
              <w:t>项目名称：</w:t>
            </w:r>
            <w:r>
              <w:rPr>
                <w:rFonts w:hint="eastAsia"/>
                <w:color w:val="auto"/>
                <w:highlight w:val="none"/>
                <w:lang w:eastAsia="zh-CN"/>
              </w:rPr>
              <w:t>福州景卓汽车零部件有限公司年加工汽车座椅骨架12万套项目；</w:t>
            </w:r>
          </w:p>
          <w:p w14:paraId="6ED79AD4">
            <w:pPr>
              <w:pStyle w:val="46"/>
              <w:ind w:firstLine="480"/>
              <w:rPr>
                <w:rFonts w:hint="default"/>
                <w:color w:val="auto"/>
                <w:highlight w:val="none"/>
                <w:lang w:val="en-US" w:eastAsia="zh-CN"/>
              </w:rPr>
            </w:pPr>
            <w:r>
              <w:rPr>
                <w:color w:val="auto"/>
                <w:highlight w:val="none"/>
              </w:rPr>
              <w:t>建设单位：</w:t>
            </w:r>
            <w:r>
              <w:rPr>
                <w:rFonts w:hint="eastAsia"/>
                <w:color w:val="auto"/>
                <w:highlight w:val="none"/>
                <w:lang w:eastAsia="zh-CN"/>
              </w:rPr>
              <w:t>福州景卓汽车零部件有限公司；</w:t>
            </w:r>
          </w:p>
          <w:p w14:paraId="440B8040">
            <w:pPr>
              <w:pStyle w:val="46"/>
              <w:ind w:firstLine="480"/>
              <w:rPr>
                <w:rFonts w:hint="default"/>
                <w:color w:val="auto"/>
                <w:lang w:val="en-US" w:eastAsia="zh-CN"/>
              </w:rPr>
            </w:pPr>
            <w:r>
              <w:rPr>
                <w:color w:val="auto"/>
                <w:highlight w:val="none"/>
              </w:rPr>
              <w:t>建设地点：</w:t>
            </w:r>
            <w:r>
              <w:rPr>
                <w:rFonts w:hint="eastAsia"/>
                <w:color w:val="auto"/>
                <w:lang w:val="en-US" w:eastAsia="zh-CN"/>
              </w:rPr>
              <w:t>福建省福州市福清融侨经济技术开发区镜洋镇（租赁福州鼎力机械有限公司铸造车间1号）；</w:t>
            </w:r>
          </w:p>
          <w:p w14:paraId="737F7424">
            <w:pPr>
              <w:pStyle w:val="46"/>
              <w:ind w:firstLine="480"/>
              <w:rPr>
                <w:rFonts w:hint="default" w:eastAsia="宋体"/>
                <w:color w:val="auto"/>
                <w:highlight w:val="none"/>
                <w:lang w:val="en-US" w:eastAsia="zh-CN"/>
              </w:rPr>
            </w:pPr>
            <w:r>
              <w:rPr>
                <w:color w:val="auto"/>
                <w:highlight w:val="none"/>
              </w:rPr>
              <w:t>建设性质：</w:t>
            </w:r>
            <w:r>
              <w:rPr>
                <w:rFonts w:hint="eastAsia"/>
                <w:color w:val="auto"/>
                <w:highlight w:val="none"/>
                <w:lang w:val="en-US" w:eastAsia="zh-CN"/>
              </w:rPr>
              <w:t>新建；</w:t>
            </w:r>
          </w:p>
          <w:p w14:paraId="1646EC71">
            <w:pPr>
              <w:pStyle w:val="46"/>
              <w:shd w:val="clear"/>
              <w:ind w:firstLine="480"/>
              <w:rPr>
                <w:rFonts w:hint="eastAsia" w:ascii="Times New Roman" w:hAnsi="Times New Roman" w:eastAsia="宋体" w:cs="宋体"/>
                <w:color w:val="auto"/>
                <w:highlight w:val="none"/>
                <w:lang w:val="en-US" w:eastAsia="zh-CN"/>
              </w:rPr>
            </w:pPr>
            <w:r>
              <w:rPr>
                <w:color w:val="auto"/>
                <w:highlight w:val="none"/>
              </w:rPr>
              <w:t>项目投资：</w:t>
            </w:r>
            <w:r>
              <w:rPr>
                <w:rFonts w:hint="eastAsia" w:cs="宋体"/>
                <w:color w:val="auto"/>
                <w:highlight w:val="none"/>
                <w:lang w:val="en-US" w:eastAsia="zh-CN"/>
              </w:rPr>
              <w:t>360</w:t>
            </w:r>
            <w:r>
              <w:rPr>
                <w:rFonts w:hint="eastAsia" w:ascii="Times New Roman" w:hAnsi="Times New Roman" w:eastAsia="宋体" w:cs="宋体"/>
                <w:color w:val="auto"/>
                <w:highlight w:val="none"/>
              </w:rPr>
              <w:t>万元</w:t>
            </w:r>
            <w:r>
              <w:rPr>
                <w:rFonts w:hint="eastAsia" w:cs="宋体"/>
                <w:color w:val="auto"/>
                <w:highlight w:val="none"/>
                <w:lang w:eastAsia="zh-CN"/>
              </w:rPr>
              <w:t>；</w:t>
            </w:r>
          </w:p>
          <w:p w14:paraId="666DD786">
            <w:pPr>
              <w:pStyle w:val="46"/>
              <w:shd w:val="clear"/>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职工人数：职工人数共</w:t>
            </w:r>
            <w:r>
              <w:rPr>
                <w:rFonts w:hint="eastAsia" w:ascii="Times New Roman" w:hAnsi="Times New Roman" w:eastAsia="宋体" w:cs="宋体"/>
                <w:color w:val="auto"/>
                <w:highlight w:val="none"/>
                <w:lang w:val="en-US" w:eastAsia="zh-CN"/>
              </w:rPr>
              <w:t>30</w:t>
            </w:r>
            <w:r>
              <w:rPr>
                <w:rFonts w:hint="eastAsia" w:ascii="Times New Roman" w:hAnsi="Times New Roman" w:eastAsia="宋体" w:cs="宋体"/>
                <w:color w:val="auto"/>
                <w:highlight w:val="none"/>
              </w:rPr>
              <w:t>人，均不</w:t>
            </w:r>
            <w:r>
              <w:rPr>
                <w:rFonts w:hint="eastAsia" w:ascii="Times New Roman" w:hAnsi="Times New Roman" w:eastAsia="宋体" w:cs="宋体"/>
                <w:color w:val="auto"/>
                <w:highlight w:val="none"/>
                <w:lang w:val="en-US" w:eastAsia="zh-CN"/>
              </w:rPr>
              <w:t>住</w:t>
            </w:r>
            <w:r>
              <w:rPr>
                <w:rFonts w:hint="eastAsia" w:ascii="Times New Roman" w:hAnsi="Times New Roman" w:eastAsia="宋体" w:cs="宋体"/>
                <w:color w:val="auto"/>
                <w:highlight w:val="none"/>
              </w:rPr>
              <w:t>厂</w:t>
            </w:r>
            <w:r>
              <w:rPr>
                <w:rFonts w:hint="eastAsia" w:cs="宋体"/>
                <w:color w:val="auto"/>
                <w:highlight w:val="none"/>
                <w:lang w:eastAsia="zh-CN"/>
              </w:rPr>
              <w:t>；</w:t>
            </w:r>
          </w:p>
          <w:p w14:paraId="76A48BCF">
            <w:pPr>
              <w:pStyle w:val="46"/>
              <w:shd w:val="clear"/>
              <w:ind w:firstLine="480"/>
              <w:rPr>
                <w:rFonts w:hint="default" w:ascii="Times New Roman" w:hAnsi="Times New Roman" w:eastAsia="宋体" w:cs="宋体"/>
                <w:color w:val="auto"/>
                <w:highlight w:val="none"/>
                <w:lang w:val="en-US"/>
              </w:rPr>
            </w:pPr>
            <w:r>
              <w:rPr>
                <w:rFonts w:hint="eastAsia" w:ascii="Times New Roman" w:hAnsi="Times New Roman" w:eastAsia="宋体" w:cs="宋体"/>
                <w:color w:val="auto"/>
                <w:highlight w:val="none"/>
              </w:rPr>
              <w:t>工作制度：年生产3</w:t>
            </w:r>
            <w:r>
              <w:rPr>
                <w:rFonts w:hint="eastAsia" w:ascii="Times New Roman" w:hAnsi="Times New Roman" w:eastAsia="宋体" w:cs="宋体"/>
                <w:color w:val="auto"/>
                <w:highlight w:val="none"/>
                <w:lang w:val="en-US" w:eastAsia="zh-CN"/>
              </w:rPr>
              <w:t>0</w:t>
            </w:r>
            <w:r>
              <w:rPr>
                <w:rFonts w:hint="eastAsia" w:ascii="Times New Roman" w:hAnsi="Times New Roman" w:eastAsia="宋体" w:cs="宋体"/>
                <w:color w:val="auto"/>
                <w:highlight w:val="none"/>
              </w:rPr>
              <w:t>0天，</w:t>
            </w:r>
            <w:r>
              <w:rPr>
                <w:rFonts w:hint="eastAsia" w:ascii="Times New Roman" w:hAnsi="Times New Roman" w:eastAsia="宋体" w:cs="宋体"/>
                <w:color w:val="auto"/>
                <w:highlight w:val="none"/>
                <w:lang w:val="en-US" w:eastAsia="zh-CN"/>
              </w:rPr>
              <w:t>单班制，每班8h</w:t>
            </w:r>
            <w:r>
              <w:rPr>
                <w:rFonts w:hint="eastAsia" w:cs="宋体"/>
                <w:color w:val="auto"/>
                <w:highlight w:val="none"/>
                <w:lang w:val="en-US" w:eastAsia="zh-CN"/>
              </w:rPr>
              <w:t>；</w:t>
            </w:r>
          </w:p>
          <w:p w14:paraId="7EACA83D">
            <w:pPr>
              <w:pStyle w:val="46"/>
              <w:shd w:val="clear"/>
              <w:ind w:firstLine="480"/>
              <w:rPr>
                <w:rFonts w:hint="default" w:ascii="Times New Roman" w:hAnsi="Times New Roman" w:eastAsia="宋体" w:cs="宋体"/>
                <w:color w:val="auto"/>
                <w:highlight w:val="none"/>
                <w:lang w:val="en-US"/>
              </w:rPr>
            </w:pPr>
            <w:r>
              <w:rPr>
                <w:rFonts w:hint="eastAsia" w:ascii="Times New Roman" w:hAnsi="Times New Roman" w:eastAsia="宋体" w:cs="宋体"/>
                <w:color w:val="auto"/>
                <w:highlight w:val="none"/>
              </w:rPr>
              <w:t>建设内容及规模：</w:t>
            </w:r>
            <w:r>
              <w:rPr>
                <w:rFonts w:hint="eastAsia" w:ascii="Times New Roman" w:hAnsi="Times New Roman" w:eastAsia="宋体" w:cs="宋体"/>
                <w:color w:val="auto"/>
                <w:highlight w:val="none"/>
                <w:lang w:val="en-US" w:eastAsia="zh-CN"/>
              </w:rPr>
              <w:t>年加工汽车座椅骨架</w:t>
            </w:r>
            <w:r>
              <w:rPr>
                <w:rFonts w:hint="eastAsia" w:cs="宋体"/>
                <w:color w:val="auto"/>
                <w:highlight w:val="none"/>
                <w:lang w:val="en-US" w:eastAsia="zh-CN"/>
              </w:rPr>
              <w:t>12</w:t>
            </w:r>
            <w:r>
              <w:rPr>
                <w:rFonts w:hint="eastAsia" w:ascii="Times New Roman" w:hAnsi="Times New Roman" w:eastAsia="宋体" w:cs="宋体"/>
                <w:color w:val="auto"/>
                <w:highlight w:val="none"/>
                <w:lang w:val="en-US" w:eastAsia="zh-CN"/>
              </w:rPr>
              <w:t>万套</w:t>
            </w:r>
            <w:r>
              <w:rPr>
                <w:rFonts w:hint="eastAsia" w:cs="宋体"/>
                <w:color w:val="auto"/>
                <w:highlight w:val="none"/>
                <w:lang w:val="en-US" w:eastAsia="zh-CN"/>
              </w:rPr>
              <w:t>。</w:t>
            </w:r>
          </w:p>
          <w:p w14:paraId="595CC2F6">
            <w:pPr>
              <w:pStyle w:val="4"/>
              <w:bidi w:val="0"/>
              <w:ind w:left="720" w:leftChars="0" w:hanging="720" w:firstLineChars="0"/>
              <w:rPr>
                <w:color w:val="auto"/>
                <w:highlight w:val="none"/>
              </w:rPr>
            </w:pPr>
            <w:r>
              <w:rPr>
                <w:rFonts w:hint="eastAsia"/>
                <w:color w:val="auto"/>
                <w:highlight w:val="none"/>
              </w:rPr>
              <w:t>产品方案</w:t>
            </w:r>
          </w:p>
          <w:p w14:paraId="23EC0956">
            <w:pPr>
              <w:spacing w:line="360" w:lineRule="auto"/>
              <w:ind w:left="480"/>
              <w:rPr>
                <w:rFonts w:ascii="宋体" w:cs="宋体"/>
                <w:color w:val="auto"/>
                <w:kern w:val="0"/>
                <w:highlight w:val="none"/>
              </w:rPr>
            </w:pPr>
            <w:r>
              <w:rPr>
                <w:rFonts w:hint="eastAsia" w:ascii="宋体" w:cs="宋体"/>
                <w:color w:val="auto"/>
                <w:kern w:val="0"/>
                <w:sz w:val="24"/>
                <w:highlight w:val="none"/>
                <w:lang w:bidi="ar"/>
              </w:rPr>
              <w:t>本项目产品方案见下表。</w:t>
            </w:r>
          </w:p>
          <w:p w14:paraId="241D9BC7">
            <w:pPr>
              <w:pStyle w:val="44"/>
              <w:keepNext/>
              <w:keepLines/>
              <w:pageBreakBefore w:val="0"/>
              <w:widowControl w:val="0"/>
              <w:shd w:val="clear"/>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r>
              <w:rPr>
                <w:rFonts w:hint="eastAsia"/>
                <w:color w:val="auto"/>
                <w:highlight w:val="none"/>
                <w:lang w:val="en-US" w:eastAsia="zh-CN"/>
              </w:rPr>
              <w:t>本项目</w:t>
            </w:r>
            <w:r>
              <w:rPr>
                <w:rFonts w:hint="eastAsia" w:ascii="Times New Roman" w:hAnsi="Times New Roman" w:eastAsia="宋体"/>
                <w:color w:val="auto"/>
                <w:highlight w:val="none"/>
              </w:rPr>
              <w:t>产品方案</w:t>
            </w:r>
          </w:p>
          <w:tbl>
            <w:tblPr>
              <w:tblStyle w:val="86"/>
              <w:tblW w:w="4998"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866"/>
              <w:gridCol w:w="2774"/>
              <w:gridCol w:w="3030"/>
            </w:tblGrid>
            <w:tr w14:paraId="6BB60A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652" w:type="pct"/>
                  <w:tcBorders>
                    <w:bottom w:val="single" w:color="000000" w:sz="12" w:space="0"/>
                  </w:tcBorders>
                  <w:vAlign w:val="center"/>
                </w:tcPr>
                <w:p w14:paraId="301A9C4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b/>
                      <w:bCs/>
                      <w:color w:val="auto"/>
                      <w:spacing w:val="3"/>
                      <w:sz w:val="21"/>
                    </w:rPr>
                    <w:t>产品</w:t>
                  </w:r>
                </w:p>
              </w:tc>
              <w:tc>
                <w:tcPr>
                  <w:tcW w:w="1599" w:type="pct"/>
                  <w:tcBorders>
                    <w:bottom w:val="single" w:color="000000" w:sz="12" w:space="0"/>
                  </w:tcBorders>
                  <w:vAlign w:val="center"/>
                </w:tcPr>
                <w:p w14:paraId="3E5DB24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b/>
                      <w:bCs/>
                      <w:color w:val="auto"/>
                      <w:spacing w:val="6"/>
                      <w:sz w:val="21"/>
                    </w:rPr>
                    <w:t>年设计能力</w:t>
                  </w:r>
                </w:p>
              </w:tc>
              <w:tc>
                <w:tcPr>
                  <w:tcW w:w="1747" w:type="pct"/>
                  <w:tcBorders>
                    <w:bottom w:val="single" w:color="000000" w:sz="12" w:space="0"/>
                  </w:tcBorders>
                  <w:vAlign w:val="center"/>
                </w:tcPr>
                <w:p w14:paraId="7E0DE76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b/>
                      <w:bCs/>
                      <w:color w:val="auto"/>
                      <w:spacing w:val="6"/>
                      <w:sz w:val="21"/>
                    </w:rPr>
                    <w:t>年运行时间</w:t>
                  </w:r>
                </w:p>
              </w:tc>
            </w:tr>
            <w:tr w14:paraId="5B92D7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652" w:type="pct"/>
                  <w:tcBorders>
                    <w:top w:val="single" w:color="000000" w:sz="12" w:space="0"/>
                    <w:tl2br w:val="nil"/>
                    <w:tr2bl w:val="nil"/>
                  </w:tcBorders>
                  <w:vAlign w:val="center"/>
                </w:tcPr>
                <w:p w14:paraId="78A66D2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汽车座椅骨架</w:t>
                  </w:r>
                </w:p>
              </w:tc>
              <w:tc>
                <w:tcPr>
                  <w:tcW w:w="1599" w:type="pct"/>
                  <w:tcBorders>
                    <w:top w:val="single" w:color="000000" w:sz="12" w:space="0"/>
                    <w:tl2br w:val="nil"/>
                    <w:tr2bl w:val="nil"/>
                  </w:tcBorders>
                  <w:shd w:val="clear" w:color="auto" w:fill="auto"/>
                  <w:vAlign w:val="center"/>
                </w:tcPr>
                <w:p w14:paraId="59F047E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hint="eastAsia" w:ascii="Times New Roman" w:hAnsi="Times New Roman" w:cs="Times New Roman"/>
                      <w:color w:val="auto"/>
                      <w:spacing w:val="2"/>
                      <w:position w:val="1"/>
                      <w:sz w:val="21"/>
                      <w:highlight w:val="none"/>
                      <w:lang w:val="en-US" w:eastAsia="zh-CN"/>
                    </w:rPr>
                    <w:t>12</w:t>
                  </w:r>
                  <w:r>
                    <w:rPr>
                      <w:rFonts w:ascii="Times New Roman" w:hAnsi="Times New Roman" w:eastAsia="宋体"/>
                      <w:color w:val="auto"/>
                      <w:spacing w:val="2"/>
                      <w:position w:val="1"/>
                      <w:sz w:val="21"/>
                      <w:highlight w:val="none"/>
                    </w:rPr>
                    <w:t>万套</w:t>
                  </w:r>
                </w:p>
              </w:tc>
              <w:tc>
                <w:tcPr>
                  <w:tcW w:w="1747" w:type="pct"/>
                  <w:tcBorders>
                    <w:top w:val="single" w:color="000000" w:sz="12" w:space="0"/>
                    <w:tl2br w:val="nil"/>
                    <w:tr2bl w:val="nil"/>
                  </w:tcBorders>
                  <w:shd w:val="clear" w:color="auto" w:fill="auto"/>
                  <w:vAlign w:val="center"/>
                </w:tcPr>
                <w:p w14:paraId="77C3D25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hint="eastAsia" w:ascii="Times New Roman" w:hAnsi="Times New Roman" w:eastAsia="宋体" w:cs="Times New Roman"/>
                      <w:color w:val="auto"/>
                      <w:spacing w:val="4"/>
                      <w:position w:val="1"/>
                      <w:sz w:val="21"/>
                      <w:szCs w:val="20"/>
                      <w:highlight w:val="none"/>
                      <w:shd w:val="clear"/>
                      <w:lang w:val="en-US" w:eastAsia="zh-CN"/>
                    </w:rPr>
                    <w:t>24</w:t>
                  </w:r>
                  <w:r>
                    <w:rPr>
                      <w:rFonts w:ascii="Times New Roman" w:hAnsi="Times New Roman" w:eastAsia="宋体" w:cs="Times New Roman"/>
                      <w:color w:val="auto"/>
                      <w:spacing w:val="4"/>
                      <w:position w:val="1"/>
                      <w:sz w:val="21"/>
                      <w:szCs w:val="20"/>
                      <w:highlight w:val="none"/>
                      <w:shd w:val="clear"/>
                    </w:rPr>
                    <w:t>00h</w:t>
                  </w:r>
                </w:p>
              </w:tc>
            </w:tr>
          </w:tbl>
          <w:p w14:paraId="0D9A8B79">
            <w:pPr>
              <w:rPr>
                <w:rFonts w:hint="eastAsia"/>
                <w:color w:val="auto"/>
              </w:rPr>
            </w:pPr>
          </w:p>
          <w:p w14:paraId="3CB03148">
            <w:pPr>
              <w:pStyle w:val="3"/>
              <w:bidi w:val="0"/>
              <w:ind w:left="0" w:leftChars="0" w:firstLine="0" w:firstLineChars="0"/>
              <w:rPr>
                <w:rFonts w:hint="eastAsia"/>
                <w:color w:val="auto"/>
                <w:highlight w:val="none"/>
              </w:rPr>
            </w:pPr>
            <w:r>
              <w:rPr>
                <w:rFonts w:hint="eastAsia"/>
                <w:color w:val="auto"/>
                <w:highlight w:val="none"/>
              </w:rPr>
              <w:t>项目建设内容</w:t>
            </w:r>
            <w:r>
              <w:rPr>
                <w:rFonts w:hint="eastAsia"/>
                <w:color w:val="auto"/>
                <w:highlight w:val="none"/>
              </w:rPr>
              <w:drawing>
                <wp:inline distT="0" distB="0" distL="114300" distR="114300">
                  <wp:extent cx="635" cy="0"/>
                  <wp:effectExtent l="0" t="0" r="0" b="0"/>
                  <wp:docPr id="16" name="图片 15" descr="C:/Users/Dell/AppData/Local/Temp/picturecompress_20220307141540/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Dell/AppData/Local/Temp/picturecompress_20220307141540/output_4.jpgoutput_4"/>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p>
          <w:p w14:paraId="51DC70A6">
            <w:pPr>
              <w:pStyle w:val="4"/>
              <w:bidi w:val="0"/>
              <w:ind w:left="720" w:leftChars="0" w:hanging="720" w:firstLineChars="0"/>
              <w:rPr>
                <w:rFonts w:hint="eastAsia"/>
                <w:color w:val="auto"/>
                <w:highlight w:val="none"/>
              </w:rPr>
            </w:pPr>
            <w:r>
              <w:rPr>
                <w:rFonts w:hint="eastAsia"/>
                <w:color w:val="auto"/>
                <w:highlight w:val="none"/>
              </w:rPr>
              <w:t>主要建设内容</w:t>
            </w:r>
          </w:p>
          <w:p w14:paraId="359C3867">
            <w:pPr>
              <w:pStyle w:val="46"/>
              <w:ind w:firstLine="480"/>
              <w:rPr>
                <w:color w:val="auto"/>
                <w:highlight w:val="none"/>
              </w:rPr>
            </w:pPr>
            <w:r>
              <w:rPr>
                <w:color w:val="auto"/>
                <w:highlight w:val="none"/>
              </w:rPr>
              <w:t>项目</w:t>
            </w:r>
            <w:r>
              <w:rPr>
                <w:rFonts w:hint="eastAsia"/>
                <w:color w:val="auto"/>
                <w:highlight w:val="none"/>
              </w:rPr>
              <w:t>工程</w:t>
            </w:r>
            <w:r>
              <w:rPr>
                <w:color w:val="auto"/>
                <w:highlight w:val="none"/>
              </w:rPr>
              <w:t>组成见</w:t>
            </w:r>
            <w:r>
              <w:rPr>
                <w:rFonts w:hint="eastAsia"/>
                <w:color w:val="auto"/>
                <w:highlight w:val="none"/>
              </w:rPr>
              <w:t>下表</w:t>
            </w:r>
            <w:r>
              <w:rPr>
                <w:rFonts w:hint="eastAsia"/>
                <w:color w:val="auto"/>
                <w:highlight w:val="none"/>
                <w:lang w:eastAsia="zh-CN"/>
              </w:rPr>
              <w:t>。</w:t>
            </w:r>
          </w:p>
          <w:p w14:paraId="718B964A">
            <w:pPr>
              <w:pStyle w:val="44"/>
              <w:keepNext/>
              <w:keepLines/>
              <w:pageBreakBefore w:val="0"/>
              <w:widowControl w:val="0"/>
              <w:shd w:val="clear"/>
              <w:kinsoku/>
              <w:wordWrap/>
              <w:overflowPunct/>
              <w:topLinePunct w:val="0"/>
              <w:autoSpaceDE/>
              <w:autoSpaceDN/>
              <w:bidi w:val="0"/>
              <w:adjustRightInd/>
              <w:snapToGrid/>
              <w:spacing w:before="0" w:after="0" w:line="240" w:lineRule="auto"/>
              <w:ind w:left="630" w:leftChars="0" w:firstLineChars="0"/>
              <w:textAlignment w:val="auto"/>
              <w:rPr>
                <w:color w:val="auto"/>
                <w:highlight w:val="none"/>
              </w:rPr>
            </w:pPr>
            <w:r>
              <w:rPr>
                <w:rFonts w:hint="eastAsia" w:ascii="Times New Roman" w:hAnsi="Times New Roman" w:eastAsia="宋体" w:cs="Times New Roman"/>
                <w:color w:val="auto"/>
                <w:lang w:val="en-US" w:eastAsia="zh-CN"/>
              </w:rPr>
              <w:t>工</w:t>
            </w:r>
            <w:r>
              <w:rPr>
                <w:rFonts w:hint="eastAsia" w:ascii="Times New Roman" w:hAnsi="Times New Roman" w:eastAsia="宋体" w:cs="宋体"/>
                <w:b/>
                <w:bCs/>
                <w:color w:val="auto"/>
                <w:kern w:val="0"/>
                <w:sz w:val="24"/>
                <w:szCs w:val="21"/>
                <w:highlight w:val="none"/>
                <w:lang w:val="en-US" w:eastAsia="zh-CN" w:bidi="ar-SA"/>
              </w:rPr>
              <w:t>程</w:t>
            </w:r>
            <w:r>
              <w:rPr>
                <w:rFonts w:hint="default" w:ascii="Times New Roman" w:hAnsi="Times New Roman" w:eastAsia="宋体" w:cs="宋体"/>
                <w:b/>
                <w:bCs/>
                <w:color w:val="auto"/>
                <w:kern w:val="0"/>
                <w:sz w:val="24"/>
                <w:szCs w:val="21"/>
                <w:highlight w:val="none"/>
                <w:lang w:val="en-US" w:eastAsia="zh-CN" w:bidi="ar-SA"/>
              </w:rPr>
              <w:t>主要建设内容情况一览表</w:t>
            </w:r>
          </w:p>
          <w:tbl>
            <w:tblPr>
              <w:tblStyle w:val="35"/>
              <w:tblW w:w="9990"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36"/>
              <w:gridCol w:w="2054"/>
              <w:gridCol w:w="3072"/>
              <w:gridCol w:w="2110"/>
              <w:gridCol w:w="1318"/>
            </w:tblGrid>
            <w:tr w14:paraId="3E750D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bottom w:val="single" w:color="000000" w:sz="12" w:space="0"/>
                  </w:tcBorders>
                  <w:shd w:val="clear" w:color="auto" w:fill="auto"/>
                  <w:vAlign w:val="center"/>
                </w:tcPr>
                <w:p w14:paraId="6A4F487C">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b/>
                      <w:bCs/>
                      <w:color w:val="auto"/>
                      <w:spacing w:val="2"/>
                      <w:sz w:val="21"/>
                      <w:szCs w:val="21"/>
                    </w:rPr>
                    <w:t>工程</w:t>
                  </w:r>
                </w:p>
                <w:p w14:paraId="789F3939">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b/>
                      <w:bCs/>
                      <w:color w:val="auto"/>
                      <w:spacing w:val="3"/>
                      <w:sz w:val="21"/>
                      <w:szCs w:val="21"/>
                    </w:rPr>
                    <w:t>类别</w:t>
                  </w:r>
                </w:p>
              </w:tc>
              <w:tc>
                <w:tcPr>
                  <w:tcW w:w="2054" w:type="dxa"/>
                  <w:tcBorders>
                    <w:bottom w:val="single" w:color="000000" w:sz="12" w:space="0"/>
                  </w:tcBorders>
                  <w:shd w:val="clear" w:color="auto" w:fill="auto"/>
                  <w:vAlign w:val="center"/>
                </w:tcPr>
                <w:p w14:paraId="206D28A5">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b/>
                      <w:bCs/>
                      <w:color w:val="auto"/>
                      <w:spacing w:val="5"/>
                      <w:sz w:val="21"/>
                      <w:szCs w:val="21"/>
                    </w:rPr>
                    <w:t>工程名称</w:t>
                  </w:r>
                </w:p>
              </w:tc>
              <w:tc>
                <w:tcPr>
                  <w:tcW w:w="3072" w:type="dxa"/>
                  <w:tcBorders>
                    <w:bottom w:val="single" w:color="000000" w:sz="12" w:space="0"/>
                  </w:tcBorders>
                  <w:shd w:val="clear" w:color="auto" w:fill="auto"/>
                  <w:vAlign w:val="center"/>
                </w:tcPr>
                <w:p w14:paraId="26D901EE">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b/>
                      <w:bCs/>
                      <w:color w:val="auto"/>
                      <w:spacing w:val="6"/>
                      <w:sz w:val="21"/>
                      <w:szCs w:val="21"/>
                    </w:rPr>
                    <w:t>工程规模和内容</w:t>
                  </w:r>
                </w:p>
              </w:tc>
              <w:tc>
                <w:tcPr>
                  <w:tcW w:w="2110" w:type="dxa"/>
                  <w:tcBorders>
                    <w:bottom w:val="single" w:color="000000" w:sz="12" w:space="0"/>
                  </w:tcBorders>
                  <w:shd w:val="clear" w:color="auto" w:fill="auto"/>
                  <w:vAlign w:val="center"/>
                </w:tcPr>
                <w:p w14:paraId="05A9B4B4">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b/>
                      <w:bCs/>
                      <w:color w:val="auto"/>
                      <w:spacing w:val="2"/>
                      <w:sz w:val="21"/>
                      <w:szCs w:val="21"/>
                    </w:rPr>
                    <w:t>备注</w:t>
                  </w:r>
                </w:p>
              </w:tc>
            </w:tr>
            <w:tr w14:paraId="3BFB48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op w:val="single" w:color="000000" w:sz="12" w:space="0"/>
                    <w:tl2br w:val="nil"/>
                    <w:tr2bl w:val="nil"/>
                  </w:tcBorders>
                  <w:shd w:val="clear" w:color="auto" w:fill="auto"/>
                  <w:vAlign w:val="center"/>
                </w:tcPr>
                <w:p w14:paraId="11D1D554">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3"/>
                      <w:sz w:val="21"/>
                      <w:szCs w:val="21"/>
                    </w:rPr>
                    <w:t>主体</w:t>
                  </w:r>
                </w:p>
                <w:p w14:paraId="726E0922">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工程</w:t>
                  </w:r>
                </w:p>
              </w:tc>
              <w:tc>
                <w:tcPr>
                  <w:tcW w:w="2054" w:type="dxa"/>
                  <w:tcBorders>
                    <w:top w:val="single" w:color="000000" w:sz="12" w:space="0"/>
                    <w:tl2br w:val="nil"/>
                    <w:tr2bl w:val="nil"/>
                  </w:tcBorders>
                  <w:shd w:val="clear" w:color="auto" w:fill="auto"/>
                  <w:vAlign w:val="center"/>
                </w:tcPr>
                <w:p w14:paraId="62843D20">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焊接区</w:t>
                  </w:r>
                </w:p>
              </w:tc>
              <w:tc>
                <w:tcPr>
                  <w:tcW w:w="3072" w:type="dxa"/>
                  <w:tcBorders>
                    <w:top w:val="single" w:color="000000" w:sz="12" w:space="0"/>
                    <w:tl2br w:val="nil"/>
                    <w:tr2bl w:val="nil"/>
                  </w:tcBorders>
                  <w:shd w:val="clear" w:color="auto" w:fill="auto"/>
                  <w:vAlign w:val="center"/>
                </w:tcPr>
                <w:p w14:paraId="5EF36D63">
                  <w:pPr>
                    <w:pStyle w:val="115"/>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主要建设焊接工序，面积约264m</w:t>
                  </w:r>
                  <w:r>
                    <w:rPr>
                      <w:rFonts w:hint="eastAsia" w:ascii="Times New Roman" w:hAnsi="Times New Roman" w:cs="宋体"/>
                      <w:color w:val="auto"/>
                      <w:kern w:val="2"/>
                      <w:sz w:val="21"/>
                      <w:szCs w:val="21"/>
                      <w:vertAlign w:val="superscript"/>
                      <w:lang w:val="en-US" w:eastAsia="zh-CN" w:bidi="ar-SA"/>
                    </w:rPr>
                    <w:t>2</w:t>
                  </w:r>
                </w:p>
              </w:tc>
              <w:tc>
                <w:tcPr>
                  <w:tcW w:w="2110" w:type="dxa"/>
                  <w:vMerge w:val="restart"/>
                  <w:tcBorders>
                    <w:top w:val="single" w:color="000000" w:sz="12" w:space="0"/>
                    <w:tl2br w:val="nil"/>
                    <w:tr2bl w:val="nil"/>
                  </w:tcBorders>
                  <w:shd w:val="clear" w:color="auto" w:fill="auto"/>
                  <w:vAlign w:val="center"/>
                </w:tcPr>
                <w:p w14:paraId="56032F9F">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6"/>
                      <w:sz w:val="21"/>
                      <w:szCs w:val="21"/>
                    </w:rPr>
                  </w:pPr>
                  <w:r>
                    <w:rPr>
                      <w:rFonts w:ascii="Times New Roman" w:hAnsi="Times New Roman" w:eastAsia="宋体"/>
                      <w:color w:val="auto"/>
                      <w:spacing w:val="6"/>
                      <w:sz w:val="21"/>
                      <w:szCs w:val="21"/>
                    </w:rPr>
                    <w:t>场地租赁，</w:t>
                  </w:r>
                  <w:r>
                    <w:rPr>
                      <w:rFonts w:ascii="Times New Roman" w:hAnsi="Times New Roman" w:eastAsia="宋体"/>
                      <w:color w:val="auto"/>
                      <w:spacing w:val="3"/>
                      <w:sz w:val="21"/>
                      <w:szCs w:val="21"/>
                    </w:rPr>
                    <w:t>内部设施新</w:t>
                  </w:r>
                  <w:r>
                    <w:rPr>
                      <w:rFonts w:ascii="Times New Roman" w:hAnsi="Times New Roman" w:eastAsia="宋体"/>
                      <w:color w:val="auto"/>
                      <w:sz w:val="21"/>
                      <w:szCs w:val="21"/>
                    </w:rPr>
                    <w:t>建</w:t>
                  </w:r>
                </w:p>
                <w:p w14:paraId="7947935B">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36EC96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Height w:val="90" w:hRule="atLeast"/>
              </w:trPr>
              <w:tc>
                <w:tcPr>
                  <w:tcW w:w="1436" w:type="dxa"/>
                  <w:vMerge w:val="continue"/>
                  <w:tcBorders>
                    <w:tl2br w:val="nil"/>
                    <w:tr2bl w:val="nil"/>
                  </w:tcBorders>
                  <w:shd w:val="clear" w:color="auto" w:fill="auto"/>
                  <w:vAlign w:val="center"/>
                </w:tcPr>
                <w:p w14:paraId="762E9B9B">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3"/>
                      <w:sz w:val="21"/>
                      <w:szCs w:val="21"/>
                    </w:rPr>
                  </w:pPr>
                </w:p>
              </w:tc>
              <w:tc>
                <w:tcPr>
                  <w:tcW w:w="2054" w:type="dxa"/>
                  <w:tcBorders>
                    <w:tl2br w:val="nil"/>
                    <w:tr2bl w:val="nil"/>
                  </w:tcBorders>
                  <w:shd w:val="clear" w:color="auto" w:fill="auto"/>
                  <w:vAlign w:val="center"/>
                </w:tcPr>
                <w:p w14:paraId="474E0422">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eastAsia" w:ascii="Times New Roman" w:hAnsi="Times New Roman" w:eastAsia="宋体"/>
                      <w:color w:val="auto"/>
                      <w:spacing w:val="6"/>
                      <w:sz w:val="21"/>
                      <w:szCs w:val="21"/>
                      <w:lang w:val="en-US" w:eastAsia="zh-CN"/>
                    </w:rPr>
                  </w:pPr>
                  <w:r>
                    <w:rPr>
                      <w:rFonts w:hint="eastAsia" w:ascii="Times New Roman" w:hAnsi="Times New Roman"/>
                      <w:color w:val="auto"/>
                      <w:spacing w:val="6"/>
                      <w:sz w:val="21"/>
                      <w:szCs w:val="21"/>
                      <w:lang w:val="en-US" w:eastAsia="zh-CN"/>
                    </w:rPr>
                    <w:t>电泳区</w:t>
                  </w:r>
                </w:p>
              </w:tc>
              <w:tc>
                <w:tcPr>
                  <w:tcW w:w="3072" w:type="dxa"/>
                  <w:tcBorders>
                    <w:tl2br w:val="nil"/>
                    <w:tr2bl w:val="nil"/>
                  </w:tcBorders>
                  <w:shd w:val="clear" w:color="auto" w:fill="auto"/>
                  <w:vAlign w:val="center"/>
                </w:tcPr>
                <w:p w14:paraId="78E9980B">
                  <w:pPr>
                    <w:pStyle w:val="115"/>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15"/>
                      <w:sz w:val="21"/>
                      <w:szCs w:val="21"/>
                      <w:highlight w:val="yellow"/>
                    </w:rPr>
                  </w:pPr>
                  <w:r>
                    <w:rPr>
                      <w:rFonts w:hint="eastAsia" w:ascii="Times New Roman" w:hAnsi="Times New Roman" w:cs="宋体"/>
                      <w:color w:val="auto"/>
                      <w:kern w:val="2"/>
                      <w:sz w:val="21"/>
                      <w:szCs w:val="21"/>
                      <w:lang w:val="en-US" w:eastAsia="zh-CN" w:bidi="ar-SA"/>
                    </w:rPr>
                    <w:t>主要建设电泳工序，面积约1152m</w:t>
                  </w:r>
                  <w:r>
                    <w:rPr>
                      <w:rFonts w:hint="eastAsia" w:ascii="Times New Roman" w:hAnsi="Times New Roman" w:cs="宋体"/>
                      <w:color w:val="auto"/>
                      <w:kern w:val="2"/>
                      <w:sz w:val="21"/>
                      <w:szCs w:val="21"/>
                      <w:vertAlign w:val="superscript"/>
                      <w:lang w:val="en-US" w:eastAsia="zh-CN" w:bidi="ar-SA"/>
                    </w:rPr>
                    <w:t>2</w:t>
                  </w:r>
                </w:p>
              </w:tc>
              <w:tc>
                <w:tcPr>
                  <w:tcW w:w="2110" w:type="dxa"/>
                  <w:vMerge w:val="continue"/>
                  <w:tcBorders>
                    <w:tl2br w:val="nil"/>
                    <w:tr2bl w:val="nil"/>
                  </w:tcBorders>
                  <w:shd w:val="clear" w:color="auto" w:fill="auto"/>
                  <w:vAlign w:val="center"/>
                </w:tcPr>
                <w:p w14:paraId="765D4EC8">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4"/>
                      <w:sz w:val="21"/>
                      <w:szCs w:val="21"/>
                    </w:rPr>
                  </w:pPr>
                </w:p>
              </w:tc>
            </w:tr>
            <w:tr w14:paraId="7466E1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shd w:val="clear" w:color="auto" w:fill="auto"/>
                  <w:vAlign w:val="center"/>
                </w:tcPr>
                <w:p w14:paraId="4079D049">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3"/>
                      <w:sz w:val="21"/>
                      <w:szCs w:val="21"/>
                    </w:rPr>
                  </w:pPr>
                </w:p>
              </w:tc>
              <w:tc>
                <w:tcPr>
                  <w:tcW w:w="2054" w:type="dxa"/>
                  <w:tcBorders>
                    <w:tl2br w:val="nil"/>
                    <w:tr2bl w:val="nil"/>
                  </w:tcBorders>
                  <w:shd w:val="clear" w:color="auto" w:fill="auto"/>
                  <w:vAlign w:val="center"/>
                </w:tcPr>
                <w:p w14:paraId="185AED63">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default" w:ascii="Times New Roman" w:hAnsi="Times New Roman"/>
                      <w:color w:val="auto"/>
                      <w:spacing w:val="6"/>
                      <w:sz w:val="21"/>
                      <w:szCs w:val="21"/>
                      <w:lang w:val="en-US" w:eastAsia="zh-CN"/>
                    </w:rPr>
                  </w:pPr>
                  <w:r>
                    <w:rPr>
                      <w:rFonts w:hint="eastAsia" w:ascii="Times New Roman" w:hAnsi="Times New Roman"/>
                      <w:color w:val="auto"/>
                      <w:spacing w:val="6"/>
                      <w:sz w:val="21"/>
                      <w:szCs w:val="21"/>
                      <w:lang w:val="en-US" w:eastAsia="zh-CN"/>
                    </w:rPr>
                    <w:t>喷漆、喷粉区</w:t>
                  </w:r>
                </w:p>
              </w:tc>
              <w:tc>
                <w:tcPr>
                  <w:tcW w:w="3072" w:type="dxa"/>
                  <w:tcBorders>
                    <w:tl2br w:val="nil"/>
                    <w:tr2bl w:val="nil"/>
                  </w:tcBorders>
                  <w:shd w:val="clear" w:color="auto" w:fill="auto"/>
                  <w:vAlign w:val="center"/>
                </w:tcPr>
                <w:p w14:paraId="2F5D263B">
                  <w:pPr>
                    <w:pStyle w:val="115"/>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主要建设</w:t>
                  </w:r>
                  <w:r>
                    <w:rPr>
                      <w:rFonts w:hint="eastAsia" w:ascii="Times New Roman" w:hAnsi="Times New Roman"/>
                      <w:color w:val="auto"/>
                      <w:spacing w:val="6"/>
                      <w:sz w:val="21"/>
                      <w:szCs w:val="21"/>
                      <w:lang w:val="en-US" w:eastAsia="zh-CN"/>
                    </w:rPr>
                    <w:t>喷漆、</w:t>
                  </w:r>
                  <w:r>
                    <w:rPr>
                      <w:rFonts w:hint="eastAsia" w:ascii="Times New Roman" w:hAnsi="Times New Roman" w:cs="宋体"/>
                      <w:color w:val="auto"/>
                      <w:kern w:val="2"/>
                      <w:sz w:val="21"/>
                      <w:szCs w:val="21"/>
                      <w:lang w:val="en-US" w:eastAsia="zh-CN" w:bidi="ar-SA"/>
                    </w:rPr>
                    <w:t>喷粉工序，面积约624m</w:t>
                  </w:r>
                  <w:r>
                    <w:rPr>
                      <w:rFonts w:hint="eastAsia" w:ascii="Times New Roman" w:hAnsi="Times New Roman" w:cs="宋体"/>
                      <w:color w:val="auto"/>
                      <w:kern w:val="2"/>
                      <w:sz w:val="21"/>
                      <w:szCs w:val="21"/>
                      <w:vertAlign w:val="superscript"/>
                      <w:lang w:val="en-US" w:eastAsia="zh-CN" w:bidi="ar-SA"/>
                    </w:rPr>
                    <w:t>2</w:t>
                  </w:r>
                </w:p>
              </w:tc>
              <w:tc>
                <w:tcPr>
                  <w:tcW w:w="2110" w:type="dxa"/>
                  <w:vMerge w:val="continue"/>
                  <w:tcBorders>
                    <w:tl2br w:val="nil"/>
                    <w:tr2bl w:val="nil"/>
                  </w:tcBorders>
                  <w:shd w:val="clear" w:color="auto" w:fill="auto"/>
                  <w:vAlign w:val="center"/>
                </w:tcPr>
                <w:p w14:paraId="6F921F51">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olor w:val="auto"/>
                      <w:spacing w:val="4"/>
                      <w:sz w:val="21"/>
                      <w:szCs w:val="21"/>
                    </w:rPr>
                  </w:pPr>
                </w:p>
              </w:tc>
            </w:tr>
            <w:tr w14:paraId="5A7A24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l2br w:val="nil"/>
                    <w:tr2bl w:val="nil"/>
                  </w:tcBorders>
                  <w:shd w:val="clear" w:color="auto" w:fill="auto"/>
                  <w:vAlign w:val="center"/>
                </w:tcPr>
                <w:p w14:paraId="088BE510">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储运</w:t>
                  </w:r>
                </w:p>
                <w:p w14:paraId="6BE066A2">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工程</w:t>
                  </w:r>
                </w:p>
              </w:tc>
              <w:tc>
                <w:tcPr>
                  <w:tcW w:w="2054" w:type="dxa"/>
                  <w:tcBorders>
                    <w:tl2br w:val="nil"/>
                    <w:tr2bl w:val="nil"/>
                  </w:tcBorders>
                  <w:shd w:val="clear" w:color="auto" w:fill="auto"/>
                  <w:vAlign w:val="center"/>
                </w:tcPr>
                <w:p w14:paraId="61DF25E8">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color w:val="auto"/>
                      <w:spacing w:val="8"/>
                      <w:sz w:val="21"/>
                      <w:szCs w:val="21"/>
                      <w:lang w:val="en-US" w:eastAsia="zh-CN"/>
                    </w:rPr>
                    <w:t>原材料区</w:t>
                  </w:r>
                </w:p>
              </w:tc>
              <w:tc>
                <w:tcPr>
                  <w:tcW w:w="3072" w:type="dxa"/>
                  <w:tcBorders>
                    <w:tl2br w:val="nil"/>
                    <w:tr2bl w:val="nil"/>
                  </w:tcBorders>
                  <w:shd w:val="clear" w:color="auto" w:fill="auto"/>
                  <w:vAlign w:val="center"/>
                </w:tcPr>
                <w:p w14:paraId="36BC4296">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s="宋体"/>
                      <w:color w:val="auto"/>
                      <w:kern w:val="2"/>
                      <w:sz w:val="21"/>
                      <w:szCs w:val="21"/>
                      <w:highlight w:val="none"/>
                      <w:lang w:val="en-US" w:eastAsia="en-US" w:bidi="ar-SA"/>
                    </w:rPr>
                  </w:pPr>
                  <w:r>
                    <w:rPr>
                      <w:rFonts w:ascii="Times New Roman" w:hAnsi="Times New Roman" w:eastAsia="宋体"/>
                      <w:color w:val="auto"/>
                      <w:spacing w:val="10"/>
                      <w:position w:val="1"/>
                      <w:sz w:val="21"/>
                      <w:szCs w:val="21"/>
                      <w:highlight w:val="none"/>
                    </w:rPr>
                    <w:t>厂房</w:t>
                  </w:r>
                  <w:r>
                    <w:rPr>
                      <w:rFonts w:hint="eastAsia" w:ascii="Times New Roman" w:hAnsi="Times New Roman"/>
                      <w:color w:val="auto"/>
                      <w:spacing w:val="10"/>
                      <w:position w:val="1"/>
                      <w:sz w:val="21"/>
                      <w:szCs w:val="21"/>
                      <w:highlight w:val="none"/>
                      <w:lang w:val="en-US" w:eastAsia="zh-CN"/>
                    </w:rPr>
                    <w:t>东南</w:t>
                  </w:r>
                  <w:r>
                    <w:rPr>
                      <w:rFonts w:ascii="Times New Roman" w:hAnsi="Times New Roman" w:eastAsia="宋体"/>
                      <w:color w:val="auto"/>
                      <w:spacing w:val="10"/>
                      <w:position w:val="1"/>
                      <w:sz w:val="21"/>
                      <w:szCs w:val="21"/>
                      <w:highlight w:val="none"/>
                    </w:rPr>
                    <w:t>侧</w:t>
                  </w:r>
                  <w:r>
                    <w:rPr>
                      <w:rFonts w:hint="eastAsia" w:ascii="Times New Roman" w:hAnsi="Times New Roman" w:eastAsia="宋体"/>
                      <w:color w:val="auto"/>
                      <w:spacing w:val="10"/>
                      <w:position w:val="1"/>
                      <w:sz w:val="21"/>
                      <w:szCs w:val="21"/>
                      <w:highlight w:val="none"/>
                      <w:lang w:eastAsia="zh-CN"/>
                    </w:rPr>
                    <w:t>，</w:t>
                  </w:r>
                  <w:r>
                    <w:rPr>
                      <w:rFonts w:ascii="Times New Roman" w:hAnsi="Times New Roman" w:eastAsia="宋体"/>
                      <w:color w:val="auto"/>
                      <w:spacing w:val="9"/>
                      <w:sz w:val="21"/>
                      <w:szCs w:val="21"/>
                      <w:highlight w:val="none"/>
                    </w:rPr>
                    <w:t>主要承担</w:t>
                  </w:r>
                  <w:r>
                    <w:rPr>
                      <w:rFonts w:hint="eastAsia" w:ascii="Times New Roman" w:hAnsi="Times New Roman"/>
                      <w:color w:val="auto"/>
                      <w:spacing w:val="9"/>
                      <w:sz w:val="21"/>
                      <w:szCs w:val="21"/>
                      <w:highlight w:val="none"/>
                      <w:lang w:val="en-US" w:eastAsia="zh-CN"/>
                    </w:rPr>
                    <w:t>电泳</w:t>
                  </w:r>
                  <w:r>
                    <w:rPr>
                      <w:rFonts w:ascii="Times New Roman" w:hAnsi="Times New Roman" w:eastAsia="宋体"/>
                      <w:color w:val="auto"/>
                      <w:spacing w:val="9"/>
                      <w:sz w:val="21"/>
                      <w:szCs w:val="21"/>
                      <w:highlight w:val="none"/>
                    </w:rPr>
                    <w:t>涂料等存放任务，仓库面积</w:t>
                  </w:r>
                  <w:r>
                    <w:rPr>
                      <w:rFonts w:hint="eastAsia" w:ascii="Times New Roman" w:hAnsi="Times New Roman" w:cs="宋体"/>
                      <w:color w:val="auto"/>
                      <w:kern w:val="2"/>
                      <w:sz w:val="21"/>
                      <w:szCs w:val="21"/>
                      <w:lang w:val="en-US" w:eastAsia="zh-CN" w:bidi="ar-SA"/>
                    </w:rPr>
                    <w:t>约</w:t>
                  </w:r>
                  <w:r>
                    <w:rPr>
                      <w:rFonts w:hint="eastAsia" w:ascii="Times New Roman" w:hAnsi="Times New Roman"/>
                      <w:color w:val="auto"/>
                      <w:spacing w:val="9"/>
                      <w:sz w:val="21"/>
                      <w:szCs w:val="21"/>
                      <w:highlight w:val="none"/>
                      <w:lang w:val="en-US" w:eastAsia="zh-CN"/>
                    </w:rPr>
                    <w:t>428</w:t>
                  </w:r>
                  <w:r>
                    <w:rPr>
                      <w:rFonts w:ascii="Times New Roman" w:hAnsi="Times New Roman" w:eastAsia="宋体" w:cs="Times New Roman"/>
                      <w:color w:val="auto"/>
                      <w:spacing w:val="3"/>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p>
              </w:tc>
              <w:tc>
                <w:tcPr>
                  <w:tcW w:w="2110" w:type="dxa"/>
                  <w:vMerge w:val="continue"/>
                  <w:tcBorders>
                    <w:tl2br w:val="nil"/>
                    <w:tr2bl w:val="nil"/>
                  </w:tcBorders>
                  <w:shd w:val="clear" w:color="auto" w:fill="auto"/>
                  <w:vAlign w:val="center"/>
                </w:tcPr>
                <w:p w14:paraId="7858AFA1">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543ABE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48C9C3B1">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5C37AEA5">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spacing w:val="7"/>
                      <w:sz w:val="21"/>
                      <w:szCs w:val="21"/>
                      <w:lang w:val="en-US" w:eastAsia="zh-CN"/>
                    </w:rPr>
                    <w:t>半成品区</w:t>
                  </w:r>
                </w:p>
              </w:tc>
              <w:tc>
                <w:tcPr>
                  <w:tcW w:w="3072" w:type="dxa"/>
                  <w:tcBorders>
                    <w:tl2br w:val="nil"/>
                    <w:tr2bl w:val="nil"/>
                  </w:tcBorders>
                  <w:shd w:val="clear" w:color="auto" w:fill="auto"/>
                  <w:vAlign w:val="center"/>
                </w:tcPr>
                <w:p w14:paraId="2B1CC6A1">
                  <w:pPr>
                    <w:pStyle w:val="115"/>
                    <w:keepNext w:val="0"/>
                    <w:keepLines w:val="0"/>
                    <w:pageBreakBefore w:val="0"/>
                    <w:widowControl w:val="0"/>
                    <w:kinsoku/>
                    <w:wordWrap/>
                    <w:overflowPunct/>
                    <w:topLinePunct w:val="0"/>
                    <w:bidi w:val="0"/>
                    <w:adjustRightInd/>
                    <w:snapToGrid/>
                    <w:spacing w:line="240" w:lineRule="auto"/>
                    <w:ind w:left="0" w:leftChars="0" w:right="0" w:firstLine="0" w:firstLineChars="0"/>
                    <w:jc w:val="center"/>
                    <w:textAlignment w:val="auto"/>
                    <w:rPr>
                      <w:rFonts w:ascii="Times New Roman" w:hAnsi="Times New Roman" w:eastAsia="宋体" w:cs="宋体"/>
                      <w:color w:val="auto"/>
                      <w:kern w:val="2"/>
                      <w:sz w:val="21"/>
                      <w:szCs w:val="21"/>
                      <w:highlight w:val="none"/>
                      <w:lang w:val="en-US" w:eastAsia="en-US" w:bidi="ar-SA"/>
                    </w:rPr>
                  </w:pPr>
                  <w:r>
                    <w:rPr>
                      <w:rFonts w:ascii="Times New Roman" w:hAnsi="Times New Roman" w:eastAsia="宋体"/>
                      <w:color w:val="auto"/>
                      <w:spacing w:val="10"/>
                      <w:position w:val="1"/>
                      <w:sz w:val="21"/>
                      <w:szCs w:val="21"/>
                      <w:highlight w:val="none"/>
                    </w:rPr>
                    <w:t>位于厂房</w:t>
                  </w:r>
                  <w:r>
                    <w:rPr>
                      <w:rFonts w:hint="eastAsia" w:ascii="Times New Roman" w:hAnsi="Times New Roman"/>
                      <w:color w:val="auto"/>
                      <w:spacing w:val="10"/>
                      <w:position w:val="1"/>
                      <w:sz w:val="21"/>
                      <w:szCs w:val="21"/>
                      <w:highlight w:val="none"/>
                      <w:lang w:val="en-US" w:eastAsia="zh-CN"/>
                    </w:rPr>
                    <w:t>中部</w:t>
                  </w:r>
                  <w:r>
                    <w:rPr>
                      <w:rFonts w:ascii="Times New Roman" w:hAnsi="Times New Roman" w:eastAsia="宋体"/>
                      <w:color w:val="auto"/>
                      <w:spacing w:val="10"/>
                      <w:position w:val="1"/>
                      <w:sz w:val="21"/>
                      <w:szCs w:val="21"/>
                      <w:highlight w:val="none"/>
                    </w:rPr>
                    <w:t>，面积</w:t>
                  </w:r>
                  <w:r>
                    <w:rPr>
                      <w:rFonts w:hint="eastAsia" w:ascii="Times New Roman" w:hAnsi="Times New Roman" w:cs="宋体"/>
                      <w:color w:val="auto"/>
                      <w:kern w:val="2"/>
                      <w:sz w:val="21"/>
                      <w:szCs w:val="21"/>
                      <w:lang w:val="en-US" w:eastAsia="zh-CN" w:bidi="ar-SA"/>
                    </w:rPr>
                    <w:t>约</w:t>
                  </w:r>
                  <w:r>
                    <w:rPr>
                      <w:rFonts w:hint="eastAsia" w:ascii="Times New Roman" w:hAnsi="Times New Roman"/>
                      <w:color w:val="auto"/>
                      <w:spacing w:val="10"/>
                      <w:position w:val="1"/>
                      <w:sz w:val="21"/>
                      <w:szCs w:val="21"/>
                      <w:highlight w:val="none"/>
                      <w:lang w:val="en-US" w:eastAsia="zh-CN"/>
                    </w:rPr>
                    <w:t>264</w:t>
                  </w:r>
                  <w:r>
                    <w:rPr>
                      <w:rFonts w:ascii="Times New Roman" w:hAnsi="Times New Roman" w:eastAsia="宋体" w:cs="Times New Roman"/>
                      <w:color w:val="auto"/>
                      <w:spacing w:val="10"/>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p>
              </w:tc>
              <w:tc>
                <w:tcPr>
                  <w:tcW w:w="2110" w:type="dxa"/>
                  <w:vMerge w:val="continue"/>
                  <w:tcBorders>
                    <w:tl2br w:val="nil"/>
                    <w:tr2bl w:val="nil"/>
                  </w:tcBorders>
                  <w:shd w:val="clear" w:color="auto" w:fill="auto"/>
                  <w:vAlign w:val="center"/>
                </w:tcPr>
                <w:p w14:paraId="03A8D791">
                  <w:pPr>
                    <w:pStyle w:val="115"/>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s="宋体"/>
                      <w:color w:val="auto"/>
                      <w:kern w:val="2"/>
                      <w:sz w:val="21"/>
                      <w:szCs w:val="21"/>
                      <w:lang w:val="en-US" w:eastAsia="en-US" w:bidi="ar-SA"/>
                    </w:rPr>
                  </w:pPr>
                </w:p>
              </w:tc>
            </w:tr>
            <w:tr w14:paraId="1CE7CE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910AB82">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2036F7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1"/>
                      <w:lang w:val="en-US" w:eastAsia="zh-CN" w:bidi="ar-SA"/>
                    </w:rPr>
                  </w:pPr>
                  <w:r>
                    <w:rPr>
                      <w:rFonts w:hint="eastAsia" w:ascii="Times New Roman" w:hAnsi="Times New Roman"/>
                      <w:color w:val="auto"/>
                      <w:spacing w:val="6"/>
                      <w:sz w:val="21"/>
                      <w:szCs w:val="21"/>
                      <w:lang w:eastAsia="zh-CN"/>
                    </w:rPr>
                    <w:t>危废贮存库</w:t>
                  </w:r>
                </w:p>
              </w:tc>
              <w:tc>
                <w:tcPr>
                  <w:tcW w:w="3072" w:type="dxa"/>
                  <w:tcBorders>
                    <w:tl2br w:val="nil"/>
                    <w:tr2bl w:val="nil"/>
                  </w:tcBorders>
                  <w:shd w:val="clear" w:color="auto" w:fill="auto"/>
                  <w:vAlign w:val="center"/>
                </w:tcPr>
                <w:p w14:paraId="28D82C0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highlight w:val="none"/>
                      <w:lang w:val="en-US" w:eastAsia="en-US" w:bidi="ar-SA"/>
                    </w:rPr>
                  </w:pPr>
                  <w:r>
                    <w:rPr>
                      <w:rFonts w:ascii="Times New Roman" w:hAnsi="Times New Roman" w:eastAsia="宋体"/>
                      <w:color w:val="auto"/>
                      <w:spacing w:val="10"/>
                      <w:position w:val="1"/>
                      <w:sz w:val="21"/>
                      <w:szCs w:val="21"/>
                      <w:highlight w:val="none"/>
                    </w:rPr>
                    <w:t>位于厂房</w:t>
                  </w:r>
                  <w:r>
                    <w:rPr>
                      <w:rFonts w:hint="eastAsia" w:ascii="Times New Roman" w:hAnsi="Times New Roman"/>
                      <w:color w:val="auto"/>
                      <w:spacing w:val="10"/>
                      <w:position w:val="1"/>
                      <w:sz w:val="21"/>
                      <w:szCs w:val="21"/>
                      <w:highlight w:val="none"/>
                      <w:lang w:val="en-US" w:eastAsia="zh-CN"/>
                    </w:rPr>
                    <w:t>西南</w:t>
                  </w:r>
                  <w:r>
                    <w:rPr>
                      <w:rFonts w:ascii="Times New Roman" w:hAnsi="Times New Roman" w:eastAsia="宋体"/>
                      <w:color w:val="auto"/>
                      <w:spacing w:val="10"/>
                      <w:position w:val="1"/>
                      <w:sz w:val="21"/>
                      <w:szCs w:val="21"/>
                      <w:highlight w:val="none"/>
                    </w:rPr>
                    <w:t>侧，面积</w:t>
                  </w:r>
                  <w:r>
                    <w:rPr>
                      <w:rFonts w:hint="eastAsia" w:ascii="Times New Roman" w:hAnsi="Times New Roman" w:cs="宋体"/>
                      <w:color w:val="auto"/>
                      <w:kern w:val="2"/>
                      <w:sz w:val="21"/>
                      <w:szCs w:val="21"/>
                      <w:lang w:val="en-US" w:eastAsia="zh-CN" w:bidi="ar-SA"/>
                    </w:rPr>
                    <w:t>约</w:t>
                  </w:r>
                  <w:r>
                    <w:rPr>
                      <w:rFonts w:hint="eastAsia" w:ascii="Times New Roman" w:hAnsi="Times New Roman" w:cs="Times New Roman"/>
                      <w:color w:val="auto"/>
                      <w:spacing w:val="10"/>
                      <w:position w:val="1"/>
                      <w:sz w:val="21"/>
                      <w:szCs w:val="21"/>
                      <w:highlight w:val="none"/>
                      <w:lang w:val="en-US" w:eastAsia="zh-CN"/>
                    </w:rPr>
                    <w:t>5</w:t>
                  </w:r>
                  <w:r>
                    <w:rPr>
                      <w:rFonts w:ascii="Times New Roman" w:hAnsi="Times New Roman" w:eastAsia="宋体" w:cs="Times New Roman"/>
                      <w:color w:val="auto"/>
                      <w:spacing w:val="10"/>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p>
              </w:tc>
              <w:tc>
                <w:tcPr>
                  <w:tcW w:w="2110" w:type="dxa"/>
                  <w:vMerge w:val="continue"/>
                  <w:tcBorders>
                    <w:tl2br w:val="nil"/>
                    <w:tr2bl w:val="nil"/>
                  </w:tcBorders>
                  <w:shd w:val="clear" w:color="auto" w:fill="auto"/>
                  <w:vAlign w:val="center"/>
                </w:tcPr>
                <w:p w14:paraId="5AA725DA">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5B61BD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Height w:val="302" w:hRule="atLeast"/>
              </w:trPr>
              <w:tc>
                <w:tcPr>
                  <w:tcW w:w="1436" w:type="dxa"/>
                  <w:vMerge w:val="continue"/>
                  <w:tcBorders>
                    <w:tl2br w:val="nil"/>
                    <w:tr2bl w:val="nil"/>
                  </w:tcBorders>
                  <w:vAlign w:val="center"/>
                </w:tcPr>
                <w:p w14:paraId="3A84C792">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1C940B9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5"/>
                      <w:sz w:val="21"/>
                      <w:szCs w:val="21"/>
                    </w:rPr>
                    <w:t>成品库</w:t>
                  </w:r>
                </w:p>
              </w:tc>
              <w:tc>
                <w:tcPr>
                  <w:tcW w:w="3072" w:type="dxa"/>
                  <w:tcBorders>
                    <w:tl2br w:val="nil"/>
                    <w:tr2bl w:val="nil"/>
                  </w:tcBorders>
                  <w:shd w:val="clear" w:color="auto" w:fill="auto"/>
                  <w:vAlign w:val="center"/>
                </w:tcPr>
                <w:p w14:paraId="78B7B1C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highlight w:val="none"/>
                      <w:lang w:val="en-US" w:eastAsia="en-US" w:bidi="ar-SA"/>
                    </w:rPr>
                  </w:pPr>
                  <w:r>
                    <w:rPr>
                      <w:rFonts w:ascii="Times New Roman" w:hAnsi="Times New Roman" w:eastAsia="宋体"/>
                      <w:color w:val="auto"/>
                      <w:spacing w:val="10"/>
                      <w:position w:val="1"/>
                      <w:sz w:val="21"/>
                      <w:szCs w:val="21"/>
                      <w:highlight w:val="none"/>
                    </w:rPr>
                    <w:t>位于厂房</w:t>
                  </w:r>
                  <w:r>
                    <w:rPr>
                      <w:rFonts w:hint="eastAsia" w:ascii="Times New Roman" w:hAnsi="Times New Roman"/>
                      <w:color w:val="auto"/>
                      <w:spacing w:val="10"/>
                      <w:position w:val="1"/>
                      <w:sz w:val="21"/>
                      <w:szCs w:val="21"/>
                      <w:highlight w:val="none"/>
                      <w:lang w:val="en-US" w:eastAsia="zh-CN"/>
                    </w:rPr>
                    <w:t>东</w:t>
                  </w:r>
                  <w:r>
                    <w:rPr>
                      <w:rFonts w:ascii="Times New Roman" w:hAnsi="Times New Roman" w:eastAsia="宋体"/>
                      <w:color w:val="auto"/>
                      <w:spacing w:val="10"/>
                      <w:position w:val="1"/>
                      <w:sz w:val="21"/>
                      <w:szCs w:val="21"/>
                      <w:highlight w:val="none"/>
                    </w:rPr>
                    <w:t>侧，面积</w:t>
                  </w:r>
                  <w:r>
                    <w:rPr>
                      <w:rFonts w:hint="eastAsia" w:ascii="Times New Roman" w:hAnsi="Times New Roman" w:cs="宋体"/>
                      <w:color w:val="auto"/>
                      <w:kern w:val="2"/>
                      <w:sz w:val="21"/>
                      <w:szCs w:val="21"/>
                      <w:lang w:val="en-US" w:eastAsia="zh-CN" w:bidi="ar-SA"/>
                    </w:rPr>
                    <w:t>约</w:t>
                  </w:r>
                  <w:r>
                    <w:rPr>
                      <w:rFonts w:hint="eastAsia" w:ascii="Times New Roman" w:hAnsi="Times New Roman"/>
                      <w:color w:val="auto"/>
                      <w:spacing w:val="10"/>
                      <w:position w:val="1"/>
                      <w:sz w:val="21"/>
                      <w:szCs w:val="21"/>
                      <w:highlight w:val="none"/>
                      <w:lang w:val="en-US" w:eastAsia="zh-CN"/>
                    </w:rPr>
                    <w:t>312</w:t>
                  </w:r>
                  <w:r>
                    <w:rPr>
                      <w:rFonts w:ascii="Times New Roman" w:hAnsi="Times New Roman" w:eastAsia="宋体" w:cs="Times New Roman"/>
                      <w:color w:val="auto"/>
                      <w:spacing w:val="10"/>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p>
              </w:tc>
              <w:tc>
                <w:tcPr>
                  <w:tcW w:w="2110" w:type="dxa"/>
                  <w:vMerge w:val="continue"/>
                  <w:tcBorders>
                    <w:tl2br w:val="nil"/>
                    <w:tr2bl w:val="nil"/>
                  </w:tcBorders>
                  <w:shd w:val="clear" w:color="auto" w:fill="auto"/>
                  <w:vAlign w:val="center"/>
                </w:tcPr>
                <w:p w14:paraId="10DAAB25">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6CC7D4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448CC19F">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0A2D98E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olor w:val="auto"/>
                      <w:spacing w:val="5"/>
                      <w:sz w:val="21"/>
                      <w:szCs w:val="21"/>
                      <w:lang w:val="en-US" w:eastAsia="zh-CN"/>
                    </w:rPr>
                  </w:pPr>
                  <w:r>
                    <w:rPr>
                      <w:rFonts w:hint="eastAsia" w:ascii="Times New Roman" w:hAnsi="Times New Roman"/>
                      <w:color w:val="auto"/>
                      <w:spacing w:val="5"/>
                      <w:sz w:val="21"/>
                      <w:szCs w:val="21"/>
                      <w:lang w:val="en-US" w:eastAsia="zh-CN"/>
                    </w:rPr>
                    <w:t>发货区</w:t>
                  </w:r>
                </w:p>
              </w:tc>
              <w:tc>
                <w:tcPr>
                  <w:tcW w:w="3072" w:type="dxa"/>
                  <w:tcBorders>
                    <w:tl2br w:val="nil"/>
                    <w:tr2bl w:val="nil"/>
                  </w:tcBorders>
                  <w:shd w:val="clear" w:color="auto" w:fill="auto"/>
                  <w:vAlign w:val="center"/>
                </w:tcPr>
                <w:p w14:paraId="6725FE1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olor w:val="auto"/>
                      <w:spacing w:val="10"/>
                      <w:position w:val="1"/>
                      <w:sz w:val="21"/>
                      <w:szCs w:val="21"/>
                      <w:highlight w:val="none"/>
                      <w:lang w:val="en-US" w:eastAsia="zh-CN"/>
                    </w:rPr>
                  </w:pPr>
                  <w:r>
                    <w:rPr>
                      <w:rFonts w:hint="eastAsia" w:ascii="Times New Roman" w:hAnsi="Times New Roman"/>
                      <w:color w:val="auto"/>
                      <w:spacing w:val="10"/>
                      <w:position w:val="1"/>
                      <w:sz w:val="21"/>
                      <w:szCs w:val="21"/>
                      <w:highlight w:val="none"/>
                      <w:lang w:val="en-US" w:eastAsia="zh-CN"/>
                    </w:rPr>
                    <w:t>位于厂房东侧，面积</w:t>
                  </w:r>
                  <w:r>
                    <w:rPr>
                      <w:rFonts w:hint="eastAsia" w:ascii="Times New Roman" w:hAnsi="Times New Roman" w:cs="宋体"/>
                      <w:color w:val="auto"/>
                      <w:kern w:val="2"/>
                      <w:sz w:val="21"/>
                      <w:szCs w:val="21"/>
                      <w:lang w:val="en-US" w:eastAsia="zh-CN" w:bidi="ar-SA"/>
                    </w:rPr>
                    <w:t>约</w:t>
                  </w:r>
                  <w:r>
                    <w:rPr>
                      <w:rFonts w:hint="eastAsia" w:ascii="Times New Roman" w:hAnsi="Times New Roman"/>
                      <w:color w:val="auto"/>
                      <w:spacing w:val="10"/>
                      <w:position w:val="1"/>
                      <w:sz w:val="21"/>
                      <w:szCs w:val="21"/>
                      <w:highlight w:val="none"/>
                      <w:lang w:val="en-US" w:eastAsia="zh-CN"/>
                    </w:rPr>
                    <w:t>264</w:t>
                  </w:r>
                  <w:r>
                    <w:rPr>
                      <w:rFonts w:ascii="Times New Roman" w:hAnsi="Times New Roman" w:eastAsia="宋体" w:cs="Times New Roman"/>
                      <w:color w:val="auto"/>
                      <w:spacing w:val="10"/>
                      <w:position w:val="1"/>
                      <w:sz w:val="21"/>
                      <w:szCs w:val="21"/>
                      <w:highlight w:val="none"/>
                    </w:rPr>
                    <w:t>m</w:t>
                  </w:r>
                  <w:r>
                    <w:rPr>
                      <w:rFonts w:hint="eastAsia" w:ascii="Times New Roman" w:hAnsi="Times New Roman" w:eastAsia="宋体" w:cs="Times New Roman"/>
                      <w:color w:val="auto"/>
                      <w:spacing w:val="10"/>
                      <w:sz w:val="21"/>
                      <w:szCs w:val="21"/>
                      <w:highlight w:val="none"/>
                      <w:vertAlign w:val="superscript"/>
                      <w:lang w:val="en-US" w:eastAsia="zh-CN"/>
                    </w:rPr>
                    <w:t>2</w:t>
                  </w:r>
                </w:p>
              </w:tc>
              <w:tc>
                <w:tcPr>
                  <w:tcW w:w="2110" w:type="dxa"/>
                  <w:tcBorders>
                    <w:tl2br w:val="nil"/>
                    <w:tr2bl w:val="nil"/>
                  </w:tcBorders>
                  <w:shd w:val="clear" w:color="auto" w:fill="auto"/>
                  <w:vAlign w:val="center"/>
                </w:tcPr>
                <w:p w14:paraId="22484CD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p>
              </w:tc>
            </w:tr>
            <w:tr w14:paraId="6D36F2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l2br w:val="nil"/>
                    <w:tr2bl w:val="nil"/>
                  </w:tcBorders>
                  <w:shd w:val="clear" w:color="auto" w:fill="auto"/>
                  <w:vAlign w:val="center"/>
                </w:tcPr>
                <w:p w14:paraId="146DD1E6">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1"/>
                      <w:sz w:val="21"/>
                      <w:szCs w:val="21"/>
                    </w:rPr>
                    <w:t>公用</w:t>
                  </w:r>
                </w:p>
                <w:p w14:paraId="41DFE93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z w:val="21"/>
                      <w:szCs w:val="21"/>
                      <w:highlight w:val="none"/>
                      <w:vertAlign w:val="baseline"/>
                    </w:rPr>
                  </w:pPr>
                  <w:r>
                    <w:rPr>
                      <w:rFonts w:ascii="Times New Roman" w:hAnsi="Times New Roman" w:eastAsia="宋体"/>
                      <w:color w:val="auto"/>
                      <w:spacing w:val="3"/>
                      <w:sz w:val="21"/>
                      <w:szCs w:val="21"/>
                    </w:rPr>
                    <w:t>工程</w:t>
                  </w:r>
                </w:p>
              </w:tc>
              <w:tc>
                <w:tcPr>
                  <w:tcW w:w="2054" w:type="dxa"/>
                  <w:tcBorders>
                    <w:tl2br w:val="nil"/>
                    <w:tr2bl w:val="nil"/>
                  </w:tcBorders>
                  <w:shd w:val="clear" w:color="auto" w:fill="auto"/>
                  <w:vAlign w:val="center"/>
                </w:tcPr>
                <w:p w14:paraId="109B1BC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供水系统</w:t>
                  </w:r>
                </w:p>
              </w:tc>
              <w:tc>
                <w:tcPr>
                  <w:tcW w:w="3072" w:type="dxa"/>
                  <w:tcBorders>
                    <w:tl2br w:val="nil"/>
                    <w:tr2bl w:val="nil"/>
                  </w:tcBorders>
                  <w:shd w:val="clear" w:color="auto" w:fill="auto"/>
                  <w:vAlign w:val="center"/>
                </w:tcPr>
                <w:p w14:paraId="06B1F3A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s="宋体"/>
                      <w:color w:val="auto"/>
                      <w:kern w:val="2"/>
                      <w:sz w:val="21"/>
                      <w:szCs w:val="21"/>
                      <w:lang w:val="en-US" w:eastAsia="en-US" w:bidi="ar-SA"/>
                    </w:rPr>
                    <w:t>接市政供水管网</w:t>
                  </w:r>
                </w:p>
              </w:tc>
              <w:tc>
                <w:tcPr>
                  <w:tcW w:w="2110" w:type="dxa"/>
                  <w:tcBorders>
                    <w:tl2br w:val="nil"/>
                    <w:tr2bl w:val="nil"/>
                  </w:tcBorders>
                  <w:shd w:val="clear" w:color="auto" w:fill="auto"/>
                  <w:vAlign w:val="center"/>
                </w:tcPr>
                <w:p w14:paraId="0465106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依托</w:t>
                  </w:r>
                </w:p>
              </w:tc>
            </w:tr>
            <w:tr w14:paraId="69FAB5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5EAF325F">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15C4A45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排水系统</w:t>
                  </w:r>
                </w:p>
              </w:tc>
              <w:tc>
                <w:tcPr>
                  <w:tcW w:w="3072" w:type="dxa"/>
                  <w:tcBorders>
                    <w:tl2br w:val="nil"/>
                    <w:tr2bl w:val="nil"/>
                  </w:tcBorders>
                  <w:shd w:val="clear" w:color="auto" w:fill="auto"/>
                  <w:vAlign w:val="center"/>
                </w:tcPr>
                <w:p w14:paraId="2405E56D">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5"/>
                      <w:sz w:val="21"/>
                      <w:szCs w:val="21"/>
                    </w:rPr>
                    <w:t>采用雨污分流的排水体制，雨水经</w:t>
                  </w:r>
                  <w:r>
                    <w:rPr>
                      <w:rFonts w:ascii="Times New Roman" w:hAnsi="Times New Roman" w:eastAsia="宋体"/>
                      <w:color w:val="auto"/>
                      <w:spacing w:val="5"/>
                      <w:sz w:val="21"/>
                      <w:szCs w:val="21"/>
                      <w:highlight w:val="none"/>
                    </w:rPr>
                    <w:t>厂区雨水管道</w:t>
                  </w:r>
                  <w:r>
                    <w:rPr>
                      <w:rFonts w:ascii="Times New Roman" w:hAnsi="Times New Roman" w:eastAsia="宋体"/>
                      <w:color w:val="auto"/>
                      <w:spacing w:val="9"/>
                      <w:sz w:val="21"/>
                      <w:szCs w:val="21"/>
                      <w:highlight w:val="none"/>
                    </w:rPr>
                    <w:t>排入市政雨水管道。生产废水采用“</w:t>
                  </w:r>
                  <w:r>
                    <w:rPr>
                      <w:rFonts w:hint="eastAsia" w:ascii="Times New Roman" w:hAnsi="Times New Roman"/>
                      <w:color w:val="auto"/>
                      <w:spacing w:val="9"/>
                      <w:sz w:val="21"/>
                      <w:szCs w:val="21"/>
                      <w:highlight w:val="none"/>
                      <w:lang w:eastAsia="zh-CN"/>
                    </w:rPr>
                    <w:t>物化+A/O+沉淀</w:t>
                  </w:r>
                  <w:r>
                    <w:rPr>
                      <w:rFonts w:ascii="Times New Roman" w:hAnsi="Times New Roman" w:eastAsia="宋体"/>
                      <w:color w:val="auto"/>
                      <w:spacing w:val="4"/>
                      <w:position w:val="1"/>
                      <w:sz w:val="21"/>
                      <w:szCs w:val="21"/>
                      <w:highlight w:val="none"/>
                    </w:rPr>
                    <w:t>”的水处理工艺，处理后达</w:t>
                  </w:r>
                  <w:r>
                    <w:rPr>
                      <w:rFonts w:ascii="Times New Roman" w:hAnsi="Times New Roman" w:eastAsia="宋体"/>
                      <w:color w:val="auto"/>
                      <w:spacing w:val="6"/>
                      <w:position w:val="1"/>
                      <w:sz w:val="21"/>
                      <w:szCs w:val="21"/>
                      <w:highlight w:val="none"/>
                    </w:rPr>
                    <w:t>标</w:t>
                  </w:r>
                  <w:r>
                    <w:rPr>
                      <w:rFonts w:hint="eastAsia" w:ascii="Times New Roman" w:hAnsi="Times New Roman"/>
                      <w:color w:val="auto"/>
                      <w:spacing w:val="6"/>
                      <w:position w:val="1"/>
                      <w:sz w:val="21"/>
                      <w:szCs w:val="21"/>
                      <w:highlight w:val="none"/>
                      <w:lang w:val="en-US" w:eastAsia="zh-CN"/>
                    </w:rPr>
                    <w:t>排放</w:t>
                  </w:r>
                  <w:r>
                    <w:rPr>
                      <w:rFonts w:ascii="Times New Roman" w:hAnsi="Times New Roman" w:eastAsia="宋体"/>
                      <w:color w:val="auto"/>
                      <w:spacing w:val="5"/>
                      <w:sz w:val="21"/>
                      <w:szCs w:val="21"/>
                      <w:highlight w:val="none"/>
                    </w:rPr>
                    <w:t>后接入市政污水管网</w:t>
                  </w:r>
                  <w:r>
                    <w:rPr>
                      <w:rFonts w:hint="eastAsia" w:ascii="Times New Roman" w:hAnsi="Times New Roman"/>
                      <w:color w:val="auto"/>
                      <w:spacing w:val="6"/>
                      <w:position w:val="1"/>
                      <w:sz w:val="21"/>
                      <w:szCs w:val="21"/>
                      <w:highlight w:val="none"/>
                      <w:lang w:val="en-US" w:eastAsia="zh-CN"/>
                    </w:rPr>
                    <w:t>由</w:t>
                  </w:r>
                  <w:r>
                    <w:rPr>
                      <w:rFonts w:hint="eastAsia" w:ascii="Times New Roman" w:hAnsi="Times New Roman" w:eastAsia="宋体"/>
                      <w:color w:val="auto"/>
                      <w:spacing w:val="5"/>
                      <w:sz w:val="21"/>
                      <w:szCs w:val="21"/>
                      <w:highlight w:val="none"/>
                      <w:lang w:eastAsia="zh-CN"/>
                    </w:rPr>
                    <w:t>福清市第二污水处理厂</w:t>
                  </w:r>
                  <w:r>
                    <w:rPr>
                      <w:rFonts w:ascii="Times New Roman" w:hAnsi="Times New Roman" w:eastAsia="宋体"/>
                      <w:color w:val="auto"/>
                      <w:spacing w:val="5"/>
                      <w:sz w:val="21"/>
                      <w:szCs w:val="21"/>
                      <w:highlight w:val="none"/>
                    </w:rPr>
                    <w:t>接管；</w:t>
                  </w:r>
                  <w:r>
                    <w:rPr>
                      <w:rFonts w:ascii="Times New Roman" w:hAnsi="Times New Roman" w:eastAsia="宋体"/>
                      <w:color w:val="auto"/>
                      <w:spacing w:val="5"/>
                      <w:sz w:val="21"/>
                      <w:szCs w:val="21"/>
                      <w:highlight w:val="none"/>
                      <w:shd w:val="clear"/>
                    </w:rPr>
                    <w:t>生活污水经化粪池处理后</w:t>
                  </w:r>
                  <w:r>
                    <w:rPr>
                      <w:rFonts w:hint="eastAsia" w:ascii="Times New Roman" w:hAnsi="Times New Roman"/>
                      <w:color w:val="auto"/>
                      <w:spacing w:val="5"/>
                      <w:sz w:val="21"/>
                      <w:szCs w:val="21"/>
                      <w:highlight w:val="none"/>
                      <w:shd w:val="clear"/>
                      <w:lang w:val="en-US" w:eastAsia="zh-CN"/>
                    </w:rPr>
                    <w:t>接入市政污水管网送往</w:t>
                  </w:r>
                  <w:r>
                    <w:rPr>
                      <w:rFonts w:hint="eastAsia" w:ascii="Times New Roman" w:hAnsi="Times New Roman" w:eastAsia="宋体"/>
                      <w:color w:val="auto"/>
                      <w:spacing w:val="8"/>
                      <w:sz w:val="21"/>
                      <w:szCs w:val="21"/>
                      <w:highlight w:val="none"/>
                      <w:shd w:val="clear"/>
                      <w:lang w:eastAsia="zh-CN"/>
                    </w:rPr>
                    <w:t>福清市第二污水处理厂</w:t>
                  </w:r>
                  <w:r>
                    <w:rPr>
                      <w:rFonts w:hint="eastAsia" w:ascii="Times New Roman" w:hAnsi="Times New Roman"/>
                      <w:color w:val="auto"/>
                      <w:spacing w:val="8"/>
                      <w:sz w:val="21"/>
                      <w:szCs w:val="21"/>
                      <w:highlight w:val="none"/>
                      <w:shd w:val="clear"/>
                      <w:lang w:eastAsia="zh-CN"/>
                    </w:rPr>
                    <w:t>。</w:t>
                  </w:r>
                </w:p>
              </w:tc>
              <w:tc>
                <w:tcPr>
                  <w:tcW w:w="2110" w:type="dxa"/>
                  <w:tcBorders>
                    <w:tl2br w:val="nil"/>
                    <w:tr2bl w:val="nil"/>
                  </w:tcBorders>
                  <w:shd w:val="clear" w:color="auto" w:fill="auto"/>
                  <w:vAlign w:val="center"/>
                </w:tcPr>
                <w:p w14:paraId="23BDD736">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eastAsia" w:ascii="Times New Roman" w:hAnsi="Times New Roman"/>
                      <w:color w:val="auto"/>
                      <w:spacing w:val="4"/>
                      <w:sz w:val="21"/>
                      <w:szCs w:val="21"/>
                      <w:lang w:eastAsia="zh-CN"/>
                    </w:rPr>
                  </w:pPr>
                  <w:r>
                    <w:rPr>
                      <w:rFonts w:hint="eastAsia" w:ascii="Times New Roman" w:hAnsi="Times New Roman"/>
                      <w:color w:val="auto"/>
                      <w:spacing w:val="7"/>
                      <w:sz w:val="21"/>
                      <w:szCs w:val="21"/>
                      <w:lang w:val="en-US" w:eastAsia="zh-CN"/>
                    </w:rPr>
                    <w:t>废水处理设施</w:t>
                  </w:r>
                  <w:r>
                    <w:rPr>
                      <w:rFonts w:ascii="Times New Roman" w:hAnsi="Times New Roman" w:eastAsia="宋体"/>
                      <w:color w:val="auto"/>
                      <w:spacing w:val="7"/>
                      <w:sz w:val="21"/>
                      <w:szCs w:val="21"/>
                    </w:rPr>
                    <w:t>厂区内设施</w:t>
                  </w:r>
                  <w:r>
                    <w:rPr>
                      <w:rFonts w:ascii="Times New Roman" w:hAnsi="Times New Roman" w:eastAsia="宋体"/>
                      <w:color w:val="auto"/>
                      <w:spacing w:val="4"/>
                      <w:sz w:val="21"/>
                      <w:szCs w:val="21"/>
                    </w:rPr>
                    <w:t>新建</w:t>
                  </w:r>
                  <w:r>
                    <w:rPr>
                      <w:rFonts w:hint="eastAsia" w:ascii="Times New Roman" w:hAnsi="Times New Roman"/>
                      <w:color w:val="auto"/>
                      <w:spacing w:val="4"/>
                      <w:sz w:val="21"/>
                      <w:szCs w:val="21"/>
                      <w:lang w:eastAsia="zh-CN"/>
                    </w:rPr>
                    <w:t>；</w:t>
                  </w:r>
                </w:p>
                <w:p w14:paraId="70AE02D5">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spacing w:val="4"/>
                      <w:sz w:val="21"/>
                      <w:szCs w:val="21"/>
                      <w:lang w:val="en-US" w:eastAsia="zh-CN"/>
                    </w:rPr>
                    <w:t>化粪池依托原有厂区化粪池</w:t>
                  </w:r>
                </w:p>
              </w:tc>
            </w:tr>
            <w:tr w14:paraId="33DDE4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2F8ED153">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0128972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供气系统</w:t>
                  </w:r>
                </w:p>
              </w:tc>
              <w:tc>
                <w:tcPr>
                  <w:tcW w:w="3072" w:type="dxa"/>
                  <w:tcBorders>
                    <w:tl2br w:val="nil"/>
                    <w:tr2bl w:val="nil"/>
                  </w:tcBorders>
                  <w:shd w:val="clear" w:color="auto" w:fill="auto"/>
                  <w:vAlign w:val="center"/>
                </w:tcPr>
                <w:p w14:paraId="1F7DCDC2">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9"/>
                      <w:sz w:val="21"/>
                      <w:szCs w:val="21"/>
                      <w:highlight w:val="none"/>
                    </w:rPr>
                    <w:t>项目</w:t>
                  </w:r>
                  <w:r>
                    <w:rPr>
                      <w:rFonts w:hint="default" w:ascii="Times New Roman" w:hAnsi="Times New Roman" w:eastAsia="宋体"/>
                      <w:color w:val="auto"/>
                      <w:spacing w:val="9"/>
                      <w:sz w:val="21"/>
                      <w:szCs w:val="21"/>
                      <w:highlight w:val="none"/>
                      <w:lang w:val="en-US" w:eastAsia="zh-CN"/>
                    </w:rPr>
                    <w:t>天然气</w:t>
                  </w:r>
                  <w:r>
                    <w:rPr>
                      <w:rFonts w:hint="eastAsia" w:ascii="Times New Roman" w:hAnsi="Times New Roman"/>
                      <w:color w:val="auto"/>
                      <w:spacing w:val="9"/>
                      <w:sz w:val="21"/>
                      <w:szCs w:val="21"/>
                      <w:highlight w:val="none"/>
                      <w:lang w:val="en-US" w:eastAsia="zh-CN"/>
                    </w:rPr>
                    <w:t>固化炉</w:t>
                  </w:r>
                  <w:r>
                    <w:rPr>
                      <w:rFonts w:ascii="Times New Roman" w:hAnsi="Times New Roman" w:eastAsia="宋体"/>
                      <w:color w:val="auto"/>
                      <w:spacing w:val="9"/>
                      <w:sz w:val="21"/>
                      <w:szCs w:val="21"/>
                      <w:highlight w:val="none"/>
                    </w:rPr>
                    <w:t>所需天然气由</w:t>
                  </w:r>
                  <w:r>
                    <w:rPr>
                      <w:rFonts w:hint="eastAsia" w:ascii="Times New Roman" w:hAnsi="Times New Roman"/>
                      <w:color w:val="auto"/>
                      <w:spacing w:val="9"/>
                      <w:sz w:val="21"/>
                      <w:szCs w:val="21"/>
                      <w:highlight w:val="none"/>
                      <w:lang w:val="en-US" w:eastAsia="zh-CN"/>
                    </w:rPr>
                    <w:t>市政</w:t>
                  </w:r>
                  <w:r>
                    <w:rPr>
                      <w:rFonts w:ascii="Times New Roman" w:hAnsi="Times New Roman" w:eastAsia="宋体"/>
                      <w:color w:val="auto"/>
                      <w:spacing w:val="9"/>
                      <w:sz w:val="21"/>
                      <w:szCs w:val="21"/>
                      <w:highlight w:val="none"/>
                    </w:rPr>
                    <w:t>供气系统供应入厂，厂区内所需供气设施新建，年用气量</w:t>
                  </w:r>
                  <w:r>
                    <w:rPr>
                      <w:rFonts w:hint="eastAsia" w:ascii="Times New Roman" w:hAnsi="Times New Roman" w:cs="Times New Roman"/>
                      <w:color w:val="auto"/>
                      <w:spacing w:val="1"/>
                      <w:sz w:val="21"/>
                      <w:szCs w:val="21"/>
                      <w:highlight w:val="none"/>
                      <w:lang w:val="en-US" w:eastAsia="zh-CN"/>
                    </w:rPr>
                    <w:t>5</w:t>
                  </w:r>
                  <w:r>
                    <w:rPr>
                      <w:rFonts w:ascii="Times New Roman" w:hAnsi="Times New Roman" w:eastAsia="宋体" w:cs="Times New Roman"/>
                      <w:color w:val="auto"/>
                      <w:spacing w:val="1"/>
                      <w:sz w:val="21"/>
                      <w:szCs w:val="21"/>
                      <w:highlight w:val="none"/>
                    </w:rPr>
                    <w:t>0000m</w:t>
                  </w:r>
                  <w:r>
                    <w:rPr>
                      <w:rFonts w:hint="eastAsia" w:ascii="Times New Roman" w:hAnsi="Times New Roman" w:eastAsia="宋体" w:cs="Times New Roman"/>
                      <w:color w:val="auto"/>
                      <w:spacing w:val="1"/>
                      <w:sz w:val="21"/>
                      <w:szCs w:val="21"/>
                      <w:highlight w:val="none"/>
                      <w:vertAlign w:val="superscript"/>
                      <w:lang w:val="en-US" w:eastAsia="zh-CN"/>
                    </w:rPr>
                    <w:t>3</w:t>
                  </w:r>
                  <w:r>
                    <w:rPr>
                      <w:rFonts w:ascii="Times New Roman" w:hAnsi="Times New Roman" w:eastAsia="宋体"/>
                      <w:color w:val="auto"/>
                      <w:spacing w:val="1"/>
                      <w:sz w:val="21"/>
                      <w:szCs w:val="21"/>
                      <w:highlight w:val="none"/>
                    </w:rPr>
                    <w:t>。</w:t>
                  </w:r>
                </w:p>
              </w:tc>
              <w:tc>
                <w:tcPr>
                  <w:tcW w:w="2110" w:type="dxa"/>
                  <w:tcBorders>
                    <w:tl2br w:val="nil"/>
                    <w:tr2bl w:val="nil"/>
                  </w:tcBorders>
                  <w:shd w:val="clear" w:color="auto" w:fill="auto"/>
                  <w:vAlign w:val="center"/>
                </w:tcPr>
                <w:p w14:paraId="3F9D3FF1">
                  <w:pPr>
                    <w:pStyle w:val="115"/>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厂区内供气</w:t>
                  </w:r>
                  <w:r>
                    <w:rPr>
                      <w:rFonts w:ascii="Times New Roman" w:hAnsi="Times New Roman" w:eastAsia="宋体"/>
                      <w:color w:val="auto"/>
                      <w:spacing w:val="6"/>
                      <w:sz w:val="21"/>
                      <w:szCs w:val="21"/>
                    </w:rPr>
                    <w:t>设施新建</w:t>
                  </w:r>
                </w:p>
              </w:tc>
            </w:tr>
            <w:tr w14:paraId="21FB1F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501312A">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0EE55A7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纯水</w:t>
                  </w:r>
                </w:p>
              </w:tc>
              <w:tc>
                <w:tcPr>
                  <w:tcW w:w="3072" w:type="dxa"/>
                  <w:tcBorders>
                    <w:tl2br w:val="nil"/>
                    <w:tr2bl w:val="nil"/>
                  </w:tcBorders>
                  <w:shd w:val="clear" w:color="auto" w:fill="auto"/>
                  <w:vAlign w:val="center"/>
                </w:tcPr>
                <w:p w14:paraId="3A9CE1D0">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1"/>
                      <w:lang w:val="en-US" w:eastAsia="zh-CN" w:bidi="ar-SA"/>
                    </w:rPr>
                  </w:pPr>
                  <w:r>
                    <w:rPr>
                      <w:rFonts w:ascii="Times New Roman" w:hAnsi="Times New Roman" w:eastAsia="宋体"/>
                      <w:color w:val="auto"/>
                      <w:spacing w:val="7"/>
                      <w:position w:val="1"/>
                      <w:sz w:val="21"/>
                      <w:szCs w:val="21"/>
                    </w:rPr>
                    <w:t>本项目设有</w:t>
                  </w:r>
                  <w:r>
                    <w:rPr>
                      <w:rFonts w:ascii="Times New Roman" w:hAnsi="Times New Roman" w:eastAsia="宋体" w:cs="Times New Roman"/>
                      <w:color w:val="auto"/>
                      <w:spacing w:val="7"/>
                      <w:position w:val="1"/>
                      <w:sz w:val="21"/>
                      <w:szCs w:val="21"/>
                    </w:rPr>
                    <w:t>1</w:t>
                  </w:r>
                  <w:r>
                    <w:rPr>
                      <w:rFonts w:ascii="Times New Roman" w:hAnsi="Times New Roman" w:eastAsia="宋体"/>
                      <w:color w:val="auto"/>
                      <w:spacing w:val="7"/>
                      <w:position w:val="1"/>
                      <w:sz w:val="21"/>
                      <w:szCs w:val="21"/>
                    </w:rPr>
                    <w:t>套纯水制备系统，工艺为“过滤</w:t>
                  </w:r>
                  <w:r>
                    <w:rPr>
                      <w:rFonts w:ascii="Times New Roman" w:hAnsi="Times New Roman" w:eastAsia="宋体" w:cs="Times New Roman"/>
                      <w:color w:val="auto"/>
                      <w:spacing w:val="7"/>
                      <w:position w:val="1"/>
                      <w:sz w:val="21"/>
                      <w:szCs w:val="21"/>
                    </w:rPr>
                    <w:t>+</w:t>
                  </w:r>
                  <w:r>
                    <w:rPr>
                      <w:rFonts w:ascii="Times New Roman" w:hAnsi="Times New Roman" w:eastAsia="宋体"/>
                      <w:color w:val="auto"/>
                      <w:spacing w:val="3"/>
                      <w:sz w:val="21"/>
                      <w:szCs w:val="21"/>
                    </w:rPr>
                    <w:t>离子交换树脂</w:t>
                  </w:r>
                  <w:r>
                    <w:rPr>
                      <w:rFonts w:ascii="Times New Roman" w:hAnsi="Times New Roman" w:eastAsia="宋体" w:cs="Times New Roman"/>
                      <w:color w:val="auto"/>
                      <w:spacing w:val="3"/>
                      <w:sz w:val="21"/>
                      <w:szCs w:val="21"/>
                    </w:rPr>
                    <w:t>+</w:t>
                  </w:r>
                  <w:r>
                    <w:rPr>
                      <w:rFonts w:ascii="Times New Roman" w:hAnsi="Times New Roman" w:eastAsia="宋体" w:cs="Times New Roman"/>
                      <w:color w:val="auto"/>
                      <w:sz w:val="21"/>
                      <w:szCs w:val="21"/>
                    </w:rPr>
                    <w:t>RO</w:t>
                  </w:r>
                  <w:r>
                    <w:rPr>
                      <w:rFonts w:ascii="Times New Roman" w:hAnsi="Times New Roman" w:eastAsia="宋体"/>
                      <w:color w:val="auto"/>
                      <w:spacing w:val="3"/>
                      <w:sz w:val="21"/>
                      <w:szCs w:val="21"/>
                    </w:rPr>
                    <w:t>（反渗透）”</w:t>
                  </w:r>
                  <w:r>
                    <w:rPr>
                      <w:rFonts w:hint="eastAsia" w:ascii="Times New Roman" w:hAnsi="Times New Roman"/>
                      <w:color w:val="auto"/>
                      <w:spacing w:val="3"/>
                      <w:sz w:val="21"/>
                      <w:szCs w:val="21"/>
                      <w:lang w:eastAsia="zh-CN"/>
                    </w:rPr>
                    <w:t>，</w:t>
                  </w:r>
                  <w:r>
                    <w:rPr>
                      <w:rFonts w:ascii="Times New Roman" w:hAnsi="Times New Roman" w:eastAsia="宋体"/>
                      <w:color w:val="auto"/>
                      <w:spacing w:val="3"/>
                      <w:sz w:val="21"/>
                      <w:szCs w:val="21"/>
                    </w:rPr>
                    <w:t>设计产水量为</w:t>
                  </w:r>
                  <w:r>
                    <w:rPr>
                      <w:rFonts w:ascii="Times New Roman" w:hAnsi="Times New Roman" w:eastAsia="宋体" w:cs="Times New Roman"/>
                      <w:color w:val="auto"/>
                      <w:spacing w:val="6"/>
                      <w:sz w:val="21"/>
                      <w:szCs w:val="21"/>
                    </w:rPr>
                    <w:t>2t/h</w:t>
                  </w:r>
                  <w:r>
                    <w:rPr>
                      <w:rFonts w:ascii="Times New Roman" w:hAnsi="Times New Roman" w:eastAsia="宋体"/>
                      <w:color w:val="auto"/>
                      <w:spacing w:val="6"/>
                      <w:sz w:val="21"/>
                      <w:szCs w:val="21"/>
                    </w:rPr>
                    <w:t>，用于提供电泳线使用的纯水</w:t>
                  </w:r>
                  <w:r>
                    <w:rPr>
                      <w:rFonts w:hint="eastAsia" w:ascii="Times New Roman" w:hAnsi="Times New Roman"/>
                      <w:color w:val="auto"/>
                      <w:spacing w:val="6"/>
                      <w:sz w:val="21"/>
                      <w:szCs w:val="21"/>
                      <w:lang w:eastAsia="zh-CN"/>
                    </w:rPr>
                    <w:t>。</w:t>
                  </w:r>
                </w:p>
              </w:tc>
              <w:tc>
                <w:tcPr>
                  <w:tcW w:w="2110" w:type="dxa"/>
                  <w:tcBorders>
                    <w:tl2br w:val="nil"/>
                    <w:tr2bl w:val="nil"/>
                  </w:tcBorders>
                  <w:shd w:val="clear" w:color="auto" w:fill="auto"/>
                  <w:vAlign w:val="center"/>
                </w:tcPr>
                <w:p w14:paraId="4D6FA29D">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厂区内设施</w:t>
                  </w:r>
                  <w:r>
                    <w:rPr>
                      <w:rFonts w:ascii="Times New Roman" w:hAnsi="Times New Roman" w:eastAsia="宋体"/>
                      <w:color w:val="auto"/>
                      <w:spacing w:val="4"/>
                      <w:sz w:val="21"/>
                      <w:szCs w:val="21"/>
                    </w:rPr>
                    <w:t>新建</w:t>
                  </w:r>
                </w:p>
              </w:tc>
            </w:tr>
            <w:tr w14:paraId="316114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AD11D10">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531E24C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7"/>
                      <w:sz w:val="21"/>
                      <w:szCs w:val="21"/>
                    </w:rPr>
                    <w:t>供电系统</w:t>
                  </w:r>
                </w:p>
              </w:tc>
              <w:tc>
                <w:tcPr>
                  <w:tcW w:w="3072" w:type="dxa"/>
                  <w:tcBorders>
                    <w:tl2br w:val="nil"/>
                    <w:tr2bl w:val="nil"/>
                  </w:tcBorders>
                  <w:shd w:val="clear" w:color="auto" w:fill="auto"/>
                  <w:vAlign w:val="center"/>
                </w:tcPr>
                <w:p w14:paraId="2FF96B8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Times New Roman"/>
                      <w:color w:val="auto"/>
                      <w:kern w:val="2"/>
                      <w:sz w:val="21"/>
                      <w:szCs w:val="21"/>
                      <w:lang w:val="en-US" w:eastAsia="en-US" w:bidi="ar-SA"/>
                    </w:rPr>
                  </w:pPr>
                  <w:r>
                    <w:rPr>
                      <w:rFonts w:ascii="Times New Roman" w:hAnsi="Times New Roman" w:eastAsia="宋体" w:cs="宋体"/>
                      <w:color w:val="auto"/>
                      <w:kern w:val="2"/>
                      <w:sz w:val="21"/>
                      <w:szCs w:val="21"/>
                      <w:lang w:val="en-US" w:eastAsia="en-US" w:bidi="ar-SA"/>
                    </w:rPr>
                    <w:t>接市政供</w:t>
                  </w:r>
                  <w:r>
                    <w:rPr>
                      <w:rFonts w:hint="eastAsia" w:ascii="Times New Roman" w:hAnsi="Times New Roman" w:cs="宋体"/>
                      <w:color w:val="auto"/>
                      <w:kern w:val="2"/>
                      <w:sz w:val="21"/>
                      <w:szCs w:val="21"/>
                      <w:lang w:val="en-US" w:eastAsia="zh-CN" w:bidi="ar-SA"/>
                    </w:rPr>
                    <w:t>电</w:t>
                  </w:r>
                  <w:r>
                    <w:rPr>
                      <w:rFonts w:ascii="Times New Roman" w:hAnsi="Times New Roman" w:eastAsia="宋体" w:cs="宋体"/>
                      <w:color w:val="auto"/>
                      <w:kern w:val="2"/>
                      <w:sz w:val="21"/>
                      <w:szCs w:val="21"/>
                      <w:lang w:val="en-US" w:eastAsia="en-US" w:bidi="ar-SA"/>
                    </w:rPr>
                    <w:t>管网</w:t>
                  </w:r>
                </w:p>
              </w:tc>
              <w:tc>
                <w:tcPr>
                  <w:tcW w:w="2110" w:type="dxa"/>
                  <w:tcBorders>
                    <w:tl2br w:val="nil"/>
                    <w:tr2bl w:val="nil"/>
                  </w:tcBorders>
                  <w:shd w:val="clear" w:color="auto" w:fill="auto"/>
                  <w:vAlign w:val="center"/>
                </w:tcPr>
                <w:p w14:paraId="5251A01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依托</w:t>
                  </w:r>
                </w:p>
              </w:tc>
            </w:tr>
            <w:tr w14:paraId="748079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36" w:type="dxa"/>
                  <w:vMerge w:val="restart"/>
                  <w:tcBorders>
                    <w:tl2br w:val="nil"/>
                    <w:tr2bl w:val="nil"/>
                  </w:tcBorders>
                  <w:shd w:val="clear" w:color="auto" w:fill="auto"/>
                  <w:vAlign w:val="center"/>
                </w:tcPr>
                <w:p w14:paraId="7CF78091">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4"/>
                      <w:sz w:val="21"/>
                      <w:szCs w:val="21"/>
                    </w:rPr>
                    <w:t>环保</w:t>
                  </w:r>
                </w:p>
                <w:p w14:paraId="12A8846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z w:val="21"/>
                      <w:szCs w:val="21"/>
                      <w:highlight w:val="none"/>
                      <w:vertAlign w:val="baseline"/>
                    </w:rPr>
                  </w:pPr>
                  <w:r>
                    <w:rPr>
                      <w:rFonts w:ascii="Times New Roman" w:hAnsi="Times New Roman" w:eastAsia="宋体"/>
                      <w:color w:val="auto"/>
                      <w:spacing w:val="3"/>
                      <w:sz w:val="21"/>
                      <w:szCs w:val="21"/>
                    </w:rPr>
                    <w:t>工程</w:t>
                  </w:r>
                </w:p>
              </w:tc>
              <w:tc>
                <w:tcPr>
                  <w:tcW w:w="2054" w:type="dxa"/>
                  <w:vMerge w:val="restart"/>
                  <w:tcBorders>
                    <w:tl2br w:val="nil"/>
                    <w:tr2bl w:val="nil"/>
                  </w:tcBorders>
                  <w:shd w:val="clear" w:color="auto" w:fill="auto"/>
                  <w:vAlign w:val="center"/>
                </w:tcPr>
                <w:p w14:paraId="5FC31991">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7"/>
                      <w:sz w:val="21"/>
                      <w:szCs w:val="21"/>
                    </w:rPr>
                  </w:pPr>
                  <w:r>
                    <w:rPr>
                      <w:rFonts w:ascii="Times New Roman" w:hAnsi="Times New Roman" w:eastAsia="宋体"/>
                      <w:color w:val="auto"/>
                      <w:spacing w:val="8"/>
                      <w:sz w:val="21"/>
                      <w:szCs w:val="21"/>
                    </w:rPr>
                    <w:t>废水处理措</w:t>
                  </w:r>
                  <w:r>
                    <w:rPr>
                      <w:rFonts w:ascii="Times New Roman" w:hAnsi="Times New Roman" w:eastAsia="宋体"/>
                      <w:color w:val="auto"/>
                      <w:spacing w:val="1"/>
                      <w:sz w:val="21"/>
                      <w:szCs w:val="21"/>
                    </w:rPr>
                    <w:t>施</w:t>
                  </w:r>
                </w:p>
              </w:tc>
              <w:tc>
                <w:tcPr>
                  <w:tcW w:w="3072" w:type="dxa"/>
                  <w:tcBorders>
                    <w:tl2br w:val="nil"/>
                    <w:tr2bl w:val="nil"/>
                  </w:tcBorders>
                  <w:shd w:val="clear" w:color="auto" w:fill="auto"/>
                  <w:vAlign w:val="center"/>
                </w:tcPr>
                <w:p w14:paraId="0FE314E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6"/>
                      <w:sz w:val="21"/>
                      <w:szCs w:val="21"/>
                    </w:rPr>
                    <w:t>生产废水</w:t>
                  </w:r>
                </w:p>
              </w:tc>
              <w:tc>
                <w:tcPr>
                  <w:tcW w:w="2110" w:type="dxa"/>
                  <w:tcBorders>
                    <w:tl2br w:val="nil"/>
                    <w:tr2bl w:val="nil"/>
                  </w:tcBorders>
                  <w:shd w:val="clear" w:color="auto" w:fill="auto"/>
                  <w:vAlign w:val="center"/>
                </w:tcPr>
                <w:p w14:paraId="4D0B3B06">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本项目配套建设1座废水</w:t>
                  </w:r>
                  <w:r>
                    <w:rPr>
                      <w:rFonts w:ascii="Times New Roman" w:hAnsi="Times New Roman" w:eastAsia="宋体"/>
                      <w:color w:val="auto"/>
                      <w:spacing w:val="1"/>
                      <w:sz w:val="21"/>
                      <w:szCs w:val="21"/>
                    </w:rPr>
                    <w:t>处理设施，处理工艺为“</w:t>
                  </w:r>
                  <w:r>
                    <w:rPr>
                      <w:rFonts w:hint="eastAsia" w:ascii="Times New Roman" w:hAnsi="Times New Roman"/>
                      <w:color w:val="auto"/>
                      <w:spacing w:val="1"/>
                      <w:sz w:val="21"/>
                      <w:szCs w:val="21"/>
                      <w:lang w:val="en-US" w:eastAsia="zh-CN"/>
                    </w:rPr>
                    <w:t>物化+A/O+沉淀</w:t>
                  </w:r>
                  <w:r>
                    <w:rPr>
                      <w:rFonts w:ascii="Times New Roman" w:hAnsi="Times New Roman" w:eastAsia="宋体"/>
                      <w:color w:val="auto"/>
                      <w:spacing w:val="7"/>
                      <w:sz w:val="21"/>
                      <w:szCs w:val="21"/>
                    </w:rPr>
                    <w:t>工艺”。</w:t>
                  </w:r>
                </w:p>
                <w:p w14:paraId="58E441A9">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hint="default" w:ascii="Times New Roman" w:hAnsi="Times New Roman" w:eastAsia="宋体" w:cs="宋体"/>
                      <w:color w:val="auto"/>
                      <w:kern w:val="2"/>
                      <w:sz w:val="21"/>
                      <w:szCs w:val="21"/>
                      <w:lang w:val="en-US" w:eastAsia="zh-CN" w:bidi="ar-SA"/>
                    </w:rPr>
                  </w:pPr>
                  <w:r>
                    <w:rPr>
                      <w:rFonts w:ascii="Times New Roman" w:hAnsi="Times New Roman" w:eastAsia="宋体"/>
                      <w:color w:val="auto"/>
                      <w:spacing w:val="1"/>
                      <w:sz w:val="21"/>
                      <w:szCs w:val="21"/>
                    </w:rPr>
                    <w:t>本项目脱脂废水、</w:t>
                  </w:r>
                  <w:r>
                    <w:rPr>
                      <w:rFonts w:ascii="Times New Roman" w:hAnsi="Times New Roman" w:eastAsia="宋体"/>
                      <w:color w:val="auto"/>
                      <w:spacing w:val="-4"/>
                      <w:sz w:val="21"/>
                      <w:szCs w:val="21"/>
                    </w:rPr>
                    <w:t>脱脂后水洗废水、硅烷后水洗</w:t>
                  </w:r>
                  <w:r>
                    <w:rPr>
                      <w:rFonts w:ascii="Times New Roman" w:hAnsi="Times New Roman" w:eastAsia="宋体"/>
                      <w:color w:val="auto"/>
                      <w:spacing w:val="5"/>
                      <w:sz w:val="21"/>
                      <w:szCs w:val="21"/>
                    </w:rPr>
                    <w:t>废水、</w:t>
                  </w:r>
                  <w:r>
                    <w:rPr>
                      <w:rFonts w:hint="eastAsia" w:ascii="Times New Roman" w:hAnsi="Times New Roman"/>
                      <w:color w:val="auto"/>
                      <w:spacing w:val="1"/>
                      <w:sz w:val="21"/>
                      <w:szCs w:val="21"/>
                      <w:lang w:val="en-US" w:eastAsia="zh-CN"/>
                    </w:rPr>
                    <w:t>纯</w:t>
                  </w:r>
                  <w:r>
                    <w:rPr>
                      <w:rFonts w:ascii="Times New Roman" w:hAnsi="Times New Roman" w:eastAsia="宋体"/>
                      <w:color w:val="auto"/>
                      <w:spacing w:val="1"/>
                      <w:sz w:val="21"/>
                      <w:szCs w:val="21"/>
                    </w:rPr>
                    <w:t>水洗</w:t>
                  </w:r>
                  <w:r>
                    <w:rPr>
                      <w:rFonts w:hint="eastAsia" w:ascii="Times New Roman" w:hAnsi="Times New Roman"/>
                      <w:color w:val="auto"/>
                      <w:spacing w:val="1"/>
                      <w:sz w:val="21"/>
                      <w:szCs w:val="21"/>
                      <w:lang w:val="en-US" w:eastAsia="zh-CN"/>
                    </w:rPr>
                    <w:t>2</w:t>
                  </w:r>
                  <w:r>
                    <w:rPr>
                      <w:rFonts w:ascii="Times New Roman" w:hAnsi="Times New Roman" w:eastAsia="宋体"/>
                      <w:color w:val="auto"/>
                      <w:spacing w:val="1"/>
                      <w:sz w:val="21"/>
                      <w:szCs w:val="21"/>
                    </w:rPr>
                    <w:t>废水、</w:t>
                  </w:r>
                  <w:r>
                    <w:rPr>
                      <w:rFonts w:ascii="Times New Roman" w:hAnsi="Times New Roman" w:eastAsia="宋体" w:cs="Times New Roman"/>
                      <w:color w:val="auto"/>
                      <w:sz w:val="21"/>
                      <w:szCs w:val="21"/>
                    </w:rPr>
                    <w:t>UF</w:t>
                  </w:r>
                  <w:r>
                    <w:rPr>
                      <w:rFonts w:ascii="Times New Roman" w:hAnsi="Times New Roman" w:eastAsia="宋体"/>
                      <w:color w:val="auto"/>
                      <w:spacing w:val="5"/>
                      <w:sz w:val="21"/>
                      <w:szCs w:val="21"/>
                    </w:rPr>
                    <w:t>清洗后水洗废水、</w:t>
                  </w:r>
                  <w:r>
                    <w:rPr>
                      <w:rFonts w:ascii="Times New Roman" w:hAnsi="Times New Roman" w:eastAsia="宋体"/>
                      <w:color w:val="auto"/>
                      <w:spacing w:val="-4"/>
                      <w:sz w:val="21"/>
                      <w:szCs w:val="21"/>
                    </w:rPr>
                    <w:t>纯水制备尾水</w:t>
                  </w:r>
                  <w:r>
                    <w:rPr>
                      <w:rFonts w:hint="eastAsia" w:ascii="Times New Roman" w:hAnsi="Times New Roman"/>
                      <w:color w:val="auto"/>
                      <w:spacing w:val="-4"/>
                      <w:sz w:val="21"/>
                      <w:szCs w:val="21"/>
                      <w:lang w:eastAsia="zh-CN"/>
                    </w:rPr>
                    <w:t>、</w:t>
                  </w:r>
                  <w:r>
                    <w:rPr>
                      <w:rFonts w:hint="eastAsia" w:ascii="Times New Roman" w:hAnsi="Times New Roman"/>
                      <w:color w:val="auto"/>
                      <w:spacing w:val="-4"/>
                      <w:sz w:val="21"/>
                      <w:szCs w:val="21"/>
                      <w:lang w:val="en-US" w:eastAsia="zh-CN"/>
                    </w:rPr>
                    <w:t>水帘喷漆废水</w:t>
                  </w:r>
                  <w:r>
                    <w:rPr>
                      <w:rFonts w:ascii="Times New Roman" w:hAnsi="Times New Roman" w:eastAsia="宋体"/>
                      <w:color w:val="auto"/>
                      <w:spacing w:val="-4"/>
                      <w:sz w:val="21"/>
                      <w:szCs w:val="21"/>
                    </w:rPr>
                    <w:t>排水经</w:t>
                  </w:r>
                  <w:r>
                    <w:rPr>
                      <w:rFonts w:ascii="Times New Roman" w:hAnsi="Times New Roman" w:eastAsia="宋体"/>
                      <w:color w:val="auto"/>
                      <w:spacing w:val="8"/>
                      <w:sz w:val="21"/>
                      <w:szCs w:val="21"/>
                    </w:rPr>
                    <w:t>收集后进入废水处理设施处</w:t>
                  </w:r>
                  <w:r>
                    <w:rPr>
                      <w:rFonts w:ascii="Times New Roman" w:hAnsi="Times New Roman" w:eastAsia="宋体"/>
                      <w:color w:val="auto"/>
                      <w:sz w:val="21"/>
                      <w:szCs w:val="21"/>
                    </w:rPr>
                    <w:t>理，出水进入</w:t>
                  </w:r>
                  <w:r>
                    <w:rPr>
                      <w:rFonts w:hint="eastAsia" w:ascii="Times New Roman" w:hAnsi="Times New Roman"/>
                      <w:color w:val="auto"/>
                      <w:sz w:val="21"/>
                      <w:szCs w:val="21"/>
                      <w:lang w:val="en-US" w:eastAsia="zh-CN"/>
                    </w:rPr>
                    <w:t>市政</w:t>
                  </w:r>
                  <w:r>
                    <w:rPr>
                      <w:rFonts w:ascii="Times New Roman" w:hAnsi="Times New Roman" w:eastAsia="宋体"/>
                      <w:color w:val="auto"/>
                      <w:sz w:val="21"/>
                      <w:szCs w:val="21"/>
                    </w:rPr>
                    <w:t>污水管</w:t>
                  </w:r>
                  <w:r>
                    <w:rPr>
                      <w:rFonts w:hint="eastAsia" w:ascii="Times New Roman" w:hAnsi="Times New Roman"/>
                      <w:color w:val="auto"/>
                      <w:sz w:val="21"/>
                      <w:szCs w:val="21"/>
                      <w:lang w:val="en-US" w:eastAsia="zh-CN"/>
                    </w:rPr>
                    <w:t>网</w:t>
                  </w:r>
                  <w:r>
                    <w:rPr>
                      <w:rFonts w:ascii="Times New Roman" w:hAnsi="Times New Roman" w:eastAsia="宋体"/>
                      <w:color w:val="auto"/>
                      <w:sz w:val="21"/>
                      <w:szCs w:val="21"/>
                    </w:rPr>
                    <w:t>；</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DW002）</w:t>
                  </w:r>
                </w:p>
              </w:tc>
              <w:tc>
                <w:tcPr>
                  <w:tcW w:w="1318" w:type="dxa"/>
                  <w:tcBorders>
                    <w:tl2br w:val="nil"/>
                    <w:tr2bl w:val="nil"/>
                  </w:tcBorders>
                  <w:shd w:val="clear" w:color="auto" w:fill="auto"/>
                  <w:vAlign w:val="center"/>
                </w:tcPr>
                <w:p w14:paraId="15C297F9">
                  <w:pPr>
                    <w:pStyle w:val="115"/>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4"/>
                      <w:sz w:val="21"/>
                      <w:szCs w:val="21"/>
                    </w:rPr>
                    <w:t>新建</w:t>
                  </w:r>
                </w:p>
              </w:tc>
            </w:tr>
            <w:tr w14:paraId="116D44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36" w:type="dxa"/>
                  <w:vMerge w:val="continue"/>
                  <w:tcBorders>
                    <w:tl2br w:val="nil"/>
                    <w:tr2bl w:val="nil"/>
                  </w:tcBorders>
                  <w:vAlign w:val="center"/>
                </w:tcPr>
                <w:p w14:paraId="484079D3">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vMerge w:val="continue"/>
                  <w:tcBorders>
                    <w:tl2br w:val="nil"/>
                    <w:tr2bl w:val="nil"/>
                  </w:tcBorders>
                  <w:shd w:val="clear" w:color="auto" w:fill="auto"/>
                  <w:vAlign w:val="center"/>
                </w:tcPr>
                <w:p w14:paraId="798BF2D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7"/>
                      <w:sz w:val="21"/>
                      <w:szCs w:val="21"/>
                    </w:rPr>
                  </w:pPr>
                </w:p>
              </w:tc>
              <w:tc>
                <w:tcPr>
                  <w:tcW w:w="3072" w:type="dxa"/>
                  <w:tcBorders>
                    <w:tl2br w:val="nil"/>
                    <w:tr2bl w:val="nil"/>
                  </w:tcBorders>
                  <w:shd w:val="clear" w:color="auto" w:fill="auto"/>
                  <w:vAlign w:val="center"/>
                </w:tcPr>
                <w:p w14:paraId="7C32481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6"/>
                      <w:sz w:val="21"/>
                      <w:szCs w:val="21"/>
                    </w:rPr>
                    <w:t>生活污水</w:t>
                  </w:r>
                </w:p>
              </w:tc>
              <w:tc>
                <w:tcPr>
                  <w:tcW w:w="2110" w:type="dxa"/>
                  <w:tcBorders>
                    <w:tl2br w:val="nil"/>
                    <w:tr2bl w:val="nil"/>
                  </w:tcBorders>
                  <w:shd w:val="clear" w:color="auto" w:fill="auto"/>
                  <w:vAlign w:val="center"/>
                </w:tcPr>
                <w:p w14:paraId="50817AA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1"/>
                      <w:lang w:val="en-US" w:eastAsia="en-US" w:bidi="ar-SA"/>
                    </w:rPr>
                  </w:pPr>
                  <w:r>
                    <w:rPr>
                      <w:rFonts w:ascii="Times New Roman" w:hAnsi="Times New Roman" w:eastAsia="宋体"/>
                      <w:color w:val="auto"/>
                      <w:spacing w:val="1"/>
                      <w:sz w:val="21"/>
                      <w:szCs w:val="21"/>
                    </w:rPr>
                    <w:t>经化粪池预处理后，通过</w:t>
                  </w:r>
                  <w:r>
                    <w:rPr>
                      <w:rFonts w:hint="eastAsia" w:ascii="Times New Roman" w:hAnsi="Times New Roman"/>
                      <w:color w:val="auto"/>
                      <w:spacing w:val="1"/>
                      <w:sz w:val="21"/>
                      <w:szCs w:val="21"/>
                      <w:lang w:val="en-US" w:eastAsia="zh-CN"/>
                    </w:rPr>
                    <w:t>市政污</w:t>
                  </w:r>
                  <w:r>
                    <w:rPr>
                      <w:rFonts w:hint="eastAsia" w:ascii="Times New Roman" w:hAnsi="Times New Roman"/>
                      <w:color w:val="auto"/>
                      <w:spacing w:val="1"/>
                      <w:sz w:val="21"/>
                      <w:szCs w:val="21"/>
                      <w:highlight w:val="none"/>
                      <w:lang w:val="en-US" w:eastAsia="zh-CN"/>
                    </w:rPr>
                    <w:t>水</w:t>
                  </w:r>
                  <w:r>
                    <w:rPr>
                      <w:rFonts w:ascii="Times New Roman" w:hAnsi="Times New Roman" w:eastAsia="宋体"/>
                      <w:color w:val="auto"/>
                      <w:spacing w:val="7"/>
                      <w:sz w:val="21"/>
                      <w:szCs w:val="21"/>
                      <w:highlight w:val="none"/>
                    </w:rPr>
                    <w:t>管网送至</w:t>
                  </w:r>
                  <w:r>
                    <w:rPr>
                      <w:rFonts w:hint="eastAsia" w:ascii="Times New Roman" w:hAnsi="Times New Roman"/>
                      <w:color w:val="auto"/>
                      <w:spacing w:val="7"/>
                      <w:sz w:val="21"/>
                      <w:szCs w:val="21"/>
                      <w:highlight w:val="none"/>
                      <w:lang w:eastAsia="zh-CN"/>
                    </w:rPr>
                    <w:t>福清市第二污水处理厂</w:t>
                  </w:r>
                  <w:r>
                    <w:rPr>
                      <w:rFonts w:ascii="Times New Roman" w:hAnsi="Times New Roman" w:eastAsia="宋体"/>
                      <w:color w:val="auto"/>
                      <w:spacing w:val="7"/>
                      <w:sz w:val="21"/>
                      <w:szCs w:val="21"/>
                      <w:highlight w:val="none"/>
                    </w:rPr>
                    <w:t>处</w:t>
                  </w:r>
                  <w:r>
                    <w:rPr>
                      <w:rFonts w:ascii="Times New Roman" w:hAnsi="Times New Roman" w:eastAsia="宋体"/>
                      <w:color w:val="auto"/>
                      <w:spacing w:val="7"/>
                      <w:sz w:val="21"/>
                      <w:szCs w:val="21"/>
                    </w:rPr>
                    <w:t>理。</w:t>
                  </w:r>
                  <w:r>
                    <w:rPr>
                      <w:rFonts w:hint="eastAsia" w:ascii="Times New Roman" w:hAnsi="Times New Roman"/>
                      <w:color w:val="auto"/>
                      <w:spacing w:val="7"/>
                      <w:sz w:val="21"/>
                      <w:szCs w:val="21"/>
                      <w:lang w:eastAsia="zh-CN"/>
                    </w:rPr>
                    <w:t>(</w:t>
                  </w:r>
                  <w:r>
                    <w:rPr>
                      <w:rFonts w:hint="eastAsia" w:ascii="Times New Roman" w:hAnsi="Times New Roman"/>
                      <w:color w:val="auto"/>
                      <w:sz w:val="21"/>
                      <w:szCs w:val="21"/>
                      <w:lang w:val="en-US" w:eastAsia="zh-CN"/>
                    </w:rPr>
                    <w:t>DW001)</w:t>
                  </w:r>
                </w:p>
              </w:tc>
              <w:tc>
                <w:tcPr>
                  <w:tcW w:w="1318" w:type="dxa"/>
                  <w:tcBorders>
                    <w:tl2br w:val="nil"/>
                    <w:tr2bl w:val="nil"/>
                  </w:tcBorders>
                  <w:shd w:val="clear" w:color="auto" w:fill="auto"/>
                  <w:vAlign w:val="center"/>
                </w:tcPr>
                <w:p w14:paraId="217DD160">
                  <w:pPr>
                    <w:pStyle w:val="115"/>
                    <w:keepNext w:val="0"/>
                    <w:keepLines w:val="0"/>
                    <w:pageBreakBefore w:val="0"/>
                    <w:widowControl w:val="0"/>
                    <w:kinsoku/>
                    <w:wordWrap/>
                    <w:overflowPunct/>
                    <w:topLinePunct w:val="0"/>
                    <w:bidi w:val="0"/>
                    <w:adjustRightInd/>
                    <w:snapToGrid/>
                    <w:spacing w:line="240" w:lineRule="auto"/>
                    <w:ind w:left="0" w:right="0" w:firstLine="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化粪池依托配</w:t>
                  </w:r>
                </w:p>
                <w:p w14:paraId="47075DB6">
                  <w:pPr>
                    <w:pStyle w:val="115"/>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z w:val="21"/>
                      <w:szCs w:val="21"/>
                    </w:rPr>
                    <w:t>套</w:t>
                  </w:r>
                </w:p>
              </w:tc>
            </w:tr>
            <w:tr w14:paraId="6AB60D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94" w:hRule="atLeast"/>
              </w:trPr>
              <w:tc>
                <w:tcPr>
                  <w:tcW w:w="1436" w:type="dxa"/>
                  <w:vMerge w:val="continue"/>
                  <w:tcBorders>
                    <w:tl2br w:val="nil"/>
                    <w:tr2bl w:val="nil"/>
                  </w:tcBorders>
                  <w:vAlign w:val="center"/>
                </w:tcPr>
                <w:p w14:paraId="25CDD137">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vMerge w:val="restart"/>
                  <w:tcBorders>
                    <w:tl2br w:val="nil"/>
                    <w:tr2bl w:val="nil"/>
                  </w:tcBorders>
                  <w:shd w:val="clear" w:color="auto" w:fill="auto"/>
                  <w:vAlign w:val="center"/>
                </w:tcPr>
                <w:p w14:paraId="279235F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8"/>
                      <w:sz w:val="21"/>
                      <w:szCs w:val="21"/>
                    </w:rPr>
                    <w:t>废气处理措</w:t>
                  </w:r>
                  <w:r>
                    <w:rPr>
                      <w:rFonts w:ascii="Times New Roman" w:hAnsi="Times New Roman" w:eastAsia="宋体"/>
                      <w:color w:val="auto"/>
                      <w:spacing w:val="1"/>
                      <w:sz w:val="21"/>
                      <w:szCs w:val="21"/>
                    </w:rPr>
                    <w:t>施</w:t>
                  </w:r>
                </w:p>
              </w:tc>
              <w:tc>
                <w:tcPr>
                  <w:tcW w:w="3072" w:type="dxa"/>
                  <w:tcBorders>
                    <w:tl2br w:val="nil"/>
                    <w:tr2bl w:val="nil"/>
                  </w:tcBorders>
                  <w:shd w:val="clear" w:color="auto" w:fill="auto"/>
                  <w:vAlign w:val="center"/>
                </w:tcPr>
                <w:p w14:paraId="520F84B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电泳、</w:t>
                  </w:r>
                  <w:r>
                    <w:rPr>
                      <w:rFonts w:hint="eastAsia" w:ascii="Times New Roman" w:hAnsi="Times New Roman"/>
                      <w:color w:val="auto"/>
                      <w:spacing w:val="-3"/>
                      <w:sz w:val="21"/>
                      <w:szCs w:val="21"/>
                      <w:lang w:val="en-US" w:eastAsia="zh-CN"/>
                    </w:rPr>
                    <w:t>电泳固化</w:t>
                  </w:r>
                  <w:r>
                    <w:rPr>
                      <w:rFonts w:ascii="Times New Roman" w:hAnsi="Times New Roman" w:eastAsia="宋体"/>
                      <w:color w:val="auto"/>
                      <w:spacing w:val="-3"/>
                      <w:sz w:val="21"/>
                      <w:szCs w:val="21"/>
                    </w:rPr>
                    <w:t>废气；</w:t>
                  </w:r>
                  <w:r>
                    <w:rPr>
                      <w:rFonts w:hint="eastAsia" w:ascii="Times New Roman" w:hAnsi="Times New Roman"/>
                      <w:color w:val="auto"/>
                      <w:spacing w:val="-3"/>
                      <w:sz w:val="21"/>
                      <w:szCs w:val="21"/>
                      <w:lang w:eastAsia="zh-CN"/>
                    </w:rPr>
                    <w:t>（</w:t>
                  </w:r>
                  <w:r>
                    <w:rPr>
                      <w:rFonts w:hint="eastAsia" w:ascii="Times New Roman" w:hAnsi="Times New Roman"/>
                      <w:color w:val="auto"/>
                      <w:spacing w:val="-3"/>
                      <w:sz w:val="21"/>
                      <w:szCs w:val="21"/>
                      <w:lang w:val="en-US" w:eastAsia="zh-CN"/>
                    </w:rPr>
                    <w:t>电泳）</w:t>
                  </w:r>
                  <w:r>
                    <w:rPr>
                      <w:rFonts w:ascii="Times New Roman" w:hAnsi="Times New Roman" w:eastAsia="宋体"/>
                      <w:color w:val="auto"/>
                      <w:spacing w:val="-3"/>
                      <w:sz w:val="21"/>
                      <w:szCs w:val="21"/>
                    </w:rPr>
                    <w:t>天然气燃烧废气</w:t>
                  </w:r>
                </w:p>
              </w:tc>
              <w:tc>
                <w:tcPr>
                  <w:tcW w:w="2110" w:type="dxa"/>
                  <w:tcBorders>
                    <w:tl2br w:val="nil"/>
                    <w:tr2bl w:val="nil"/>
                  </w:tcBorders>
                  <w:shd w:val="clear" w:color="auto" w:fill="auto"/>
                  <w:vAlign w:val="center"/>
                </w:tcPr>
                <w:p w14:paraId="5EC1EA7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pacing w:val="-2"/>
                      <w:sz w:val="21"/>
                      <w:szCs w:val="21"/>
                    </w:rPr>
                    <w:t>电</w:t>
                  </w:r>
                  <w:r>
                    <w:rPr>
                      <w:rFonts w:ascii="Times New Roman" w:hAnsi="Times New Roman" w:eastAsia="宋体"/>
                      <w:color w:val="auto"/>
                      <w:spacing w:val="-3"/>
                      <w:sz w:val="21"/>
                      <w:szCs w:val="21"/>
                    </w:rPr>
                    <w:t>泳、</w:t>
                  </w:r>
                  <w:r>
                    <w:rPr>
                      <w:rFonts w:hint="eastAsia" w:ascii="Times New Roman" w:hAnsi="Times New Roman"/>
                      <w:color w:val="auto"/>
                      <w:spacing w:val="-3"/>
                      <w:sz w:val="21"/>
                      <w:szCs w:val="21"/>
                      <w:lang w:val="en-US" w:eastAsia="zh-CN"/>
                    </w:rPr>
                    <w:t>电泳固化</w:t>
                  </w:r>
                  <w:r>
                    <w:rPr>
                      <w:rFonts w:ascii="Times New Roman" w:hAnsi="Times New Roman" w:eastAsia="宋体"/>
                      <w:color w:val="auto"/>
                      <w:spacing w:val="-3"/>
                      <w:sz w:val="21"/>
                      <w:szCs w:val="21"/>
                    </w:rPr>
                    <w:t>废气</w:t>
                  </w:r>
                  <w:r>
                    <w:rPr>
                      <w:rFonts w:hint="eastAsia" w:ascii="Times New Roman" w:hAnsi="Times New Roman"/>
                      <w:color w:val="auto"/>
                      <w:spacing w:val="-3"/>
                      <w:sz w:val="21"/>
                      <w:szCs w:val="21"/>
                      <w:lang w:val="en-US" w:eastAsia="zh-CN"/>
                    </w:rPr>
                    <w:t>经收集后采用</w:t>
                  </w:r>
                  <w:r>
                    <w:rPr>
                      <w:rFonts w:hint="eastAsia" w:ascii="Times New Roman" w:hAnsi="Times New Roman" w:eastAsia="宋体"/>
                      <w:color w:val="auto"/>
                      <w:spacing w:val="-3"/>
                      <w:sz w:val="21"/>
                      <w:szCs w:val="21"/>
                      <w:lang w:eastAsia="zh-CN"/>
                    </w:rPr>
                    <w:t>喷淋塔+过滤棉+二级活性炭吸附</w:t>
                  </w:r>
                  <w:r>
                    <w:rPr>
                      <w:rFonts w:ascii="Times New Roman" w:hAnsi="Times New Roman" w:eastAsia="宋体"/>
                      <w:color w:val="auto"/>
                      <w:spacing w:val="-3"/>
                      <w:sz w:val="21"/>
                      <w:szCs w:val="21"/>
                    </w:rPr>
                    <w:t>处理后，通过1根</w:t>
                  </w:r>
                  <w:r>
                    <w:rPr>
                      <w:rFonts w:hint="eastAsia" w:ascii="Times New Roman" w:hAnsi="Times New Roman" w:eastAsia="宋体"/>
                      <w:color w:val="auto"/>
                      <w:spacing w:val="-3"/>
                      <w:sz w:val="21"/>
                      <w:szCs w:val="21"/>
                      <w:lang w:eastAsia="zh-CN"/>
                    </w:rPr>
                    <w:t>15m</w:t>
                  </w:r>
                  <w:r>
                    <w:rPr>
                      <w:rFonts w:ascii="Times New Roman" w:hAnsi="Times New Roman" w:eastAsia="宋体"/>
                      <w:color w:val="auto"/>
                      <w:spacing w:val="-3"/>
                      <w:sz w:val="21"/>
                      <w:szCs w:val="21"/>
                    </w:rPr>
                    <w:t>高排气筒达标排放</w:t>
                  </w:r>
                </w:p>
                <w:p w14:paraId="79FE5AA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3"/>
                      <w:sz w:val="21"/>
                      <w:szCs w:val="21"/>
                    </w:rPr>
                    <w:t>（DA001）；</w:t>
                  </w:r>
                  <w:r>
                    <w:rPr>
                      <w:rFonts w:hint="eastAsia" w:ascii="Times New Roman" w:hAnsi="Times New Roman" w:eastAsia="宋体"/>
                      <w:color w:val="auto"/>
                      <w:spacing w:val="-3"/>
                      <w:sz w:val="21"/>
                      <w:szCs w:val="21"/>
                      <w:lang w:eastAsia="zh-CN"/>
                    </w:rPr>
                    <w:t>（</w:t>
                  </w:r>
                  <w:r>
                    <w:rPr>
                      <w:rFonts w:hint="eastAsia" w:ascii="Times New Roman" w:hAnsi="Times New Roman" w:eastAsia="宋体"/>
                      <w:color w:val="auto"/>
                      <w:spacing w:val="-3"/>
                      <w:sz w:val="21"/>
                      <w:szCs w:val="21"/>
                      <w:lang w:val="en-US" w:eastAsia="zh-CN"/>
                    </w:rPr>
                    <w:t>电泳）</w:t>
                  </w:r>
                  <w:r>
                    <w:rPr>
                      <w:rFonts w:ascii="Times New Roman" w:hAnsi="Times New Roman" w:eastAsia="宋体"/>
                      <w:color w:val="auto"/>
                      <w:spacing w:val="-3"/>
                      <w:sz w:val="21"/>
                      <w:szCs w:val="21"/>
                    </w:rPr>
                    <w:t>天然气燃烧废气</w:t>
                  </w:r>
                  <w:r>
                    <w:rPr>
                      <w:rFonts w:hint="eastAsia" w:ascii="Times New Roman" w:hAnsi="Times New Roman"/>
                      <w:color w:val="auto"/>
                      <w:spacing w:val="-3"/>
                      <w:sz w:val="21"/>
                      <w:szCs w:val="21"/>
                      <w:lang w:val="en-US" w:eastAsia="zh-CN"/>
                    </w:rPr>
                    <w:t>经收集后</w:t>
                  </w:r>
                  <w:r>
                    <w:rPr>
                      <w:rFonts w:ascii="Times New Roman" w:hAnsi="Times New Roman" w:eastAsia="宋体"/>
                      <w:color w:val="auto"/>
                      <w:spacing w:val="-3"/>
                      <w:sz w:val="21"/>
                      <w:szCs w:val="21"/>
                    </w:rPr>
                    <w:t>通过DA001排气筒达标排放；</w:t>
                  </w:r>
                </w:p>
              </w:tc>
              <w:tc>
                <w:tcPr>
                  <w:tcW w:w="1318" w:type="dxa"/>
                  <w:vMerge w:val="restart"/>
                  <w:tcBorders>
                    <w:tl2br w:val="nil"/>
                    <w:tr2bl w:val="nil"/>
                  </w:tcBorders>
                  <w:shd w:val="clear" w:color="auto" w:fill="auto"/>
                  <w:vAlign w:val="center"/>
                </w:tcPr>
                <w:p w14:paraId="327647CA">
                  <w:pPr>
                    <w:pStyle w:val="115"/>
                    <w:keepNext w:val="0"/>
                    <w:keepLines w:val="0"/>
                    <w:pageBreakBefore w:val="0"/>
                    <w:widowControl w:val="0"/>
                    <w:kinsoku/>
                    <w:wordWrap/>
                    <w:overflowPunct/>
                    <w:topLinePunct w:val="0"/>
                    <w:bidi w:val="0"/>
                    <w:adjustRightInd/>
                    <w:snapToGrid/>
                    <w:spacing w:line="240" w:lineRule="auto"/>
                    <w:ind w:left="0" w:leftChars="0" w:right="0" w:firstLine="0"/>
                    <w:textAlignment w:val="auto"/>
                    <w:rPr>
                      <w:rFonts w:ascii="Times New Roman" w:hAnsi="Times New Roman" w:eastAsia="宋体" w:cs="宋体"/>
                      <w:color w:val="auto"/>
                      <w:kern w:val="2"/>
                      <w:sz w:val="21"/>
                      <w:szCs w:val="21"/>
                      <w:lang w:val="en-US" w:eastAsia="en-US" w:bidi="ar-SA"/>
                    </w:rPr>
                  </w:pPr>
                  <w:r>
                    <w:rPr>
                      <w:rFonts w:ascii="Times New Roman" w:hAnsi="Times New Roman" w:eastAsia="宋体"/>
                      <w:color w:val="auto"/>
                      <w:spacing w:val="4"/>
                      <w:sz w:val="21"/>
                      <w:szCs w:val="21"/>
                    </w:rPr>
                    <w:t>新建</w:t>
                  </w:r>
                </w:p>
              </w:tc>
            </w:tr>
            <w:tr w14:paraId="7F324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94" w:hRule="atLeast"/>
              </w:trPr>
              <w:tc>
                <w:tcPr>
                  <w:tcW w:w="1436" w:type="dxa"/>
                  <w:vMerge w:val="continue"/>
                  <w:tcBorders>
                    <w:tl2br w:val="nil"/>
                    <w:tr2bl w:val="nil"/>
                  </w:tcBorders>
                  <w:vAlign w:val="center"/>
                </w:tcPr>
                <w:p w14:paraId="67FC574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pPr>
                </w:p>
              </w:tc>
              <w:tc>
                <w:tcPr>
                  <w:tcW w:w="2054" w:type="dxa"/>
                  <w:vMerge w:val="continue"/>
                  <w:tcBorders>
                    <w:tl2br w:val="nil"/>
                    <w:tr2bl w:val="nil"/>
                  </w:tcBorders>
                  <w:shd w:val="clear" w:color="auto" w:fill="auto"/>
                  <w:vAlign w:val="center"/>
                </w:tcPr>
                <w:p w14:paraId="1ED3F0F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pPr>
                </w:p>
              </w:tc>
              <w:tc>
                <w:tcPr>
                  <w:tcW w:w="3072" w:type="dxa"/>
                  <w:tcBorders>
                    <w:tl2br w:val="nil"/>
                    <w:tr2bl w:val="nil"/>
                  </w:tcBorders>
                  <w:shd w:val="clear" w:color="auto" w:fill="auto"/>
                  <w:vAlign w:val="center"/>
                </w:tcPr>
                <w:p w14:paraId="73B0DE3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pacing w:val="-3"/>
                      <w:sz w:val="21"/>
                      <w:szCs w:val="21"/>
                    </w:rPr>
                    <w:t>焊接废气</w:t>
                  </w:r>
                </w:p>
              </w:tc>
              <w:tc>
                <w:tcPr>
                  <w:tcW w:w="2110" w:type="dxa"/>
                  <w:tcBorders>
                    <w:tl2br w:val="nil"/>
                    <w:tr2bl w:val="nil"/>
                  </w:tcBorders>
                  <w:shd w:val="clear" w:color="auto" w:fill="auto"/>
                  <w:vAlign w:val="center"/>
                </w:tcPr>
                <w:p w14:paraId="0A498459">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z w:val="21"/>
                      <w:szCs w:val="21"/>
                    </w:rPr>
                    <w:t>焊接废气</w:t>
                  </w:r>
                  <w:r>
                    <w:rPr>
                      <w:rFonts w:hint="eastAsia" w:ascii="Times New Roman" w:hAnsi="Times New Roman"/>
                      <w:color w:val="auto"/>
                      <w:spacing w:val="-3"/>
                      <w:sz w:val="21"/>
                      <w:szCs w:val="21"/>
                      <w:lang w:val="en-US" w:eastAsia="zh-CN"/>
                    </w:rPr>
                    <w:t>经收集后采用</w:t>
                  </w:r>
                  <w:r>
                    <w:rPr>
                      <w:rFonts w:hint="eastAsia" w:ascii="Times New Roman" w:hAnsi="Times New Roman"/>
                      <w:color w:val="auto"/>
                      <w:sz w:val="21"/>
                      <w:szCs w:val="21"/>
                      <w:lang w:eastAsia="zh-CN"/>
                    </w:rPr>
                    <w:t>布袋</w:t>
                  </w:r>
                  <w:r>
                    <w:rPr>
                      <w:rFonts w:ascii="Times New Roman" w:hAnsi="Times New Roman" w:eastAsia="宋体"/>
                      <w:color w:val="auto"/>
                      <w:spacing w:val="5"/>
                      <w:position w:val="1"/>
                      <w:sz w:val="21"/>
                      <w:szCs w:val="21"/>
                    </w:rPr>
                    <w:t>除尘器处理后，通过</w:t>
                  </w:r>
                  <w:r>
                    <w:rPr>
                      <w:rFonts w:ascii="Times New Roman" w:hAnsi="Times New Roman" w:eastAsia="宋体" w:cs="Times New Roman"/>
                      <w:color w:val="auto"/>
                      <w:spacing w:val="5"/>
                      <w:position w:val="1"/>
                      <w:sz w:val="21"/>
                      <w:szCs w:val="21"/>
                    </w:rPr>
                    <w:t>1</w:t>
                  </w:r>
                  <w:r>
                    <w:rPr>
                      <w:rFonts w:ascii="Times New Roman" w:hAnsi="Times New Roman" w:eastAsia="宋体"/>
                      <w:color w:val="auto"/>
                      <w:spacing w:val="5"/>
                      <w:position w:val="1"/>
                      <w:sz w:val="21"/>
                      <w:szCs w:val="21"/>
                    </w:rPr>
                    <w:t>根</w:t>
                  </w:r>
                  <w:r>
                    <w:rPr>
                      <w:rFonts w:hint="eastAsia" w:ascii="Times New Roman" w:hAnsi="Times New Roman" w:cs="Times New Roman"/>
                      <w:color w:val="auto"/>
                      <w:spacing w:val="6"/>
                      <w:position w:val="1"/>
                      <w:sz w:val="21"/>
                      <w:szCs w:val="21"/>
                      <w:lang w:val="en-US" w:eastAsia="zh-CN"/>
                    </w:rPr>
                    <w:t>15</w:t>
                  </w:r>
                  <w:r>
                    <w:rPr>
                      <w:rFonts w:ascii="Times New Roman" w:hAnsi="Times New Roman" w:eastAsia="宋体" w:cs="Times New Roman"/>
                      <w:color w:val="auto"/>
                      <w:spacing w:val="6"/>
                      <w:position w:val="1"/>
                      <w:sz w:val="21"/>
                      <w:szCs w:val="21"/>
                    </w:rPr>
                    <w:t>m</w:t>
                  </w:r>
                  <w:r>
                    <w:rPr>
                      <w:rFonts w:ascii="Times New Roman" w:hAnsi="Times New Roman" w:eastAsia="宋体"/>
                      <w:color w:val="auto"/>
                      <w:spacing w:val="6"/>
                      <w:position w:val="1"/>
                      <w:sz w:val="21"/>
                      <w:szCs w:val="21"/>
                    </w:rPr>
                    <w:t>高排气筒达标排放</w:t>
                  </w:r>
                  <w:r>
                    <w:rPr>
                      <w:rFonts w:ascii="Times New Roman" w:hAnsi="Times New Roman" w:eastAsia="宋体"/>
                      <w:color w:val="auto"/>
                      <w:spacing w:val="7"/>
                      <w:position w:val="1"/>
                      <w:sz w:val="21"/>
                      <w:szCs w:val="21"/>
                    </w:rPr>
                    <w:t>（</w:t>
                  </w:r>
                  <w:r>
                    <w:rPr>
                      <w:rFonts w:ascii="Times New Roman" w:hAnsi="Times New Roman" w:eastAsia="宋体" w:cs="Times New Roman"/>
                      <w:color w:val="auto"/>
                      <w:position w:val="1"/>
                      <w:sz w:val="21"/>
                      <w:szCs w:val="21"/>
                    </w:rPr>
                    <w:t>DA</w:t>
                  </w:r>
                  <w:r>
                    <w:rPr>
                      <w:rFonts w:ascii="Times New Roman" w:hAnsi="Times New Roman" w:eastAsia="宋体" w:cs="Times New Roman"/>
                      <w:color w:val="auto"/>
                      <w:spacing w:val="7"/>
                      <w:position w:val="1"/>
                      <w:sz w:val="21"/>
                      <w:szCs w:val="21"/>
                    </w:rPr>
                    <w:t>002</w:t>
                  </w:r>
                  <w:r>
                    <w:rPr>
                      <w:rFonts w:ascii="Times New Roman" w:hAnsi="Times New Roman" w:eastAsia="宋体"/>
                      <w:color w:val="auto"/>
                      <w:spacing w:val="-31"/>
                      <w:position w:val="1"/>
                      <w:sz w:val="21"/>
                      <w:szCs w:val="21"/>
                    </w:rPr>
                    <w:t>）；</w:t>
                  </w:r>
                </w:p>
              </w:tc>
              <w:tc>
                <w:tcPr>
                  <w:tcW w:w="1318" w:type="dxa"/>
                  <w:vMerge w:val="continue"/>
                  <w:tcBorders>
                    <w:tl2br w:val="nil"/>
                    <w:tr2bl w:val="nil"/>
                  </w:tcBorders>
                  <w:shd w:val="clear" w:color="auto" w:fill="auto"/>
                  <w:vAlign w:val="center"/>
                </w:tcPr>
                <w:p w14:paraId="27DB374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7BCBD9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94" w:hRule="atLeast"/>
              </w:trPr>
              <w:tc>
                <w:tcPr>
                  <w:tcW w:w="1436" w:type="dxa"/>
                  <w:vMerge w:val="continue"/>
                  <w:tcBorders>
                    <w:tl2br w:val="nil"/>
                    <w:tr2bl w:val="nil"/>
                  </w:tcBorders>
                  <w:vAlign w:val="center"/>
                </w:tcPr>
                <w:p w14:paraId="78A7A75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2054" w:type="dxa"/>
                  <w:vMerge w:val="continue"/>
                  <w:tcBorders>
                    <w:tl2br w:val="nil"/>
                    <w:tr2bl w:val="nil"/>
                  </w:tcBorders>
                  <w:shd w:val="clear" w:color="auto" w:fill="auto"/>
                  <w:vAlign w:val="center"/>
                </w:tcPr>
                <w:p w14:paraId="72B4EF5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3072" w:type="dxa"/>
                  <w:tcBorders>
                    <w:tl2br w:val="nil"/>
                    <w:tr2bl w:val="nil"/>
                  </w:tcBorders>
                  <w:shd w:val="clear" w:color="auto" w:fill="auto"/>
                  <w:vAlign w:val="center"/>
                </w:tcPr>
                <w:p w14:paraId="37CFC29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eastAsia" w:ascii="Times New Roman" w:hAnsi="Times New Roman" w:eastAsia="宋体"/>
                      <w:color w:val="auto"/>
                      <w:spacing w:val="-3"/>
                      <w:sz w:val="21"/>
                      <w:szCs w:val="21"/>
                      <w:lang w:eastAsia="zh-CN"/>
                    </w:rPr>
                  </w:pPr>
                  <w:r>
                    <w:rPr>
                      <w:rFonts w:hint="eastAsia" w:ascii="Times New Roman" w:hAnsi="Times New Roman"/>
                      <w:color w:val="auto"/>
                      <w:spacing w:val="-3"/>
                      <w:sz w:val="21"/>
                      <w:szCs w:val="21"/>
                      <w:lang w:eastAsia="zh-CN"/>
                    </w:rPr>
                    <w:t>废水处理设施废气</w:t>
                  </w:r>
                </w:p>
              </w:tc>
              <w:tc>
                <w:tcPr>
                  <w:tcW w:w="2110" w:type="dxa"/>
                  <w:tcBorders>
                    <w:tl2br w:val="nil"/>
                    <w:tr2bl w:val="nil"/>
                  </w:tcBorders>
                  <w:shd w:val="clear" w:color="auto" w:fill="auto"/>
                  <w:vAlign w:val="center"/>
                </w:tcPr>
                <w:p w14:paraId="63E78E7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eastAsia" w:ascii="Times New Roman" w:hAnsi="Times New Roman" w:eastAsia="宋体"/>
                      <w:color w:val="auto"/>
                      <w:spacing w:val="-3"/>
                      <w:sz w:val="21"/>
                      <w:szCs w:val="21"/>
                      <w:lang w:eastAsia="zh-CN"/>
                    </w:rPr>
                  </w:pPr>
                  <w:r>
                    <w:rPr>
                      <w:rFonts w:hint="eastAsia" w:ascii="Times New Roman" w:hAnsi="Times New Roman"/>
                      <w:color w:val="auto"/>
                      <w:spacing w:val="7"/>
                      <w:position w:val="1"/>
                      <w:sz w:val="21"/>
                      <w:szCs w:val="21"/>
                      <w:lang w:eastAsia="zh-CN"/>
                    </w:rPr>
                    <w:t>废水处理设施废气</w:t>
                  </w:r>
                  <w:r>
                    <w:rPr>
                      <w:rFonts w:ascii="Times New Roman" w:hAnsi="Times New Roman" w:eastAsia="宋体"/>
                      <w:color w:val="auto"/>
                      <w:spacing w:val="6"/>
                      <w:sz w:val="21"/>
                      <w:szCs w:val="21"/>
                    </w:rPr>
                    <w:t>无组织排放</w:t>
                  </w:r>
                  <w:r>
                    <w:rPr>
                      <w:rFonts w:hint="eastAsia" w:ascii="Times New Roman" w:hAnsi="Times New Roman"/>
                      <w:color w:val="auto"/>
                      <w:spacing w:val="6"/>
                      <w:sz w:val="21"/>
                      <w:szCs w:val="21"/>
                      <w:lang w:eastAsia="zh-CN"/>
                    </w:rPr>
                    <w:t>；</w:t>
                  </w:r>
                </w:p>
              </w:tc>
              <w:tc>
                <w:tcPr>
                  <w:tcW w:w="1318" w:type="dxa"/>
                  <w:vMerge w:val="continue"/>
                  <w:tcBorders>
                    <w:tl2br w:val="nil"/>
                    <w:tr2bl w:val="nil"/>
                  </w:tcBorders>
                  <w:shd w:val="clear" w:color="auto" w:fill="auto"/>
                  <w:vAlign w:val="center"/>
                </w:tcPr>
                <w:p w14:paraId="35F76DB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238966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436" w:type="dxa"/>
                  <w:vMerge w:val="continue"/>
                  <w:tcBorders>
                    <w:tl2br w:val="nil"/>
                    <w:tr2bl w:val="nil"/>
                  </w:tcBorders>
                  <w:vAlign w:val="center"/>
                </w:tcPr>
                <w:p w14:paraId="093B405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2054" w:type="dxa"/>
                  <w:vMerge w:val="continue"/>
                  <w:tcBorders>
                    <w:tl2br w:val="nil"/>
                    <w:tr2bl w:val="nil"/>
                  </w:tcBorders>
                  <w:shd w:val="clear" w:color="auto" w:fill="auto"/>
                  <w:vAlign w:val="center"/>
                </w:tcPr>
                <w:p w14:paraId="072C74D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3072" w:type="dxa"/>
                  <w:tcBorders>
                    <w:tl2br w:val="nil"/>
                    <w:tr2bl w:val="nil"/>
                  </w:tcBorders>
                  <w:shd w:val="clear" w:color="auto" w:fill="auto"/>
                  <w:vAlign w:val="center"/>
                </w:tcPr>
                <w:p w14:paraId="1E00CD0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hint="eastAsia" w:ascii="Times New Roman" w:hAnsi="Times New Roman"/>
                      <w:color w:val="auto"/>
                      <w:spacing w:val="-3"/>
                      <w:sz w:val="21"/>
                      <w:szCs w:val="21"/>
                      <w:lang w:val="en-US" w:eastAsia="zh-CN"/>
                    </w:rPr>
                    <w:t>喷粉废气</w:t>
                  </w:r>
                </w:p>
              </w:tc>
              <w:tc>
                <w:tcPr>
                  <w:tcW w:w="2110" w:type="dxa"/>
                  <w:tcBorders>
                    <w:tl2br w:val="nil"/>
                    <w:tr2bl w:val="nil"/>
                  </w:tcBorders>
                  <w:shd w:val="clear" w:color="auto" w:fill="auto"/>
                  <w:vAlign w:val="center"/>
                </w:tcPr>
                <w:p w14:paraId="1559FF2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olor w:val="auto"/>
                      <w:spacing w:val="-3"/>
                      <w:sz w:val="21"/>
                      <w:szCs w:val="21"/>
                      <w:lang w:val="en-US" w:eastAsia="zh-CN"/>
                    </w:rPr>
                  </w:pPr>
                  <w:r>
                    <w:rPr>
                      <w:rFonts w:hint="eastAsia" w:ascii="Times New Roman" w:hAnsi="Times New Roman"/>
                      <w:color w:val="auto"/>
                      <w:spacing w:val="-3"/>
                      <w:sz w:val="21"/>
                      <w:szCs w:val="21"/>
                      <w:lang w:val="en-US" w:eastAsia="zh-CN"/>
                    </w:rPr>
                    <w:t>喷粉废气经收集后采用滤芯除尘后，通过1根15m高排气筒达标排放（DA002）；</w:t>
                  </w:r>
                </w:p>
              </w:tc>
              <w:tc>
                <w:tcPr>
                  <w:tcW w:w="1318" w:type="dxa"/>
                  <w:vMerge w:val="continue"/>
                  <w:tcBorders>
                    <w:tl2br w:val="nil"/>
                    <w:tr2bl w:val="nil"/>
                  </w:tcBorders>
                  <w:shd w:val="clear" w:color="auto" w:fill="auto"/>
                  <w:vAlign w:val="center"/>
                </w:tcPr>
                <w:p w14:paraId="3C96786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78DE26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436" w:type="dxa"/>
                  <w:vMerge w:val="continue"/>
                  <w:tcBorders>
                    <w:tl2br w:val="nil"/>
                    <w:tr2bl w:val="nil"/>
                  </w:tcBorders>
                  <w:vAlign w:val="center"/>
                </w:tcPr>
                <w:p w14:paraId="3A459AB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2054" w:type="dxa"/>
                  <w:vMerge w:val="continue"/>
                  <w:tcBorders>
                    <w:tl2br w:val="nil"/>
                    <w:tr2bl w:val="nil"/>
                  </w:tcBorders>
                  <w:shd w:val="clear" w:color="auto" w:fill="auto"/>
                  <w:vAlign w:val="center"/>
                </w:tcPr>
                <w:p w14:paraId="6F870F9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3072" w:type="dxa"/>
                  <w:tcBorders>
                    <w:tl2br w:val="nil"/>
                    <w:tr2bl w:val="nil"/>
                  </w:tcBorders>
                  <w:shd w:val="clear" w:color="auto" w:fill="auto"/>
                  <w:vAlign w:val="center"/>
                </w:tcPr>
                <w:p w14:paraId="7062509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hint="eastAsia" w:ascii="Times New Roman" w:hAnsi="Times New Roman"/>
                      <w:color w:val="auto"/>
                      <w:spacing w:val="-3"/>
                      <w:sz w:val="21"/>
                      <w:szCs w:val="21"/>
                      <w:lang w:val="en-US" w:eastAsia="zh-CN"/>
                    </w:rPr>
                    <w:t>喷粉固化废气、调漆废气、喷漆废气、喷漆固化废气</w:t>
                  </w:r>
                </w:p>
              </w:tc>
              <w:tc>
                <w:tcPr>
                  <w:tcW w:w="2110" w:type="dxa"/>
                  <w:tcBorders>
                    <w:tl2br w:val="nil"/>
                    <w:tr2bl w:val="nil"/>
                  </w:tcBorders>
                  <w:shd w:val="clear" w:color="auto" w:fill="auto"/>
                  <w:vAlign w:val="center"/>
                </w:tcPr>
                <w:p w14:paraId="04B3F2BB">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szCs w:val="21"/>
                    </w:rPr>
                  </w:pPr>
                  <w:r>
                    <w:rPr>
                      <w:rFonts w:hint="eastAsia" w:ascii="Times New Roman" w:hAnsi="Times New Roman" w:eastAsia="宋体"/>
                      <w:color w:val="auto"/>
                      <w:spacing w:val="-2"/>
                      <w:sz w:val="21"/>
                      <w:szCs w:val="21"/>
                      <w:lang w:val="en-US" w:eastAsia="zh-CN"/>
                    </w:rPr>
                    <w:t>喷粉固化废气、调漆废气、喷漆废气、喷漆固化废气</w:t>
                  </w:r>
                  <w:r>
                    <w:rPr>
                      <w:rFonts w:hint="eastAsia" w:ascii="Times New Roman" w:hAnsi="Times New Roman"/>
                      <w:color w:val="auto"/>
                      <w:spacing w:val="-3"/>
                      <w:sz w:val="21"/>
                      <w:szCs w:val="21"/>
                      <w:lang w:val="en-US" w:eastAsia="zh-CN"/>
                    </w:rPr>
                    <w:t>经收集后</w:t>
                  </w:r>
                  <w:r>
                    <w:rPr>
                      <w:rFonts w:hint="eastAsia" w:ascii="Times New Roman" w:hAnsi="Times New Roman"/>
                      <w:color w:val="auto"/>
                      <w:spacing w:val="-2"/>
                      <w:sz w:val="21"/>
                      <w:szCs w:val="21"/>
                      <w:lang w:val="en-US" w:eastAsia="zh-CN"/>
                    </w:rPr>
                    <w:t>采用</w:t>
                  </w:r>
                  <w:r>
                    <w:rPr>
                      <w:rFonts w:hint="eastAsia" w:ascii="Times New Roman" w:hAnsi="Times New Roman"/>
                      <w:color w:val="auto"/>
                      <w:spacing w:val="-2"/>
                      <w:sz w:val="21"/>
                      <w:szCs w:val="21"/>
                      <w:lang w:eastAsia="zh-CN"/>
                    </w:rPr>
                    <w:t>喷淋塔+过滤棉+二级活性炭吸附</w:t>
                  </w:r>
                  <w:r>
                    <w:rPr>
                      <w:rFonts w:ascii="Times New Roman" w:hAnsi="Times New Roman" w:eastAsia="宋体"/>
                      <w:color w:val="auto"/>
                      <w:spacing w:val="5"/>
                      <w:position w:val="1"/>
                      <w:sz w:val="21"/>
                      <w:szCs w:val="21"/>
                    </w:rPr>
                    <w:t>处理后，通过</w:t>
                  </w:r>
                  <w:r>
                    <w:rPr>
                      <w:rFonts w:ascii="Times New Roman" w:hAnsi="Times New Roman" w:eastAsia="宋体" w:cs="Times New Roman"/>
                      <w:color w:val="auto"/>
                      <w:spacing w:val="5"/>
                      <w:position w:val="1"/>
                      <w:sz w:val="21"/>
                      <w:szCs w:val="21"/>
                    </w:rPr>
                    <w:t>1</w:t>
                  </w:r>
                  <w:r>
                    <w:rPr>
                      <w:rFonts w:ascii="Times New Roman" w:hAnsi="Times New Roman" w:eastAsia="宋体"/>
                      <w:color w:val="auto"/>
                      <w:spacing w:val="5"/>
                      <w:position w:val="1"/>
                      <w:sz w:val="21"/>
                      <w:szCs w:val="21"/>
                    </w:rPr>
                    <w:t>根</w:t>
                  </w:r>
                  <w:r>
                    <w:rPr>
                      <w:rFonts w:hint="eastAsia" w:ascii="Times New Roman" w:hAnsi="Times New Roman" w:cs="Times New Roman"/>
                      <w:color w:val="auto"/>
                      <w:spacing w:val="6"/>
                      <w:position w:val="1"/>
                      <w:sz w:val="21"/>
                      <w:szCs w:val="21"/>
                      <w:lang w:eastAsia="zh-CN"/>
                    </w:rPr>
                    <w:t>15m</w:t>
                  </w:r>
                  <w:r>
                    <w:rPr>
                      <w:rFonts w:ascii="Times New Roman" w:hAnsi="Times New Roman" w:eastAsia="宋体"/>
                      <w:color w:val="auto"/>
                      <w:spacing w:val="6"/>
                      <w:position w:val="1"/>
                      <w:sz w:val="21"/>
                      <w:szCs w:val="21"/>
                    </w:rPr>
                    <w:t>高排气筒达标排放</w:t>
                  </w:r>
                </w:p>
                <w:p w14:paraId="17A5AC3E">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3"/>
                      <w:sz w:val="21"/>
                      <w:szCs w:val="21"/>
                    </w:rPr>
                  </w:pPr>
                  <w:r>
                    <w:rPr>
                      <w:rFonts w:hint="eastAsia" w:ascii="Times New Roman" w:hAnsi="Times New Roman"/>
                      <w:color w:val="auto"/>
                      <w:spacing w:val="6"/>
                      <w:position w:val="1"/>
                      <w:sz w:val="21"/>
                      <w:szCs w:val="21"/>
                      <w:lang w:eastAsia="zh-CN"/>
                    </w:rPr>
                    <w:t>(</w:t>
                  </w:r>
                  <w:r>
                    <w:rPr>
                      <w:rFonts w:ascii="Times New Roman" w:hAnsi="Times New Roman" w:eastAsia="宋体" w:cs="Times New Roman"/>
                      <w:color w:val="auto"/>
                      <w:position w:val="1"/>
                      <w:sz w:val="21"/>
                      <w:szCs w:val="21"/>
                    </w:rPr>
                    <w:t>DA</w:t>
                  </w:r>
                  <w:r>
                    <w:rPr>
                      <w:rFonts w:ascii="Times New Roman" w:hAnsi="Times New Roman" w:eastAsia="宋体" w:cs="Times New Roman"/>
                      <w:color w:val="auto"/>
                      <w:spacing w:val="6"/>
                      <w:position w:val="1"/>
                      <w:sz w:val="21"/>
                      <w:szCs w:val="21"/>
                    </w:rPr>
                    <w:t>00</w:t>
                  </w:r>
                  <w:r>
                    <w:rPr>
                      <w:rFonts w:hint="eastAsia" w:ascii="Times New Roman" w:hAnsi="Times New Roman" w:cs="Times New Roman"/>
                      <w:color w:val="auto"/>
                      <w:spacing w:val="6"/>
                      <w:position w:val="1"/>
                      <w:sz w:val="21"/>
                      <w:szCs w:val="21"/>
                      <w:lang w:val="en-US" w:eastAsia="zh-CN"/>
                    </w:rPr>
                    <w:t>2);</w:t>
                  </w:r>
                </w:p>
              </w:tc>
              <w:tc>
                <w:tcPr>
                  <w:tcW w:w="1318" w:type="dxa"/>
                  <w:vMerge w:val="continue"/>
                  <w:tcBorders>
                    <w:tl2br w:val="nil"/>
                    <w:tr2bl w:val="nil"/>
                  </w:tcBorders>
                  <w:shd w:val="clear" w:color="auto" w:fill="auto"/>
                  <w:vAlign w:val="center"/>
                </w:tcPr>
                <w:p w14:paraId="762CE64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3DDB0B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436" w:type="dxa"/>
                  <w:vMerge w:val="continue"/>
                  <w:tcBorders>
                    <w:tl2br w:val="nil"/>
                    <w:tr2bl w:val="nil"/>
                  </w:tcBorders>
                  <w:vAlign w:val="center"/>
                </w:tcPr>
                <w:p w14:paraId="4DBCBCA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2054" w:type="dxa"/>
                  <w:vMerge w:val="continue"/>
                  <w:tcBorders>
                    <w:tl2br w:val="nil"/>
                    <w:tr2bl w:val="nil"/>
                  </w:tcBorders>
                  <w:shd w:val="clear" w:color="auto" w:fill="auto"/>
                  <w:vAlign w:val="center"/>
                </w:tcPr>
                <w:p w14:paraId="14A4D8F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c>
                <w:tcPr>
                  <w:tcW w:w="3072" w:type="dxa"/>
                  <w:tcBorders>
                    <w:tl2br w:val="nil"/>
                    <w:tr2bl w:val="nil"/>
                  </w:tcBorders>
                  <w:shd w:val="clear" w:color="auto" w:fill="auto"/>
                  <w:vAlign w:val="center"/>
                </w:tcPr>
                <w:p w14:paraId="089FAC9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eastAsia" w:ascii="Times New Roman" w:hAnsi="Times New Roman"/>
                      <w:color w:val="auto"/>
                      <w:spacing w:val="-3"/>
                      <w:sz w:val="21"/>
                      <w:szCs w:val="21"/>
                      <w:lang w:val="en-US" w:eastAsia="zh-CN"/>
                    </w:rPr>
                  </w:pPr>
                  <w:r>
                    <w:rPr>
                      <w:rFonts w:hint="eastAsia" w:ascii="Times New Roman" w:hAnsi="Times New Roman"/>
                      <w:color w:val="auto"/>
                      <w:spacing w:val="-3"/>
                      <w:sz w:val="21"/>
                      <w:szCs w:val="21"/>
                      <w:lang w:val="en-US" w:eastAsia="zh-CN"/>
                    </w:rPr>
                    <w:t>（喷粉、喷漆）天然气燃烧废气</w:t>
                  </w:r>
                </w:p>
              </w:tc>
              <w:tc>
                <w:tcPr>
                  <w:tcW w:w="2110" w:type="dxa"/>
                  <w:tcBorders>
                    <w:tl2br w:val="nil"/>
                    <w:tr2bl w:val="nil"/>
                  </w:tcBorders>
                  <w:shd w:val="clear" w:color="auto" w:fill="auto"/>
                  <w:vAlign w:val="center"/>
                </w:tcPr>
                <w:p w14:paraId="29397F0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6"/>
                      <w:position w:val="1"/>
                      <w:sz w:val="21"/>
                      <w:szCs w:val="21"/>
                    </w:rPr>
                  </w:pPr>
                  <w:r>
                    <w:rPr>
                      <w:rFonts w:hint="eastAsia" w:ascii="Times New Roman" w:hAnsi="Times New Roman"/>
                      <w:color w:val="auto"/>
                      <w:spacing w:val="-3"/>
                      <w:sz w:val="21"/>
                      <w:szCs w:val="21"/>
                      <w:lang w:val="en-US" w:eastAsia="zh-CN"/>
                    </w:rPr>
                    <w:t>（喷粉、喷漆）</w:t>
                  </w:r>
                  <w:r>
                    <w:rPr>
                      <w:rFonts w:ascii="Times New Roman" w:hAnsi="Times New Roman" w:eastAsia="宋体"/>
                      <w:color w:val="auto"/>
                      <w:spacing w:val="6"/>
                      <w:position w:val="1"/>
                      <w:sz w:val="21"/>
                      <w:szCs w:val="21"/>
                    </w:rPr>
                    <w:t>天然气燃烧废</w:t>
                  </w:r>
                  <w:r>
                    <w:rPr>
                      <w:rFonts w:ascii="Times New Roman" w:hAnsi="Times New Roman" w:eastAsia="宋体"/>
                      <w:color w:val="auto"/>
                      <w:spacing w:val="13"/>
                      <w:position w:val="1"/>
                      <w:sz w:val="21"/>
                      <w:szCs w:val="21"/>
                    </w:rPr>
                    <w:t>气通过</w:t>
                  </w:r>
                  <w:r>
                    <w:rPr>
                      <w:rFonts w:hint="eastAsia" w:ascii="Times New Roman" w:hAnsi="Times New Roman"/>
                      <w:color w:val="auto"/>
                      <w:spacing w:val="13"/>
                      <w:position w:val="1"/>
                      <w:sz w:val="21"/>
                      <w:szCs w:val="21"/>
                      <w:lang w:val="en-US" w:eastAsia="zh-CN"/>
                    </w:rPr>
                    <w:t>1根15m排气筒</w:t>
                  </w:r>
                  <w:r>
                    <w:rPr>
                      <w:rFonts w:hint="eastAsia" w:ascii="Times New Roman" w:hAnsi="Times New Roman" w:cs="Times New Roman"/>
                      <w:color w:val="auto"/>
                      <w:position w:val="1"/>
                      <w:sz w:val="21"/>
                      <w:szCs w:val="21"/>
                      <w:lang w:eastAsia="zh-CN"/>
                    </w:rPr>
                    <w:t>DA003</w:t>
                  </w:r>
                  <w:r>
                    <w:rPr>
                      <w:rFonts w:ascii="Times New Roman" w:hAnsi="Times New Roman" w:eastAsia="宋体"/>
                      <w:color w:val="auto"/>
                      <w:spacing w:val="13"/>
                      <w:position w:val="1"/>
                      <w:sz w:val="21"/>
                      <w:szCs w:val="21"/>
                    </w:rPr>
                    <w:t>排气筒达标</w:t>
                  </w:r>
                  <w:r>
                    <w:rPr>
                      <w:rFonts w:ascii="Times New Roman" w:hAnsi="Times New Roman" w:eastAsia="宋体"/>
                      <w:color w:val="auto"/>
                      <w:sz w:val="21"/>
                      <w:szCs w:val="21"/>
                    </w:rPr>
                    <w:t>排放；</w:t>
                  </w:r>
                </w:p>
              </w:tc>
              <w:tc>
                <w:tcPr>
                  <w:tcW w:w="1318" w:type="dxa"/>
                  <w:tcBorders>
                    <w:tl2br w:val="nil"/>
                    <w:tr2bl w:val="nil"/>
                  </w:tcBorders>
                  <w:shd w:val="clear" w:color="auto" w:fill="auto"/>
                  <w:vAlign w:val="center"/>
                </w:tcPr>
                <w:p w14:paraId="0BA37D5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085F2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14:paraId="6ABC72B9">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6"/>
                      <w:sz w:val="21"/>
                    </w:rPr>
                    <w:t>噪声治理措</w:t>
                  </w:r>
                </w:p>
                <w:p w14:paraId="474AC5D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1"/>
                      <w:sz w:val="21"/>
                    </w:rPr>
                    <w:t>施</w:t>
                  </w:r>
                </w:p>
              </w:tc>
              <w:tc>
                <w:tcPr>
                  <w:tcW w:w="5126" w:type="dxa"/>
                  <w:gridSpan w:val="2"/>
                  <w:tcBorders>
                    <w:tl2br w:val="nil"/>
                    <w:tr2bl w:val="nil"/>
                  </w:tcBorders>
                  <w:shd w:val="clear" w:color="auto" w:fill="auto"/>
                  <w:vAlign w:val="center"/>
                </w:tcPr>
                <w:p w14:paraId="1D8C23A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厂房隔声，基础减振</w:t>
                  </w:r>
                </w:p>
              </w:tc>
              <w:tc>
                <w:tcPr>
                  <w:tcW w:w="2110" w:type="dxa"/>
                  <w:tcBorders>
                    <w:tl2br w:val="nil"/>
                    <w:tr2bl w:val="nil"/>
                  </w:tcBorders>
                  <w:shd w:val="clear" w:color="auto" w:fill="auto"/>
                  <w:vAlign w:val="center"/>
                </w:tcPr>
                <w:p w14:paraId="5AAD863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r>
                    <w:rPr>
                      <w:rFonts w:ascii="Times New Roman" w:hAnsi="Times New Roman" w:eastAsia="宋体"/>
                      <w:color w:val="auto"/>
                      <w:spacing w:val="4"/>
                      <w:sz w:val="21"/>
                    </w:rPr>
                    <w:t>新建</w:t>
                  </w:r>
                </w:p>
              </w:tc>
            </w:tr>
            <w:tr w14:paraId="1B58CC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restart"/>
                  <w:tcBorders>
                    <w:tl2br w:val="nil"/>
                    <w:tr2bl w:val="nil"/>
                  </w:tcBorders>
                  <w:shd w:val="clear" w:color="auto" w:fill="auto"/>
                  <w:vAlign w:val="center"/>
                </w:tcPr>
                <w:p w14:paraId="350A5ECA">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4"/>
                      <w:sz w:val="21"/>
                    </w:rPr>
                    <w:t>固废治理措</w:t>
                  </w:r>
                </w:p>
                <w:p w14:paraId="4ABA360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z w:val="21"/>
                      <w:szCs w:val="21"/>
                      <w:highlight w:val="none"/>
                      <w:vertAlign w:val="baseline"/>
                    </w:rPr>
                  </w:pPr>
                  <w:r>
                    <w:rPr>
                      <w:rFonts w:ascii="Times New Roman" w:hAnsi="Times New Roman" w:eastAsia="宋体"/>
                      <w:color w:val="auto"/>
                      <w:spacing w:val="1"/>
                      <w:sz w:val="21"/>
                    </w:rPr>
                    <w:t>施</w:t>
                  </w:r>
                </w:p>
              </w:tc>
              <w:tc>
                <w:tcPr>
                  <w:tcW w:w="2054" w:type="dxa"/>
                  <w:tcBorders>
                    <w:tl2br w:val="nil"/>
                    <w:tr2bl w:val="nil"/>
                  </w:tcBorders>
                  <w:shd w:val="clear" w:color="auto" w:fill="auto"/>
                  <w:vAlign w:val="center"/>
                </w:tcPr>
                <w:p w14:paraId="7A14317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废一般包装材料</w:t>
                  </w:r>
                </w:p>
              </w:tc>
              <w:tc>
                <w:tcPr>
                  <w:tcW w:w="3072" w:type="dxa"/>
                  <w:tcBorders>
                    <w:tl2br w:val="nil"/>
                    <w:tr2bl w:val="nil"/>
                  </w:tcBorders>
                  <w:shd w:val="clear" w:color="auto" w:fill="auto"/>
                  <w:vAlign w:val="center"/>
                </w:tcPr>
                <w:p w14:paraId="4C828151">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z w:val="21"/>
                    </w:rPr>
                    <w:t>暂存一般固废堆场，外售综</w:t>
                  </w:r>
                </w:p>
                <w:p w14:paraId="512C3A9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合利用</w:t>
                  </w:r>
                </w:p>
              </w:tc>
              <w:tc>
                <w:tcPr>
                  <w:tcW w:w="2110" w:type="dxa"/>
                  <w:tcBorders>
                    <w:tl2br w:val="nil"/>
                    <w:tr2bl w:val="nil"/>
                  </w:tcBorders>
                  <w:shd w:val="clear" w:color="auto" w:fill="auto"/>
                  <w:vAlign w:val="center"/>
                </w:tcPr>
                <w:p w14:paraId="0E31D20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3FC7BC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982052D">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3B944FE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废金属料</w:t>
                  </w:r>
                </w:p>
              </w:tc>
              <w:tc>
                <w:tcPr>
                  <w:tcW w:w="3072" w:type="dxa"/>
                  <w:vMerge w:val="restart"/>
                  <w:tcBorders>
                    <w:tl2br w:val="nil"/>
                    <w:tr2bl w:val="nil"/>
                  </w:tcBorders>
                  <w:shd w:val="clear" w:color="auto" w:fill="auto"/>
                  <w:vAlign w:val="center"/>
                </w:tcPr>
                <w:p w14:paraId="14B23CF7">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pacing w:val="6"/>
                      <w:sz w:val="21"/>
                      <w:szCs w:val="21"/>
                    </w:rPr>
                  </w:pPr>
                  <w:r>
                    <w:rPr>
                      <w:rFonts w:ascii="Times New Roman" w:hAnsi="Times New Roman" w:eastAsia="宋体"/>
                      <w:color w:val="auto"/>
                      <w:sz w:val="21"/>
                    </w:rPr>
                    <w:t>暂存一般固废堆场，</w:t>
                  </w:r>
                  <w:r>
                    <w:rPr>
                      <w:rFonts w:ascii="Times New Roman" w:hAnsi="Times New Roman" w:eastAsia="宋体"/>
                      <w:color w:val="auto"/>
                      <w:spacing w:val="9"/>
                      <w:sz w:val="21"/>
                    </w:rPr>
                    <w:t>委托合法合规单位回收利</w:t>
                  </w:r>
                  <w:r>
                    <w:rPr>
                      <w:rFonts w:ascii="Times New Roman" w:hAnsi="Times New Roman" w:eastAsia="宋体"/>
                      <w:color w:val="auto"/>
                      <w:spacing w:val="6"/>
                      <w:sz w:val="21"/>
                    </w:rPr>
                    <w:t>用或处置</w:t>
                  </w:r>
                </w:p>
              </w:tc>
              <w:tc>
                <w:tcPr>
                  <w:tcW w:w="2110" w:type="dxa"/>
                  <w:tcBorders>
                    <w:tl2br w:val="nil"/>
                    <w:tr2bl w:val="nil"/>
                  </w:tcBorders>
                  <w:shd w:val="clear" w:color="auto" w:fill="auto"/>
                  <w:vAlign w:val="center"/>
                </w:tcPr>
                <w:p w14:paraId="478AD2E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165355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A1AB02E">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35F0A95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焊渣</w:t>
                  </w:r>
                </w:p>
              </w:tc>
              <w:tc>
                <w:tcPr>
                  <w:tcW w:w="3072" w:type="dxa"/>
                  <w:vMerge w:val="continue"/>
                  <w:tcBorders>
                    <w:tl2br w:val="nil"/>
                    <w:tr2bl w:val="nil"/>
                  </w:tcBorders>
                  <w:shd w:val="clear" w:color="auto" w:fill="auto"/>
                  <w:vAlign w:val="center"/>
                </w:tcPr>
                <w:p w14:paraId="6D26B24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tcBorders>
                    <w:tl2br w:val="nil"/>
                    <w:tr2bl w:val="nil"/>
                  </w:tcBorders>
                  <w:shd w:val="clear" w:color="auto" w:fill="auto"/>
                  <w:vAlign w:val="center"/>
                </w:tcPr>
                <w:p w14:paraId="5D7E611C">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5C83A8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0508D174">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171B4AE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废金属灰</w:t>
                  </w:r>
                </w:p>
              </w:tc>
              <w:tc>
                <w:tcPr>
                  <w:tcW w:w="3072" w:type="dxa"/>
                  <w:vMerge w:val="continue"/>
                  <w:tcBorders>
                    <w:tl2br w:val="nil"/>
                    <w:tr2bl w:val="nil"/>
                  </w:tcBorders>
                  <w:shd w:val="clear" w:color="auto" w:fill="auto"/>
                  <w:vAlign w:val="center"/>
                </w:tcPr>
                <w:p w14:paraId="280D3C5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tcBorders>
                    <w:tl2br w:val="nil"/>
                    <w:tr2bl w:val="nil"/>
                  </w:tcBorders>
                  <w:shd w:val="clear" w:color="auto" w:fill="auto"/>
                  <w:vAlign w:val="center"/>
                </w:tcPr>
                <w:p w14:paraId="18CBFD3F">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514AE2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06238443">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A8A9AB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废涂料桶</w:t>
                  </w:r>
                </w:p>
              </w:tc>
              <w:tc>
                <w:tcPr>
                  <w:tcW w:w="3072" w:type="dxa"/>
                  <w:tcBorders>
                    <w:tl2br w:val="nil"/>
                    <w:tr2bl w:val="nil"/>
                  </w:tcBorders>
                  <w:shd w:val="clear" w:color="auto" w:fill="auto"/>
                  <w:vAlign w:val="center"/>
                </w:tcPr>
                <w:p w14:paraId="1ED963D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5"/>
                      <w:sz w:val="21"/>
                    </w:rPr>
                    <w:t>由供应商回收利用</w:t>
                  </w:r>
                </w:p>
              </w:tc>
              <w:tc>
                <w:tcPr>
                  <w:tcW w:w="2110" w:type="dxa"/>
                  <w:tcBorders>
                    <w:tl2br w:val="nil"/>
                    <w:tr2bl w:val="nil"/>
                  </w:tcBorders>
                  <w:shd w:val="clear" w:color="auto" w:fill="auto"/>
                  <w:vAlign w:val="center"/>
                </w:tcPr>
                <w:p w14:paraId="12C08C6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7DF216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8563D5F">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0ECED19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纯水制备废RO膜、</w:t>
                  </w:r>
                </w:p>
                <w:p w14:paraId="6C4B0C2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7"/>
                      <w:sz w:val="21"/>
                    </w:rPr>
                  </w:pPr>
                  <w:r>
                    <w:rPr>
                      <w:rFonts w:hint="default" w:ascii="Times New Roman" w:hAnsi="Times New Roman" w:eastAsia="宋体" w:cs="Times New Roman"/>
                      <w:b w:val="0"/>
                      <w:bCs w:val="0"/>
                      <w:color w:val="auto"/>
                      <w:sz w:val="21"/>
                      <w:szCs w:val="21"/>
                      <w:highlight w:val="none"/>
                      <w:lang w:val="en-US" w:eastAsia="zh-CN"/>
                    </w:rPr>
                    <w:t>废过滤材料</w:t>
                  </w:r>
                </w:p>
              </w:tc>
              <w:tc>
                <w:tcPr>
                  <w:tcW w:w="3072" w:type="dxa"/>
                  <w:tcBorders>
                    <w:tl2br w:val="nil"/>
                    <w:tr2bl w:val="nil"/>
                  </w:tcBorders>
                  <w:shd w:val="clear" w:color="auto" w:fill="auto"/>
                  <w:vAlign w:val="center"/>
                </w:tcPr>
                <w:p w14:paraId="1FAD120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5"/>
                      <w:sz w:val="21"/>
                    </w:rPr>
                  </w:pPr>
                  <w:r>
                    <w:rPr>
                      <w:rFonts w:hint="eastAsia" w:ascii="Times New Roman" w:hAnsi="Times New Roman" w:eastAsia="宋体"/>
                      <w:color w:val="auto"/>
                      <w:spacing w:val="5"/>
                      <w:sz w:val="21"/>
                      <w:lang w:val="en-US" w:eastAsia="en-US"/>
                    </w:rPr>
                    <w:t>交由专业回收公司处理</w:t>
                  </w:r>
                </w:p>
              </w:tc>
              <w:tc>
                <w:tcPr>
                  <w:tcW w:w="2110" w:type="dxa"/>
                  <w:tcBorders>
                    <w:tl2br w:val="nil"/>
                    <w:tr2bl w:val="nil"/>
                  </w:tcBorders>
                  <w:shd w:val="clear" w:color="auto" w:fill="auto"/>
                  <w:vAlign w:val="center"/>
                </w:tcPr>
                <w:p w14:paraId="221221C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4"/>
                      <w:sz w:val="21"/>
                    </w:rPr>
                  </w:pPr>
                  <w:r>
                    <w:rPr>
                      <w:rFonts w:ascii="Times New Roman" w:hAnsi="Times New Roman" w:eastAsia="宋体"/>
                      <w:color w:val="auto"/>
                      <w:spacing w:val="4"/>
                      <w:sz w:val="21"/>
                    </w:rPr>
                    <w:t>新建</w:t>
                  </w:r>
                </w:p>
              </w:tc>
            </w:tr>
            <w:tr w14:paraId="563713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5AECD30">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53BC6A9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废油桶</w:t>
                  </w:r>
                </w:p>
              </w:tc>
              <w:tc>
                <w:tcPr>
                  <w:tcW w:w="3072" w:type="dxa"/>
                  <w:vMerge w:val="restart"/>
                  <w:tcBorders>
                    <w:tl2br w:val="nil"/>
                    <w:tr2bl w:val="nil"/>
                  </w:tcBorders>
                  <w:shd w:val="clear" w:color="auto" w:fill="auto"/>
                  <w:vAlign w:val="center"/>
                </w:tcPr>
                <w:p w14:paraId="199EC95F">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z w:val="21"/>
                    </w:rPr>
                    <w:t>暂存危废库，委托有资质单</w:t>
                  </w:r>
                </w:p>
                <w:p w14:paraId="6C5C6E1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r>
                    <w:rPr>
                      <w:rFonts w:ascii="Times New Roman" w:hAnsi="Times New Roman" w:eastAsia="宋体"/>
                      <w:color w:val="auto"/>
                      <w:spacing w:val="6"/>
                      <w:sz w:val="21"/>
                    </w:rPr>
                    <w:t>位处置</w:t>
                  </w:r>
                </w:p>
              </w:tc>
              <w:tc>
                <w:tcPr>
                  <w:tcW w:w="2110" w:type="dxa"/>
                  <w:vMerge w:val="restart"/>
                  <w:tcBorders>
                    <w:tl2br w:val="nil"/>
                    <w:tr2bl w:val="nil"/>
                  </w:tcBorders>
                  <w:shd w:val="clear" w:color="auto" w:fill="auto"/>
                  <w:vAlign w:val="center"/>
                </w:tcPr>
                <w:p w14:paraId="4A1C1DD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0192E1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C7F5D32">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1BF1407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废活性炭</w:t>
                  </w:r>
                </w:p>
              </w:tc>
              <w:tc>
                <w:tcPr>
                  <w:tcW w:w="3072" w:type="dxa"/>
                  <w:vMerge w:val="continue"/>
                  <w:tcBorders>
                    <w:tl2br w:val="nil"/>
                    <w:tr2bl w:val="nil"/>
                  </w:tcBorders>
                  <w:shd w:val="clear" w:color="auto" w:fill="auto"/>
                  <w:vAlign w:val="center"/>
                </w:tcPr>
                <w:p w14:paraId="2AC9652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4501BBB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148F41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3B4DE65">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E8B3701">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废化学品包装</w:t>
                  </w:r>
                </w:p>
              </w:tc>
              <w:tc>
                <w:tcPr>
                  <w:tcW w:w="3072" w:type="dxa"/>
                  <w:vMerge w:val="continue"/>
                  <w:tcBorders>
                    <w:tl2br w:val="nil"/>
                    <w:tr2bl w:val="nil"/>
                  </w:tcBorders>
                  <w:shd w:val="clear" w:color="auto" w:fill="auto"/>
                  <w:vAlign w:val="center"/>
                </w:tcPr>
                <w:p w14:paraId="2E24A29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1756D2A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72BACA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1F2D5C2E">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EBC844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废过滤物</w:t>
                  </w:r>
                </w:p>
              </w:tc>
              <w:tc>
                <w:tcPr>
                  <w:tcW w:w="3072" w:type="dxa"/>
                  <w:vMerge w:val="continue"/>
                  <w:tcBorders>
                    <w:tl2br w:val="nil"/>
                    <w:tr2bl w:val="nil"/>
                  </w:tcBorders>
                  <w:shd w:val="clear" w:color="auto" w:fill="auto"/>
                  <w:vAlign w:val="center"/>
                </w:tcPr>
                <w:p w14:paraId="4E21D0D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33F069E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36F3F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74FECC0">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55407FC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废机油</w:t>
                  </w:r>
                </w:p>
              </w:tc>
              <w:tc>
                <w:tcPr>
                  <w:tcW w:w="3072" w:type="dxa"/>
                  <w:vMerge w:val="continue"/>
                  <w:tcBorders>
                    <w:tl2br w:val="nil"/>
                    <w:tr2bl w:val="nil"/>
                  </w:tcBorders>
                  <w:shd w:val="clear" w:color="auto" w:fill="auto"/>
                  <w:vAlign w:val="center"/>
                </w:tcPr>
                <w:p w14:paraId="360E07D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25A97CB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4EF9B3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586D1F63">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446453AB">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废滤膜</w:t>
                  </w:r>
                </w:p>
              </w:tc>
              <w:tc>
                <w:tcPr>
                  <w:tcW w:w="3072" w:type="dxa"/>
                  <w:vMerge w:val="continue"/>
                  <w:tcBorders>
                    <w:tl2br w:val="nil"/>
                    <w:tr2bl w:val="nil"/>
                  </w:tcBorders>
                  <w:shd w:val="clear" w:color="auto" w:fill="auto"/>
                  <w:vAlign w:val="center"/>
                </w:tcPr>
                <w:p w14:paraId="02C06BE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31188DB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438640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7B28ED5">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F037C9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废水处理污泥</w:t>
                  </w:r>
                </w:p>
              </w:tc>
              <w:tc>
                <w:tcPr>
                  <w:tcW w:w="3072" w:type="dxa"/>
                  <w:vMerge w:val="continue"/>
                  <w:tcBorders>
                    <w:tl2br w:val="nil"/>
                    <w:tr2bl w:val="nil"/>
                  </w:tcBorders>
                  <w:shd w:val="clear" w:color="auto" w:fill="auto"/>
                  <w:vAlign w:val="center"/>
                </w:tcPr>
                <w:p w14:paraId="2715291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113957D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25CA0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3EFAEBEA">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2934D8E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废含油抹布手套</w:t>
                  </w:r>
                </w:p>
              </w:tc>
              <w:tc>
                <w:tcPr>
                  <w:tcW w:w="3072" w:type="dxa"/>
                  <w:vMerge w:val="continue"/>
                  <w:tcBorders>
                    <w:tl2br w:val="nil"/>
                    <w:tr2bl w:val="nil"/>
                  </w:tcBorders>
                  <w:shd w:val="clear" w:color="auto" w:fill="auto"/>
                  <w:vAlign w:val="center"/>
                </w:tcPr>
                <w:p w14:paraId="42BFBCE0">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1389FA3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094669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7FC4FA5C">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37299C5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olor w:val="auto"/>
                      <w:spacing w:val="8"/>
                      <w:sz w:val="21"/>
                      <w:lang w:val="en-US" w:eastAsia="zh-CN"/>
                    </w:rPr>
                  </w:pPr>
                  <w:r>
                    <w:rPr>
                      <w:rFonts w:hint="eastAsia" w:ascii="Times New Roman" w:hAnsi="Times New Roman"/>
                      <w:color w:val="auto"/>
                      <w:spacing w:val="8"/>
                      <w:sz w:val="21"/>
                      <w:lang w:val="en-US" w:eastAsia="zh-CN"/>
                    </w:rPr>
                    <w:t>废滤筒滤芯</w:t>
                  </w:r>
                </w:p>
              </w:tc>
              <w:tc>
                <w:tcPr>
                  <w:tcW w:w="3072" w:type="dxa"/>
                  <w:vMerge w:val="continue"/>
                  <w:tcBorders>
                    <w:tl2br w:val="nil"/>
                    <w:tr2bl w:val="nil"/>
                  </w:tcBorders>
                  <w:shd w:val="clear" w:color="auto" w:fill="auto"/>
                  <w:vAlign w:val="center"/>
                </w:tcPr>
                <w:p w14:paraId="1662224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4377EF7E">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21BEE3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0101BD67">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4A81AEF2">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eastAsia="宋体"/>
                      <w:color w:val="auto"/>
                      <w:spacing w:val="8"/>
                      <w:sz w:val="21"/>
                      <w:lang w:val="en-US" w:eastAsia="zh-CN"/>
                    </w:rPr>
                  </w:pPr>
                  <w:r>
                    <w:rPr>
                      <w:rFonts w:hint="eastAsia" w:ascii="Times New Roman" w:hAnsi="Times New Roman"/>
                      <w:color w:val="auto"/>
                      <w:spacing w:val="8"/>
                      <w:sz w:val="21"/>
                      <w:lang w:val="en-US" w:eastAsia="zh-CN"/>
                    </w:rPr>
                    <w:t>浮油</w:t>
                  </w:r>
                </w:p>
              </w:tc>
              <w:tc>
                <w:tcPr>
                  <w:tcW w:w="3072" w:type="dxa"/>
                  <w:vMerge w:val="continue"/>
                  <w:tcBorders>
                    <w:tl2br w:val="nil"/>
                    <w:tr2bl w:val="nil"/>
                  </w:tcBorders>
                  <w:shd w:val="clear" w:color="auto" w:fill="auto"/>
                  <w:vAlign w:val="center"/>
                </w:tcPr>
                <w:p w14:paraId="4227460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6D1D3D1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518720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88BAA1C">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7A57B745">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Times New Roman" w:hAnsi="Times New Roman"/>
                      <w:color w:val="auto"/>
                      <w:spacing w:val="8"/>
                      <w:sz w:val="21"/>
                      <w:lang w:val="en-US" w:eastAsia="zh-CN"/>
                    </w:rPr>
                  </w:pPr>
                  <w:r>
                    <w:rPr>
                      <w:rFonts w:hint="eastAsia" w:ascii="Times New Roman" w:hAnsi="Times New Roman"/>
                      <w:color w:val="auto"/>
                      <w:spacing w:val="8"/>
                      <w:sz w:val="21"/>
                      <w:lang w:val="en-US" w:eastAsia="zh-CN"/>
                    </w:rPr>
                    <w:t>废漆渣</w:t>
                  </w:r>
                </w:p>
              </w:tc>
              <w:tc>
                <w:tcPr>
                  <w:tcW w:w="3072" w:type="dxa"/>
                  <w:vMerge w:val="continue"/>
                  <w:tcBorders>
                    <w:tl2br w:val="nil"/>
                    <w:tr2bl w:val="nil"/>
                  </w:tcBorders>
                  <w:shd w:val="clear" w:color="auto" w:fill="auto"/>
                  <w:vAlign w:val="center"/>
                </w:tcPr>
                <w:p w14:paraId="3A6A8386">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6"/>
                      <w:sz w:val="21"/>
                      <w:szCs w:val="21"/>
                    </w:rPr>
                  </w:pPr>
                </w:p>
              </w:tc>
              <w:tc>
                <w:tcPr>
                  <w:tcW w:w="2110" w:type="dxa"/>
                  <w:vMerge w:val="continue"/>
                  <w:tcBorders>
                    <w:tl2br w:val="nil"/>
                    <w:tr2bl w:val="nil"/>
                  </w:tcBorders>
                  <w:shd w:val="clear" w:color="auto" w:fill="auto"/>
                  <w:vAlign w:val="center"/>
                </w:tcPr>
                <w:p w14:paraId="02EC589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olor w:val="auto"/>
                      <w:spacing w:val="3"/>
                      <w:sz w:val="21"/>
                      <w:szCs w:val="21"/>
                    </w:rPr>
                  </w:pPr>
                </w:p>
              </w:tc>
            </w:tr>
            <w:tr w14:paraId="592D47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vMerge w:val="continue"/>
                  <w:tcBorders>
                    <w:tl2br w:val="nil"/>
                    <w:tr2bl w:val="nil"/>
                  </w:tcBorders>
                  <w:vAlign w:val="center"/>
                </w:tcPr>
                <w:p w14:paraId="6D6FA37D">
                  <w:pPr>
                    <w:pStyle w:val="46"/>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ascii="Times New Roman" w:hAnsi="Times New Roman" w:eastAsia="宋体"/>
                      <w:color w:val="auto"/>
                      <w:sz w:val="21"/>
                      <w:szCs w:val="21"/>
                      <w:highlight w:val="none"/>
                      <w:vertAlign w:val="baseline"/>
                    </w:rPr>
                  </w:pPr>
                </w:p>
              </w:tc>
              <w:tc>
                <w:tcPr>
                  <w:tcW w:w="2054" w:type="dxa"/>
                  <w:tcBorders>
                    <w:tl2br w:val="nil"/>
                    <w:tr2bl w:val="nil"/>
                  </w:tcBorders>
                  <w:shd w:val="clear" w:color="auto" w:fill="auto"/>
                  <w:vAlign w:val="center"/>
                </w:tcPr>
                <w:p w14:paraId="4504EFC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生活垃圾</w:t>
                  </w:r>
                </w:p>
              </w:tc>
              <w:tc>
                <w:tcPr>
                  <w:tcW w:w="3072" w:type="dxa"/>
                  <w:tcBorders>
                    <w:tl2br w:val="nil"/>
                    <w:tr2bl w:val="nil"/>
                  </w:tcBorders>
                  <w:shd w:val="clear" w:color="auto" w:fill="auto"/>
                  <w:vAlign w:val="center"/>
                </w:tcPr>
                <w:p w14:paraId="72B89F75">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z w:val="21"/>
                    </w:rPr>
                    <w:t>定期清运，交于环卫部门处</w:t>
                  </w:r>
                </w:p>
                <w:p w14:paraId="1129D2FA">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2"/>
                      <w:sz w:val="21"/>
                    </w:rPr>
                    <w:t>置</w:t>
                  </w:r>
                </w:p>
              </w:tc>
              <w:tc>
                <w:tcPr>
                  <w:tcW w:w="2110" w:type="dxa"/>
                  <w:tcBorders>
                    <w:tl2br w:val="nil"/>
                    <w:tr2bl w:val="nil"/>
                  </w:tcBorders>
                  <w:shd w:val="clear" w:color="auto" w:fill="auto"/>
                  <w:vAlign w:val="center"/>
                </w:tcPr>
                <w:p w14:paraId="6583804D">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4850BE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14:paraId="5CF796FB">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地下水、土</w:t>
                  </w:r>
                </w:p>
                <w:p w14:paraId="307F5473">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壤治理措施</w:t>
                  </w:r>
                </w:p>
              </w:tc>
              <w:tc>
                <w:tcPr>
                  <w:tcW w:w="5126" w:type="dxa"/>
                  <w:gridSpan w:val="2"/>
                  <w:tcBorders>
                    <w:tl2br w:val="nil"/>
                    <w:tr2bl w:val="nil"/>
                  </w:tcBorders>
                  <w:shd w:val="clear" w:color="auto" w:fill="auto"/>
                  <w:vAlign w:val="center"/>
                </w:tcPr>
                <w:p w14:paraId="16D22453">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①源头上控制对地下水的污染。</w:t>
                  </w:r>
                </w:p>
                <w:p w14:paraId="597EC7D0">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②厂内不同区域实施分区防治。</w:t>
                  </w:r>
                </w:p>
                <w:p w14:paraId="1693B8F9">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5"/>
                      <w:sz w:val="21"/>
                    </w:rPr>
                    <w:t>③运行期严格管理，加强巡检，及时发现污染物</w:t>
                  </w:r>
                  <w:r>
                    <w:rPr>
                      <w:rFonts w:ascii="Times New Roman" w:hAnsi="Times New Roman" w:eastAsia="宋体"/>
                      <w:color w:val="auto"/>
                      <w:spacing w:val="7"/>
                      <w:sz w:val="21"/>
                    </w:rPr>
                    <w:t>泄漏；一旦出现泄漏及时处理，检查检修设备，</w:t>
                  </w:r>
                  <w:r>
                    <w:rPr>
                      <w:rFonts w:ascii="Times New Roman" w:hAnsi="Times New Roman" w:eastAsia="宋体"/>
                      <w:color w:val="auto"/>
                      <w:spacing w:val="5"/>
                      <w:sz w:val="21"/>
                    </w:rPr>
                    <w:t>将污染物泄漏的环境风险事故降到最低；制定并</w:t>
                  </w:r>
                  <w:r>
                    <w:rPr>
                      <w:rFonts w:ascii="Times New Roman" w:hAnsi="Times New Roman" w:eastAsia="宋体"/>
                      <w:color w:val="auto"/>
                      <w:spacing w:val="8"/>
                      <w:sz w:val="21"/>
                    </w:rPr>
                    <w:t>落实相应环境风险事故应急预案。</w:t>
                  </w:r>
                </w:p>
              </w:tc>
              <w:tc>
                <w:tcPr>
                  <w:tcW w:w="2110" w:type="dxa"/>
                  <w:tcBorders>
                    <w:tl2br w:val="nil"/>
                    <w:tr2bl w:val="nil"/>
                  </w:tcBorders>
                  <w:shd w:val="clear" w:color="auto" w:fill="auto"/>
                  <w:vAlign w:val="center"/>
                </w:tcPr>
                <w:p w14:paraId="0FF3E568">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r w14:paraId="625B12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318" w:type="dxa"/>
              </w:trPr>
              <w:tc>
                <w:tcPr>
                  <w:tcW w:w="1436" w:type="dxa"/>
                  <w:tcBorders>
                    <w:tl2br w:val="nil"/>
                    <w:tr2bl w:val="nil"/>
                  </w:tcBorders>
                  <w:shd w:val="clear" w:color="auto" w:fill="auto"/>
                  <w:vAlign w:val="center"/>
                </w:tcPr>
                <w:p w14:paraId="497E97ED">
                  <w:pPr>
                    <w:pStyle w:val="115"/>
                    <w:keepNext w:val="0"/>
                    <w:keepLines w:val="0"/>
                    <w:pageBreakBefore w:val="0"/>
                    <w:widowControl w:val="0"/>
                    <w:kinsoku/>
                    <w:wordWrap/>
                    <w:overflowPunct/>
                    <w:topLinePunct w:val="0"/>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8"/>
                      <w:sz w:val="21"/>
                    </w:rPr>
                    <w:t>环境风险应</w:t>
                  </w:r>
                </w:p>
                <w:p w14:paraId="08498624">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急措施</w:t>
                  </w:r>
                </w:p>
              </w:tc>
              <w:tc>
                <w:tcPr>
                  <w:tcW w:w="5126" w:type="dxa"/>
                  <w:gridSpan w:val="2"/>
                  <w:tcBorders>
                    <w:tl2br w:val="nil"/>
                    <w:tr2bl w:val="nil"/>
                  </w:tcBorders>
                  <w:shd w:val="clear" w:color="auto" w:fill="auto"/>
                  <w:vAlign w:val="center"/>
                </w:tcPr>
                <w:p w14:paraId="711B253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9"/>
                      <w:sz w:val="21"/>
                    </w:rPr>
                    <w:t>具体见建设项目环境风险简单分析内容表</w:t>
                  </w:r>
                </w:p>
              </w:tc>
              <w:tc>
                <w:tcPr>
                  <w:tcW w:w="2110" w:type="dxa"/>
                  <w:tcBorders>
                    <w:tl2br w:val="nil"/>
                    <w:tr2bl w:val="nil"/>
                  </w:tcBorders>
                  <w:shd w:val="clear" w:color="auto" w:fill="auto"/>
                  <w:vAlign w:val="center"/>
                </w:tcPr>
                <w:p w14:paraId="1545D817">
                  <w:pPr>
                    <w:pStyle w:val="115"/>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新建</w:t>
                  </w:r>
                </w:p>
              </w:tc>
            </w:tr>
          </w:tbl>
          <w:p w14:paraId="1F0B4F5C">
            <w:pPr>
              <w:pStyle w:val="46"/>
              <w:ind w:left="0" w:leftChars="0" w:firstLine="0" w:firstLineChars="0"/>
              <w:rPr>
                <w:color w:val="auto"/>
                <w:highlight w:val="none"/>
              </w:rPr>
            </w:pPr>
          </w:p>
        </w:tc>
      </w:tr>
      <w:bookmarkEnd w:id="13"/>
    </w:tbl>
    <w:p w14:paraId="6505C12E">
      <w:pPr>
        <w:rPr>
          <w:color w:val="auto"/>
          <w:highlight w:val="none"/>
        </w:rPr>
        <w:sectPr>
          <w:footerReference r:id="rId5" w:type="default"/>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59"/>
      </w:tblGrid>
      <w:tr w14:paraId="47D30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2" w:hRule="atLeast"/>
          <w:jc w:val="center"/>
        </w:trPr>
        <w:tc>
          <w:tcPr>
            <w:tcW w:w="197" w:type="pct"/>
            <w:vAlign w:val="center"/>
          </w:tcPr>
          <w:p w14:paraId="045CAFDE">
            <w:pPr>
              <w:pStyle w:val="30"/>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4802" w:type="pct"/>
          </w:tcPr>
          <w:p w14:paraId="4A60F2F9">
            <w:pPr>
              <w:pStyle w:val="4"/>
              <w:bidi w:val="0"/>
              <w:ind w:left="720" w:leftChars="0" w:hanging="720" w:firstLineChars="0"/>
              <w:rPr>
                <w:rFonts w:hint="eastAsia"/>
                <w:color w:val="auto"/>
                <w:highlight w:val="none"/>
              </w:rPr>
            </w:pPr>
            <w:r>
              <w:rPr>
                <w:rFonts w:hint="eastAsia"/>
                <w:color w:val="auto"/>
                <w:highlight w:val="none"/>
              </w:rPr>
              <w:t>平面布局</w:t>
            </w:r>
          </w:p>
          <w:p w14:paraId="0F280E83">
            <w:pPr>
              <w:pStyle w:val="139"/>
              <w:keepNext w:val="0"/>
              <w:keepLines w:val="0"/>
              <w:pageBreakBefore w:val="0"/>
              <w:widowControl w:val="0"/>
              <w:shd w:val="clear"/>
              <w:kinsoku/>
              <w:wordWrap/>
              <w:overflowPunct/>
              <w:topLinePunct w:val="0"/>
              <w:autoSpaceDE/>
              <w:autoSpaceDN/>
              <w:bidi w:val="0"/>
              <w:adjustRightInd/>
              <w:snapToGrid/>
              <w:ind w:firstLine="31680"/>
              <w:textAlignment w:val="auto"/>
              <w:rPr>
                <w:color w:val="auto"/>
                <w:highlight w:val="none"/>
              </w:rPr>
            </w:pPr>
            <w:r>
              <w:rPr>
                <w:rFonts w:hint="eastAsia" w:ascii="Times New Roman" w:hAnsi="Times New Roman" w:eastAsia="宋体"/>
                <w:color w:val="auto"/>
                <w:szCs w:val="24"/>
                <w:highlight w:val="none"/>
              </w:rPr>
              <w:t>本项目位于</w:t>
            </w:r>
            <w:r>
              <w:rPr>
                <w:rFonts w:hint="eastAsia"/>
                <w:color w:val="auto"/>
                <w:lang w:val="en-US" w:eastAsia="zh-CN"/>
              </w:rPr>
              <w:t>福建省福州市福清融侨经济技术开发区镜洋镇（租赁福州鼎力机械有限公司铸造车间1号）</w:t>
            </w:r>
            <w:r>
              <w:rPr>
                <w:rFonts w:hint="eastAsia" w:ascii="Times New Roman" w:hAnsi="Times New Roman" w:eastAsia="宋体"/>
                <w:color w:val="auto"/>
                <w:szCs w:val="24"/>
                <w:highlight w:val="none"/>
              </w:rPr>
              <w:t>，总</w:t>
            </w:r>
            <w:r>
              <w:rPr>
                <w:rFonts w:hint="eastAsia"/>
                <w:color w:val="auto"/>
                <w:szCs w:val="24"/>
                <w:highlight w:val="none"/>
                <w:lang w:val="en-US" w:eastAsia="zh-CN"/>
              </w:rPr>
              <w:t>建筑面积3456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eastAsia" w:ascii="Times New Roman" w:hAnsi="Times New Roman" w:eastAsia="宋体"/>
                <w:color w:val="auto"/>
                <w:szCs w:val="24"/>
                <w:highlight w:val="none"/>
              </w:rPr>
              <w:t>。项目厂区</w:t>
            </w:r>
            <w:r>
              <w:rPr>
                <w:rFonts w:hint="eastAsia"/>
                <w:color w:val="auto"/>
                <w:szCs w:val="24"/>
                <w:highlight w:val="none"/>
                <w:lang w:val="en-US" w:eastAsia="zh-CN"/>
              </w:rPr>
              <w:t>周围均为工业厂房</w:t>
            </w:r>
            <w:r>
              <w:rPr>
                <w:rFonts w:hint="eastAsia" w:ascii="Times New Roman" w:hAnsi="Times New Roman" w:eastAsia="宋体"/>
                <w:color w:val="auto"/>
                <w:szCs w:val="24"/>
                <w:highlight w:val="none"/>
              </w:rPr>
              <w:t>，</w:t>
            </w:r>
            <w:r>
              <w:rPr>
                <w:rFonts w:hint="eastAsia"/>
                <w:color w:val="auto"/>
                <w:szCs w:val="24"/>
                <w:highlight w:val="none"/>
                <w:lang w:val="en-US" w:eastAsia="zh-CN"/>
              </w:rPr>
              <w:t>东</w:t>
            </w:r>
            <w:r>
              <w:rPr>
                <w:rFonts w:hint="eastAsia" w:ascii="Times New Roman" w:hAnsi="Times New Roman" w:eastAsia="宋体"/>
                <w:color w:val="auto"/>
                <w:szCs w:val="24"/>
                <w:highlight w:val="none"/>
              </w:rPr>
              <w:t>侧为</w:t>
            </w:r>
            <w:r>
              <w:rPr>
                <w:rFonts w:hint="eastAsia"/>
                <w:color w:val="auto"/>
                <w:szCs w:val="24"/>
                <w:highlight w:val="none"/>
                <w:lang w:val="en-US" w:eastAsia="zh-CN"/>
              </w:rPr>
              <w:t>国道G104</w:t>
            </w:r>
            <w:r>
              <w:rPr>
                <w:rFonts w:hint="eastAsia" w:ascii="Times New Roman" w:hAnsi="Times New Roman" w:eastAsia="宋体"/>
                <w:color w:val="auto"/>
                <w:szCs w:val="24"/>
                <w:highlight w:val="none"/>
              </w:rPr>
              <w:t>。</w:t>
            </w:r>
            <w:r>
              <w:rPr>
                <w:rFonts w:hint="eastAsia"/>
                <w:color w:val="auto"/>
                <w:szCs w:val="24"/>
                <w:highlight w:val="none"/>
                <w:lang w:val="en-US" w:eastAsia="zh-CN"/>
              </w:rPr>
              <w:t>厂区东北侧为福建省玉上丰科技发展有限公司，北侧为福州鼎力机械有限公司，厂区东侧为福建丰沃生物科技有限公司，厂区西侧为福建国盛钢结构有限公司。</w:t>
            </w:r>
            <w:r>
              <w:rPr>
                <w:rFonts w:hint="eastAsia" w:ascii="Times New Roman" w:hAnsi="Times New Roman" w:eastAsia="宋体"/>
                <w:color w:val="auto"/>
                <w:szCs w:val="24"/>
                <w:highlight w:val="none"/>
              </w:rPr>
              <w:t>厂区出入口设置在</w:t>
            </w:r>
            <w:r>
              <w:rPr>
                <w:rFonts w:hint="eastAsia"/>
                <w:color w:val="auto"/>
                <w:szCs w:val="24"/>
                <w:highlight w:val="none"/>
                <w:lang w:val="en-US" w:eastAsia="zh-CN"/>
              </w:rPr>
              <w:t>厂区</w:t>
            </w:r>
            <w:r>
              <w:rPr>
                <w:rFonts w:hint="eastAsia" w:ascii="Times New Roman" w:hAnsi="Times New Roman" w:eastAsia="宋体"/>
                <w:color w:val="auto"/>
                <w:szCs w:val="24"/>
                <w:highlight w:val="none"/>
                <w:lang w:val="en-US" w:eastAsia="zh-CN"/>
              </w:rPr>
              <w:t>东侧</w:t>
            </w:r>
            <w:r>
              <w:rPr>
                <w:rFonts w:hint="eastAsia"/>
                <w:color w:val="auto"/>
                <w:szCs w:val="24"/>
                <w:highlight w:val="none"/>
                <w:lang w:val="en-US" w:eastAsia="zh-CN"/>
              </w:rPr>
              <w:t>，周边环境详见附图3</w:t>
            </w:r>
            <w:r>
              <w:rPr>
                <w:rFonts w:hint="eastAsia" w:ascii="Times New Roman" w:hAnsi="Times New Roman" w:eastAsia="宋体"/>
                <w:color w:val="auto"/>
                <w:szCs w:val="24"/>
                <w:highlight w:val="none"/>
              </w:rPr>
              <w:t>。本项目生产</w:t>
            </w:r>
            <w:r>
              <w:rPr>
                <w:rFonts w:hint="eastAsia" w:ascii="Times New Roman" w:hAnsi="Times New Roman" w:eastAsia="宋体"/>
                <w:color w:val="auto"/>
                <w:szCs w:val="24"/>
                <w:highlight w:val="none"/>
                <w:lang w:eastAsia="zh-CN"/>
              </w:rPr>
              <w:t>厂房</w:t>
            </w:r>
            <w:r>
              <w:rPr>
                <w:rFonts w:hint="eastAsia" w:ascii="Times New Roman" w:hAnsi="Times New Roman" w:eastAsia="宋体"/>
                <w:color w:val="auto"/>
                <w:szCs w:val="24"/>
                <w:highlight w:val="none"/>
              </w:rPr>
              <w:t>平面布局根据生产工艺需求和周边环境等特点进行布置，生产过程中产生的各类污染物经治理后对周边环境影响较小。生产</w:t>
            </w:r>
            <w:r>
              <w:rPr>
                <w:rFonts w:hint="eastAsia" w:ascii="Times New Roman" w:hAnsi="Times New Roman" w:eastAsia="宋体"/>
                <w:color w:val="auto"/>
                <w:szCs w:val="24"/>
                <w:highlight w:val="none"/>
                <w:lang w:eastAsia="zh-CN"/>
              </w:rPr>
              <w:t>厂房</w:t>
            </w:r>
            <w:r>
              <w:rPr>
                <w:rFonts w:hint="eastAsia" w:ascii="Times New Roman" w:hAnsi="Times New Roman" w:eastAsia="宋体"/>
                <w:color w:val="auto"/>
                <w:szCs w:val="24"/>
                <w:highlight w:val="none"/>
              </w:rPr>
              <w:t>各区块功能明确，物料流向顺畅，符合防火、安全等有关规范，总体布局功能分区明确，便于生产的连续性，项目平面布置基本合理。</w:t>
            </w:r>
          </w:p>
          <w:p w14:paraId="57E32718">
            <w:pPr>
              <w:pStyle w:val="3"/>
              <w:bidi w:val="0"/>
              <w:ind w:left="0" w:leftChars="0" w:firstLine="0" w:firstLineChars="0"/>
              <w:rPr>
                <w:rFonts w:hint="eastAsia"/>
                <w:color w:val="auto"/>
                <w:highlight w:val="none"/>
              </w:rPr>
            </w:pPr>
            <w:bookmarkStart w:id="14" w:name="_Toc9977"/>
            <w:bookmarkStart w:id="15" w:name="_Toc10081"/>
            <w:bookmarkStart w:id="16" w:name="_Toc24506"/>
            <w:bookmarkStart w:id="17" w:name="_Toc6646"/>
            <w:r>
              <w:rPr>
                <w:rFonts w:hint="eastAsia"/>
                <w:color w:val="auto"/>
                <w:highlight w:val="none"/>
              </w:rPr>
              <w:t>主要生产设备</w:t>
            </w:r>
            <w:bookmarkEnd w:id="14"/>
            <w:bookmarkEnd w:id="15"/>
            <w:bookmarkEnd w:id="16"/>
            <w:bookmarkEnd w:id="17"/>
          </w:p>
          <w:p w14:paraId="66684710">
            <w:pPr>
              <w:pStyle w:val="46"/>
              <w:ind w:firstLine="480"/>
              <w:rPr>
                <w:color w:val="auto"/>
                <w:highlight w:val="none"/>
              </w:rPr>
            </w:pPr>
            <w:r>
              <w:rPr>
                <w:color w:val="auto"/>
                <w:highlight w:val="none"/>
              </w:rPr>
              <w:t>本项目主要生产设备</w:t>
            </w:r>
            <w:r>
              <w:rPr>
                <w:rFonts w:hint="eastAsia"/>
                <w:color w:val="auto"/>
                <w:highlight w:val="none"/>
                <w:lang w:val="en-US" w:eastAsia="zh-CN"/>
              </w:rPr>
              <w:t>及建成后全厂主要生产设施</w:t>
            </w:r>
            <w:r>
              <w:rPr>
                <w:rFonts w:hint="eastAsia"/>
                <w:color w:val="auto"/>
                <w:highlight w:val="none"/>
              </w:rPr>
              <w:t>见下表</w:t>
            </w:r>
            <w:r>
              <w:rPr>
                <w:color w:val="auto"/>
                <w:highlight w:val="none"/>
              </w:rPr>
              <w:t>。</w:t>
            </w:r>
          </w:p>
          <w:p w14:paraId="537F9B9B">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auto"/>
                <w:highlight w:val="none"/>
              </w:rPr>
            </w:pPr>
            <w:bookmarkStart w:id="18" w:name="_Ref15628"/>
            <w:bookmarkStart w:id="19" w:name="_Toc4944"/>
            <w:bookmarkStart w:id="20" w:name="_Toc25944"/>
            <w:bookmarkStart w:id="21" w:name="_Toc20936"/>
            <w:bookmarkStart w:id="22" w:name="_Toc12299"/>
            <w:r>
              <w:rPr>
                <w:rFonts w:hint="eastAsia"/>
                <w:color w:val="auto"/>
                <w:highlight w:val="none"/>
              </w:rPr>
              <w:t>项目生产设备</w:t>
            </w:r>
            <w:bookmarkEnd w:id="18"/>
            <w:r>
              <w:rPr>
                <w:rFonts w:hint="eastAsia"/>
                <w:color w:val="auto"/>
                <w:highlight w:val="none"/>
              </w:rPr>
              <w:t>清单表</w:t>
            </w:r>
          </w:p>
          <w:tbl>
            <w:tblPr>
              <w:tblStyle w:val="3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69"/>
              <w:gridCol w:w="1756"/>
              <w:gridCol w:w="3163"/>
              <w:gridCol w:w="1205"/>
              <w:gridCol w:w="1845"/>
            </w:tblGrid>
            <w:tr w14:paraId="06A8BA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bottom w:val="single" w:color="000000" w:sz="12" w:space="0"/>
                  </w:tcBorders>
                  <w:vAlign w:val="center"/>
                </w:tcPr>
                <w:p w14:paraId="77664CA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1016" w:type="pct"/>
                  <w:tcBorders>
                    <w:bottom w:val="single" w:color="000000" w:sz="12" w:space="0"/>
                  </w:tcBorders>
                  <w:vAlign w:val="center"/>
                </w:tcPr>
                <w:p w14:paraId="3944B27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1830" w:type="pct"/>
                  <w:tcBorders>
                    <w:bottom w:val="single" w:color="000000" w:sz="12" w:space="0"/>
                  </w:tcBorders>
                  <w:vAlign w:val="center"/>
                </w:tcPr>
                <w:p w14:paraId="015D9B8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型号/功率</w:t>
                  </w:r>
                </w:p>
              </w:tc>
              <w:tc>
                <w:tcPr>
                  <w:tcW w:w="697" w:type="pct"/>
                  <w:tcBorders>
                    <w:bottom w:val="single" w:color="000000" w:sz="12" w:space="0"/>
                  </w:tcBorders>
                  <w:vAlign w:val="center"/>
                </w:tcPr>
                <w:p w14:paraId="322D952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数量</w:t>
                  </w:r>
                  <w:r>
                    <w:rPr>
                      <w:color w:val="auto"/>
                      <w:spacing w:val="6"/>
                    </w:rPr>
                    <w:t>（台套）</w:t>
                  </w:r>
                </w:p>
              </w:tc>
              <w:tc>
                <w:tcPr>
                  <w:tcW w:w="1067" w:type="pct"/>
                  <w:tcBorders>
                    <w:bottom w:val="single" w:color="000000" w:sz="12" w:space="0"/>
                  </w:tcBorders>
                  <w:vAlign w:val="center"/>
                </w:tcPr>
                <w:p w14:paraId="6B1C97B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所在工段</w:t>
                  </w:r>
                </w:p>
              </w:tc>
            </w:tr>
            <w:tr w14:paraId="4BF647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op w:val="single" w:color="000000" w:sz="12" w:space="0"/>
                    <w:tl2br w:val="nil"/>
                    <w:tr2bl w:val="nil"/>
                  </w:tcBorders>
                  <w:shd w:val="clear" w:color="auto" w:fill="auto"/>
                  <w:vAlign w:val="center"/>
                </w:tcPr>
                <w:p w14:paraId="36D47C1F">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016" w:type="pct"/>
                  <w:tcBorders>
                    <w:top w:val="single" w:color="000000" w:sz="12" w:space="0"/>
                    <w:tl2br w:val="nil"/>
                    <w:tr2bl w:val="nil"/>
                  </w:tcBorders>
                  <w:shd w:val="clear" w:color="auto" w:fill="auto"/>
                  <w:vAlign w:val="center"/>
                </w:tcPr>
                <w:p w14:paraId="4F9FEB1B">
                  <w:pPr>
                    <w:pStyle w:val="115"/>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eastAsia="宋体" w:cs="p&gt;:#"/>
                      <w:color w:val="auto"/>
                      <w:kern w:val="0"/>
                      <w:sz w:val="21"/>
                      <w:szCs w:val="24"/>
                    </w:rPr>
                    <w:t>焊</w:t>
                  </w:r>
                  <w:r>
                    <w:rPr>
                      <w:rFonts w:hint="eastAsia" w:ascii="Times New Roman" w:hAnsi="Times New Roman" w:cs="p&gt;:#"/>
                      <w:color w:val="auto"/>
                      <w:kern w:val="0"/>
                      <w:sz w:val="21"/>
                      <w:szCs w:val="24"/>
                      <w:lang w:val="en-US" w:eastAsia="zh-CN"/>
                    </w:rPr>
                    <w:t>接机器人</w:t>
                  </w:r>
                </w:p>
              </w:tc>
              <w:tc>
                <w:tcPr>
                  <w:tcW w:w="1830" w:type="pct"/>
                  <w:tcBorders>
                    <w:top w:val="single" w:color="000000" w:sz="12" w:space="0"/>
                    <w:tl2br w:val="nil"/>
                    <w:tr2bl w:val="nil"/>
                  </w:tcBorders>
                  <w:shd w:val="clear" w:color="auto" w:fill="auto"/>
                  <w:vAlign w:val="center"/>
                </w:tcPr>
                <w:p w14:paraId="7027A576">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697" w:type="pct"/>
                  <w:tcBorders>
                    <w:top w:val="single" w:color="000000" w:sz="12" w:space="0"/>
                    <w:tl2br w:val="nil"/>
                    <w:tr2bl w:val="nil"/>
                  </w:tcBorders>
                  <w:shd w:val="clear" w:color="auto" w:fill="auto"/>
                  <w:vAlign w:val="center"/>
                </w:tcPr>
                <w:p w14:paraId="02454710">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p&gt;:#"/>
                      <w:color w:val="auto"/>
                      <w:kern w:val="0"/>
                      <w:sz w:val="21"/>
                      <w:szCs w:val="24"/>
                      <w:lang w:val="en-US" w:eastAsia="zh-CN"/>
                    </w:rPr>
                    <w:t>10</w:t>
                  </w:r>
                </w:p>
              </w:tc>
              <w:tc>
                <w:tcPr>
                  <w:tcW w:w="1067" w:type="pct"/>
                  <w:tcBorders>
                    <w:top w:val="single" w:color="000000" w:sz="12" w:space="0"/>
                    <w:tl2br w:val="nil"/>
                    <w:tr2bl w:val="nil"/>
                  </w:tcBorders>
                  <w:shd w:val="clear" w:color="auto" w:fill="auto"/>
                  <w:vAlign w:val="center"/>
                </w:tcPr>
                <w:p w14:paraId="47AC13C4">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焊接</w:t>
                  </w:r>
                </w:p>
              </w:tc>
            </w:tr>
            <w:tr w14:paraId="769B9E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4B6DAA48">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1016" w:type="pct"/>
                  <w:tcBorders>
                    <w:tl2br w:val="nil"/>
                    <w:tr2bl w:val="nil"/>
                  </w:tcBorders>
                  <w:shd w:val="clear" w:color="auto" w:fill="auto"/>
                  <w:vAlign w:val="center"/>
                </w:tcPr>
                <w:p w14:paraId="7F1DD65F">
                  <w:pPr>
                    <w:pStyle w:val="115"/>
                    <w:jc w:val="center"/>
                    <w:rPr>
                      <w:rFonts w:hint="default" w:ascii="Times New Roman" w:hAnsi="Times New Roman" w:eastAsia="宋体" w:cs="Times New Roman"/>
                      <w:color w:val="auto"/>
                      <w:kern w:val="2"/>
                      <w:sz w:val="21"/>
                      <w:szCs w:val="24"/>
                      <w:lang w:val="en-US" w:eastAsia="zh-CN" w:bidi="ar-SA"/>
                    </w:rPr>
                  </w:pPr>
                  <w:r>
                    <w:rPr>
                      <w:rFonts w:ascii="Times New Roman" w:hAnsi="Times New Roman" w:eastAsia="宋体" w:cs="p&gt;:#"/>
                      <w:color w:val="auto"/>
                      <w:kern w:val="0"/>
                      <w:sz w:val="21"/>
                      <w:szCs w:val="24"/>
                    </w:rPr>
                    <w:t>纯水制备</w:t>
                  </w:r>
                  <w:r>
                    <w:rPr>
                      <w:rFonts w:hint="eastAsia" w:ascii="Times New Roman" w:hAnsi="Times New Roman" w:eastAsia="宋体" w:cs="p&gt;:#"/>
                      <w:color w:val="auto"/>
                      <w:kern w:val="0"/>
                      <w:sz w:val="21"/>
                      <w:szCs w:val="24"/>
                      <w:lang w:eastAsia="zh-CN"/>
                    </w:rPr>
                    <w:t>系统</w:t>
                  </w:r>
                </w:p>
              </w:tc>
              <w:tc>
                <w:tcPr>
                  <w:tcW w:w="1830" w:type="pct"/>
                  <w:tcBorders>
                    <w:tl2br w:val="nil"/>
                    <w:tr2bl w:val="nil"/>
                  </w:tcBorders>
                  <w:shd w:val="clear" w:color="auto" w:fill="auto"/>
                  <w:vAlign w:val="center"/>
                </w:tcPr>
                <w:p w14:paraId="2DF49B1C">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CHL4-30</w:t>
                  </w:r>
                </w:p>
              </w:tc>
              <w:tc>
                <w:tcPr>
                  <w:tcW w:w="697" w:type="pct"/>
                  <w:tcBorders>
                    <w:tl2br w:val="nil"/>
                    <w:tr2bl w:val="nil"/>
                  </w:tcBorders>
                  <w:shd w:val="clear" w:color="auto" w:fill="auto"/>
                  <w:vAlign w:val="center"/>
                </w:tcPr>
                <w:p w14:paraId="6871AC6C">
                  <w:pPr>
                    <w:pStyle w:val="115"/>
                    <w:jc w:val="center"/>
                    <w:rPr>
                      <w:rFonts w:hint="default" w:ascii="Times New Roman" w:hAnsi="Times New Roman" w:eastAsia="宋体" w:cs="Times New Roman"/>
                      <w:color w:val="auto"/>
                      <w:spacing w:val="-2"/>
                      <w:kern w:val="2"/>
                      <w:sz w:val="21"/>
                      <w:szCs w:val="24"/>
                      <w:lang w:val="en-US" w:eastAsia="zh-CN" w:bidi="ar-SA"/>
                    </w:rPr>
                  </w:pPr>
                  <w:r>
                    <w:rPr>
                      <w:rFonts w:hint="eastAsia" w:ascii="Times New Roman" w:hAnsi="Times New Roman" w:eastAsia="宋体" w:cs="Times New Roman"/>
                      <w:color w:val="auto"/>
                      <w:spacing w:val="-2"/>
                      <w:sz w:val="21"/>
                      <w:szCs w:val="24"/>
                      <w:lang w:eastAsia="zh-CN"/>
                    </w:rPr>
                    <w:t>1</w:t>
                  </w:r>
                </w:p>
              </w:tc>
              <w:tc>
                <w:tcPr>
                  <w:tcW w:w="1067" w:type="pct"/>
                  <w:tcBorders>
                    <w:tl2br w:val="nil"/>
                    <w:tr2bl w:val="nil"/>
                  </w:tcBorders>
                  <w:shd w:val="clear" w:color="auto" w:fill="auto"/>
                  <w:vAlign w:val="center"/>
                </w:tcPr>
                <w:p w14:paraId="1BE03A09">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6BFC0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6212E287">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1016" w:type="pct"/>
                  <w:tcBorders>
                    <w:tl2br w:val="nil"/>
                    <w:tr2bl w:val="nil"/>
                  </w:tcBorders>
                  <w:shd w:val="clear" w:color="auto" w:fill="auto"/>
                  <w:vAlign w:val="center"/>
                </w:tcPr>
                <w:p w14:paraId="10FEB0DE">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预脱脂</w:t>
                  </w:r>
                </w:p>
              </w:tc>
              <w:tc>
                <w:tcPr>
                  <w:tcW w:w="1830" w:type="pct"/>
                  <w:tcBorders>
                    <w:tl2br w:val="nil"/>
                    <w:tr2bl w:val="nil"/>
                  </w:tcBorders>
                  <w:shd w:val="clear" w:color="auto" w:fill="auto"/>
                  <w:vAlign w:val="center"/>
                </w:tcPr>
                <w:p w14:paraId="521D39B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12000*1500*2200mm</w:t>
                  </w:r>
                </w:p>
              </w:tc>
              <w:tc>
                <w:tcPr>
                  <w:tcW w:w="697" w:type="pct"/>
                  <w:tcBorders>
                    <w:tl2br w:val="nil"/>
                    <w:tr2bl w:val="nil"/>
                  </w:tcBorders>
                  <w:shd w:val="clear" w:color="auto" w:fill="auto"/>
                  <w:vAlign w:val="center"/>
                </w:tcPr>
                <w:p w14:paraId="78C84801">
                  <w:pPr>
                    <w:pStyle w:val="115"/>
                    <w:jc w:val="center"/>
                    <w:rPr>
                      <w:rFonts w:hint="default" w:ascii="Times New Roman" w:hAnsi="Times New Roman" w:eastAsia="宋体" w:cs="Times New Roman"/>
                      <w:color w:val="auto"/>
                      <w:spacing w:val="-3"/>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6AD757AC">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610732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47431972">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1016" w:type="pct"/>
                  <w:tcBorders>
                    <w:tl2br w:val="nil"/>
                    <w:tr2bl w:val="nil"/>
                  </w:tcBorders>
                  <w:shd w:val="clear" w:color="auto" w:fill="auto"/>
                  <w:vAlign w:val="center"/>
                </w:tcPr>
                <w:p w14:paraId="2964A88B">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主脱脂</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2AAD57D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12000*500*2200mm</w:t>
                  </w:r>
                </w:p>
              </w:tc>
              <w:tc>
                <w:tcPr>
                  <w:tcW w:w="697" w:type="pct"/>
                  <w:tcBorders>
                    <w:tl2br w:val="nil"/>
                    <w:tr2bl w:val="nil"/>
                  </w:tcBorders>
                  <w:shd w:val="clear" w:color="auto" w:fill="auto"/>
                  <w:vAlign w:val="center"/>
                </w:tcPr>
                <w:p w14:paraId="1C3BC23A">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7D0A5019">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604114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44D1B9EC">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p>
              </w:tc>
              <w:tc>
                <w:tcPr>
                  <w:tcW w:w="1016" w:type="pct"/>
                  <w:tcBorders>
                    <w:tl2br w:val="nil"/>
                    <w:tr2bl w:val="nil"/>
                  </w:tcBorders>
                  <w:shd w:val="clear" w:color="auto" w:fill="auto"/>
                  <w:vAlign w:val="center"/>
                </w:tcPr>
                <w:p w14:paraId="788AD973">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水洗1</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6163808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6000*1500*2880+2500mm</w:t>
                  </w:r>
                </w:p>
              </w:tc>
              <w:tc>
                <w:tcPr>
                  <w:tcW w:w="697" w:type="pct"/>
                  <w:tcBorders>
                    <w:tl2br w:val="nil"/>
                    <w:tr2bl w:val="nil"/>
                  </w:tcBorders>
                  <w:shd w:val="clear" w:color="auto" w:fill="auto"/>
                  <w:vAlign w:val="center"/>
                </w:tcPr>
                <w:p w14:paraId="2F75827C">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7545F6FD">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353C1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0CA0922E">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w:t>
                  </w:r>
                </w:p>
              </w:tc>
              <w:tc>
                <w:tcPr>
                  <w:tcW w:w="1016" w:type="pct"/>
                  <w:tcBorders>
                    <w:tl2br w:val="nil"/>
                    <w:tr2bl w:val="nil"/>
                  </w:tcBorders>
                  <w:shd w:val="clear" w:color="auto" w:fill="auto"/>
                  <w:vAlign w:val="center"/>
                </w:tcPr>
                <w:p w14:paraId="0FC6BE07">
                  <w:pPr>
                    <w:pStyle w:val="115"/>
                    <w:jc w:val="center"/>
                    <w:rPr>
                      <w:rFonts w:hint="default"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szCs w:val="24"/>
                    </w:rPr>
                    <w:t>水洗2</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2E2F0667">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8000*1500*2200mm</w:t>
                  </w:r>
                </w:p>
              </w:tc>
              <w:tc>
                <w:tcPr>
                  <w:tcW w:w="697" w:type="pct"/>
                  <w:tcBorders>
                    <w:tl2br w:val="nil"/>
                    <w:tr2bl w:val="nil"/>
                  </w:tcBorders>
                  <w:shd w:val="clear" w:color="auto" w:fill="auto"/>
                  <w:vAlign w:val="center"/>
                </w:tcPr>
                <w:p w14:paraId="63E6A851">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1BE2B27C">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2DE9F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27B3EBFE">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w:t>
                  </w:r>
                </w:p>
              </w:tc>
              <w:tc>
                <w:tcPr>
                  <w:tcW w:w="1016" w:type="pct"/>
                  <w:tcBorders>
                    <w:tl2br w:val="nil"/>
                    <w:tr2bl w:val="nil"/>
                  </w:tcBorders>
                  <w:shd w:val="clear" w:color="auto" w:fill="auto"/>
                  <w:vAlign w:val="center"/>
                </w:tcPr>
                <w:p w14:paraId="1B0F1ADB">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硅烷</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2A58F9A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11000*1500*2200mm</w:t>
                  </w:r>
                </w:p>
              </w:tc>
              <w:tc>
                <w:tcPr>
                  <w:tcW w:w="697" w:type="pct"/>
                  <w:tcBorders>
                    <w:tl2br w:val="nil"/>
                    <w:tr2bl w:val="nil"/>
                  </w:tcBorders>
                  <w:shd w:val="clear" w:color="auto" w:fill="auto"/>
                  <w:vAlign w:val="center"/>
                </w:tcPr>
                <w:p w14:paraId="40BF59DF">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0910001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37DEAF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244388AF">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w:t>
                  </w:r>
                </w:p>
              </w:tc>
              <w:tc>
                <w:tcPr>
                  <w:tcW w:w="1016" w:type="pct"/>
                  <w:tcBorders>
                    <w:tl2br w:val="nil"/>
                    <w:tr2bl w:val="nil"/>
                  </w:tcBorders>
                  <w:shd w:val="clear" w:color="auto" w:fill="auto"/>
                  <w:vAlign w:val="center"/>
                </w:tcPr>
                <w:p w14:paraId="21DA9121">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szCs w:val="24"/>
                    </w:rPr>
                    <w:t>水洗3</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443C5CAE">
                  <w:pPr>
                    <w:jc w:val="center"/>
                    <w:rPr>
                      <w:rFonts w:hint="default"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rPr>
                    <w:t>5500*1500*2880+2500mm</w:t>
                  </w:r>
                </w:p>
              </w:tc>
              <w:tc>
                <w:tcPr>
                  <w:tcW w:w="697" w:type="pct"/>
                  <w:tcBorders>
                    <w:tl2br w:val="nil"/>
                    <w:tr2bl w:val="nil"/>
                  </w:tcBorders>
                  <w:shd w:val="clear" w:color="auto" w:fill="auto"/>
                  <w:vAlign w:val="center"/>
                </w:tcPr>
                <w:p w14:paraId="1A6AFDF4">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1B27B05E">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4B389A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097C76F6">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9</w:t>
                  </w:r>
                </w:p>
              </w:tc>
              <w:tc>
                <w:tcPr>
                  <w:tcW w:w="1016" w:type="pct"/>
                  <w:tcBorders>
                    <w:tl2br w:val="nil"/>
                    <w:tr2bl w:val="nil"/>
                  </w:tcBorders>
                  <w:shd w:val="clear" w:color="auto" w:fill="auto"/>
                  <w:vAlign w:val="center"/>
                </w:tcPr>
                <w:p w14:paraId="2AC0FA15">
                  <w:pPr>
                    <w:pStyle w:val="115"/>
                    <w:jc w:val="center"/>
                    <w:rPr>
                      <w:rFonts w:hint="eastAsia" w:ascii="Times New Roman" w:hAnsi="Times New Roman" w:eastAsia="宋体" w:cs="Times New Roman"/>
                      <w:color w:val="auto"/>
                      <w:spacing w:val="7"/>
                      <w:kern w:val="2"/>
                      <w:sz w:val="21"/>
                      <w:szCs w:val="24"/>
                      <w:lang w:val="en-US" w:eastAsia="zh-CN" w:bidi="ar-SA"/>
                    </w:rPr>
                  </w:pPr>
                  <w:r>
                    <w:rPr>
                      <w:rFonts w:hint="eastAsia" w:ascii="Times New Roman" w:hAnsi="Times New Roman" w:eastAsia="宋体"/>
                      <w:color w:val="auto"/>
                      <w:sz w:val="21"/>
                      <w:szCs w:val="24"/>
                    </w:rPr>
                    <w:t>纯水洗1</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18936B2D">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8000*1500*2200mm</w:t>
                  </w:r>
                </w:p>
              </w:tc>
              <w:tc>
                <w:tcPr>
                  <w:tcW w:w="697" w:type="pct"/>
                  <w:tcBorders>
                    <w:tl2br w:val="nil"/>
                    <w:tr2bl w:val="nil"/>
                  </w:tcBorders>
                  <w:shd w:val="clear" w:color="auto" w:fill="auto"/>
                  <w:vAlign w:val="center"/>
                </w:tcPr>
                <w:p w14:paraId="08A64DE4">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2C129D50">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62A815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49514086">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w:t>
                  </w:r>
                </w:p>
              </w:tc>
              <w:tc>
                <w:tcPr>
                  <w:tcW w:w="1016" w:type="pct"/>
                  <w:tcBorders>
                    <w:tl2br w:val="nil"/>
                    <w:tr2bl w:val="nil"/>
                  </w:tcBorders>
                  <w:shd w:val="clear" w:color="auto" w:fill="auto"/>
                  <w:vAlign w:val="center"/>
                </w:tcPr>
                <w:p w14:paraId="00DF1F45">
                  <w:pPr>
                    <w:pStyle w:val="115"/>
                    <w:jc w:val="center"/>
                    <w:rPr>
                      <w:rFonts w:hint="default"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szCs w:val="24"/>
                    </w:rPr>
                    <w:t>电泳</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723E6C96">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pacing w:val="6"/>
                      <w:sz w:val="21"/>
                    </w:rPr>
                    <w:t>12000*1500*2200mm</w:t>
                  </w:r>
                </w:p>
              </w:tc>
              <w:tc>
                <w:tcPr>
                  <w:tcW w:w="697" w:type="pct"/>
                  <w:tcBorders>
                    <w:tl2br w:val="nil"/>
                    <w:tr2bl w:val="nil"/>
                  </w:tcBorders>
                  <w:shd w:val="clear" w:color="auto" w:fill="auto"/>
                  <w:vAlign w:val="center"/>
                </w:tcPr>
                <w:p w14:paraId="71A12DDB">
                  <w:pPr>
                    <w:pStyle w:val="115"/>
                    <w:jc w:val="center"/>
                    <w:rPr>
                      <w:rFonts w:hint="default" w:ascii="Times New Roman" w:hAnsi="Times New Roman" w:eastAsia="宋体" w:cs="Times New Roman"/>
                      <w:color w:val="auto"/>
                      <w:spacing w:val="-3"/>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55C26AD4">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591311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74816B28">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w:t>
                  </w:r>
                </w:p>
              </w:tc>
              <w:tc>
                <w:tcPr>
                  <w:tcW w:w="1016" w:type="pct"/>
                  <w:tcBorders>
                    <w:tl2br w:val="nil"/>
                    <w:tr2bl w:val="nil"/>
                  </w:tcBorders>
                  <w:shd w:val="clear" w:color="auto" w:fill="auto"/>
                  <w:vAlign w:val="center"/>
                </w:tcPr>
                <w:p w14:paraId="3C1054A0">
                  <w:pPr>
                    <w:pStyle w:val="115"/>
                    <w:jc w:val="center"/>
                    <w:rPr>
                      <w:rFonts w:hint="default" w:ascii="Times New Roman" w:hAnsi="Times New Roman" w:eastAsia="宋体" w:cs="Times New Roman"/>
                      <w:color w:val="auto"/>
                      <w:spacing w:val="6"/>
                      <w:kern w:val="2"/>
                      <w:sz w:val="21"/>
                      <w:szCs w:val="24"/>
                      <w:lang w:val="en-US" w:eastAsia="zh-CN" w:bidi="ar-SA"/>
                    </w:rPr>
                  </w:pPr>
                  <w:r>
                    <w:rPr>
                      <w:rFonts w:hint="eastAsia" w:ascii="Times New Roman" w:hAnsi="Times New Roman" w:eastAsia="宋体"/>
                      <w:color w:val="auto"/>
                      <w:sz w:val="21"/>
                      <w:szCs w:val="24"/>
                    </w:rPr>
                    <w:t>UF0洗</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2A9E45F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lang w:val="de-DE"/>
                    </w:rPr>
                    <w:t>14000*1500*</w:t>
                  </w:r>
                  <w:r>
                    <w:rPr>
                      <w:rFonts w:hint="eastAsia" w:ascii="Times New Roman" w:hAnsi="Times New Roman" w:eastAsia="宋体"/>
                      <w:color w:val="auto"/>
                      <w:sz w:val="21"/>
                    </w:rPr>
                    <w:t>28</w:t>
                  </w:r>
                  <w:r>
                    <w:rPr>
                      <w:rFonts w:hint="eastAsia" w:ascii="Times New Roman" w:hAnsi="Times New Roman" w:eastAsia="宋体"/>
                      <w:color w:val="auto"/>
                      <w:sz w:val="21"/>
                      <w:lang w:val="de-DE"/>
                    </w:rPr>
                    <w:t>80+2800mm</w:t>
                  </w:r>
                </w:p>
              </w:tc>
              <w:tc>
                <w:tcPr>
                  <w:tcW w:w="697" w:type="pct"/>
                  <w:tcBorders>
                    <w:tl2br w:val="nil"/>
                    <w:tr2bl w:val="nil"/>
                  </w:tcBorders>
                  <w:shd w:val="clear" w:color="auto" w:fill="auto"/>
                  <w:vAlign w:val="center"/>
                </w:tcPr>
                <w:p w14:paraId="46D09C67">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586206FC">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20F91A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108C74D5">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w:t>
                  </w:r>
                </w:p>
              </w:tc>
              <w:tc>
                <w:tcPr>
                  <w:tcW w:w="1016" w:type="pct"/>
                  <w:tcBorders>
                    <w:tl2br w:val="nil"/>
                    <w:tr2bl w:val="nil"/>
                  </w:tcBorders>
                  <w:shd w:val="clear" w:color="auto" w:fill="auto"/>
                  <w:vAlign w:val="center"/>
                </w:tcPr>
                <w:p w14:paraId="75F798D6">
                  <w:pPr>
                    <w:pStyle w:val="115"/>
                    <w:jc w:val="center"/>
                    <w:rPr>
                      <w:rFonts w:hint="eastAsia"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szCs w:val="24"/>
                    </w:rPr>
                    <w:t>UF1洗</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09B77016">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5000*1500*2880+2800mm</w:t>
                  </w:r>
                </w:p>
              </w:tc>
              <w:tc>
                <w:tcPr>
                  <w:tcW w:w="697" w:type="pct"/>
                  <w:tcBorders>
                    <w:tl2br w:val="nil"/>
                    <w:tr2bl w:val="nil"/>
                  </w:tcBorders>
                  <w:shd w:val="clear" w:color="auto" w:fill="auto"/>
                  <w:vAlign w:val="center"/>
                </w:tcPr>
                <w:p w14:paraId="395B8F7F">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72DA5AED">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4D42A4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72F5E034">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w:t>
                  </w:r>
                </w:p>
              </w:tc>
              <w:tc>
                <w:tcPr>
                  <w:tcW w:w="1016" w:type="pct"/>
                  <w:tcBorders>
                    <w:tl2br w:val="nil"/>
                    <w:tr2bl w:val="nil"/>
                  </w:tcBorders>
                  <w:shd w:val="clear" w:color="auto" w:fill="auto"/>
                  <w:vAlign w:val="center"/>
                </w:tcPr>
                <w:p w14:paraId="65EFD630">
                  <w:pPr>
                    <w:pStyle w:val="115"/>
                    <w:jc w:val="center"/>
                    <w:rPr>
                      <w:rFonts w:hint="default"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eastAsia="宋体"/>
                      <w:color w:val="auto"/>
                      <w:sz w:val="21"/>
                      <w:szCs w:val="24"/>
                    </w:rPr>
                    <w:t>UF2洗</w:t>
                  </w:r>
                  <w:r>
                    <w:rPr>
                      <w:rFonts w:hint="eastAsia" w:ascii="Times New Roman" w:hAnsi="Times New Roman" w:eastAsia="宋体"/>
                      <w:color w:val="auto"/>
                      <w:sz w:val="21"/>
                      <w:szCs w:val="24"/>
                      <w:lang w:eastAsia="zh-CN"/>
                    </w:rPr>
                    <w:t>槽</w:t>
                  </w:r>
                </w:p>
              </w:tc>
              <w:tc>
                <w:tcPr>
                  <w:tcW w:w="1830" w:type="pct"/>
                  <w:tcBorders>
                    <w:tl2br w:val="nil"/>
                    <w:tr2bl w:val="nil"/>
                  </w:tcBorders>
                  <w:shd w:val="clear" w:color="auto" w:fill="auto"/>
                  <w:vAlign w:val="center"/>
                </w:tcPr>
                <w:p w14:paraId="46F000EB">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4500*1500*2880+2800mm</w:t>
                  </w:r>
                </w:p>
              </w:tc>
              <w:tc>
                <w:tcPr>
                  <w:tcW w:w="697" w:type="pct"/>
                  <w:tcBorders>
                    <w:tl2br w:val="nil"/>
                    <w:tr2bl w:val="nil"/>
                  </w:tcBorders>
                  <w:shd w:val="clear" w:color="auto" w:fill="auto"/>
                  <w:vAlign w:val="center"/>
                </w:tcPr>
                <w:p w14:paraId="15B76DC2">
                  <w:pPr>
                    <w:pStyle w:val="115"/>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spacing w:val="-3"/>
                      <w:sz w:val="21"/>
                      <w:szCs w:val="24"/>
                      <w:lang w:eastAsia="zh-CN"/>
                    </w:rPr>
                    <w:t>1</w:t>
                  </w:r>
                </w:p>
              </w:tc>
              <w:tc>
                <w:tcPr>
                  <w:tcW w:w="1067" w:type="pct"/>
                  <w:tcBorders>
                    <w:tl2br w:val="nil"/>
                    <w:tr2bl w:val="nil"/>
                  </w:tcBorders>
                  <w:shd w:val="clear" w:color="auto" w:fill="auto"/>
                  <w:vAlign w:val="center"/>
                </w:tcPr>
                <w:p w14:paraId="53753125">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64D31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7B27C60F">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14</w:t>
                  </w:r>
                </w:p>
              </w:tc>
              <w:tc>
                <w:tcPr>
                  <w:tcW w:w="1016" w:type="pct"/>
                  <w:tcBorders>
                    <w:tl2br w:val="nil"/>
                    <w:tr2bl w:val="nil"/>
                  </w:tcBorders>
                  <w:shd w:val="clear" w:color="auto" w:fill="auto"/>
                  <w:vAlign w:val="center"/>
                </w:tcPr>
                <w:p w14:paraId="14A93E25">
                  <w:pPr>
                    <w:pStyle w:val="115"/>
                    <w:jc w:val="center"/>
                    <w:rPr>
                      <w:rFonts w:hint="default" w:ascii="Times New Roman" w:hAnsi="Times New Roman" w:eastAsia="宋体" w:cs="Times New Roman"/>
                      <w:color w:val="auto"/>
                      <w:spacing w:val="2"/>
                      <w:kern w:val="2"/>
                      <w:position w:val="1"/>
                      <w:sz w:val="21"/>
                      <w:szCs w:val="24"/>
                      <w:highlight w:val="none"/>
                      <w:lang w:val="en-US" w:eastAsia="zh-CN" w:bidi="ar-SA"/>
                    </w:rPr>
                  </w:pPr>
                  <w:r>
                    <w:rPr>
                      <w:rFonts w:hint="default" w:ascii="Times New Roman" w:hAnsi="Times New Roman" w:eastAsia="宋体" w:cs="Times New Roman"/>
                      <w:color w:val="auto"/>
                      <w:spacing w:val="2"/>
                      <w:kern w:val="2"/>
                      <w:position w:val="1"/>
                      <w:sz w:val="21"/>
                      <w:szCs w:val="24"/>
                      <w:highlight w:val="none"/>
                      <w:lang w:val="en-US" w:eastAsia="zh-CN" w:bidi="ar-SA"/>
                    </w:rPr>
                    <w:t>天然气</w:t>
                  </w:r>
                  <w:r>
                    <w:rPr>
                      <w:rFonts w:hint="eastAsia" w:ascii="Times New Roman" w:hAnsi="Times New Roman" w:cs="Times New Roman"/>
                      <w:color w:val="auto"/>
                      <w:spacing w:val="2"/>
                      <w:kern w:val="2"/>
                      <w:position w:val="1"/>
                      <w:sz w:val="21"/>
                      <w:szCs w:val="24"/>
                      <w:highlight w:val="none"/>
                      <w:lang w:val="en-US" w:eastAsia="zh-CN" w:bidi="ar-SA"/>
                    </w:rPr>
                    <w:t>固化炉</w:t>
                  </w:r>
                </w:p>
              </w:tc>
              <w:tc>
                <w:tcPr>
                  <w:tcW w:w="1830" w:type="pct"/>
                  <w:tcBorders>
                    <w:tl2br w:val="nil"/>
                    <w:tr2bl w:val="nil"/>
                  </w:tcBorders>
                  <w:shd w:val="clear" w:color="auto" w:fill="auto"/>
                  <w:vAlign w:val="center"/>
                </w:tcPr>
                <w:p w14:paraId="52018881">
                  <w:pPr>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50Hz IP44</w:t>
                  </w:r>
                </w:p>
              </w:tc>
              <w:tc>
                <w:tcPr>
                  <w:tcW w:w="697" w:type="pct"/>
                  <w:tcBorders>
                    <w:tl2br w:val="nil"/>
                    <w:tr2bl w:val="nil"/>
                  </w:tcBorders>
                  <w:shd w:val="clear" w:color="auto" w:fill="auto"/>
                  <w:vAlign w:val="center"/>
                </w:tcPr>
                <w:p w14:paraId="7A2B1685">
                  <w:pPr>
                    <w:pStyle w:val="115"/>
                    <w:jc w:val="center"/>
                    <w:rPr>
                      <w:rFonts w:hint="default" w:ascii="Times New Roman" w:hAnsi="Times New Roman" w:eastAsia="宋体" w:cs="Times New Roman"/>
                      <w:color w:val="auto"/>
                      <w:spacing w:val="-10"/>
                      <w:kern w:val="2"/>
                      <w:sz w:val="21"/>
                      <w:szCs w:val="24"/>
                      <w:highlight w:val="none"/>
                      <w:lang w:val="en-US" w:eastAsia="zh-CN" w:bidi="ar-SA"/>
                    </w:rPr>
                  </w:pPr>
                  <w:r>
                    <w:rPr>
                      <w:rFonts w:hint="eastAsia" w:ascii="Times New Roman" w:hAnsi="Times New Roman" w:cs="Times New Roman"/>
                      <w:color w:val="auto"/>
                      <w:spacing w:val="-3"/>
                      <w:sz w:val="21"/>
                      <w:szCs w:val="24"/>
                      <w:highlight w:val="none"/>
                      <w:lang w:val="en-US" w:eastAsia="zh-CN"/>
                    </w:rPr>
                    <w:t>1</w:t>
                  </w:r>
                </w:p>
              </w:tc>
              <w:tc>
                <w:tcPr>
                  <w:tcW w:w="1067" w:type="pct"/>
                  <w:vMerge w:val="restart"/>
                  <w:tcBorders>
                    <w:tl2br w:val="nil"/>
                    <w:tr2bl w:val="nil"/>
                  </w:tcBorders>
                  <w:shd w:val="clear" w:color="auto" w:fill="auto"/>
                  <w:vAlign w:val="center"/>
                </w:tcPr>
                <w:p w14:paraId="6F815B0A">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电泳</w:t>
                  </w:r>
                </w:p>
              </w:tc>
            </w:tr>
            <w:tr w14:paraId="0D14B0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2DD55B66">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15</w:t>
                  </w:r>
                </w:p>
              </w:tc>
              <w:tc>
                <w:tcPr>
                  <w:tcW w:w="1016" w:type="pct"/>
                  <w:tcBorders>
                    <w:tl2br w:val="nil"/>
                    <w:tr2bl w:val="nil"/>
                  </w:tcBorders>
                  <w:shd w:val="clear" w:color="auto" w:fill="auto"/>
                  <w:vAlign w:val="center"/>
                </w:tcPr>
                <w:p w14:paraId="21E3A957">
                  <w:pPr>
                    <w:pStyle w:val="115"/>
                    <w:jc w:val="center"/>
                    <w:rPr>
                      <w:rFonts w:hint="default" w:ascii="Times New Roman" w:hAnsi="Times New Roman" w:eastAsia="宋体" w:cs="Times New Roman"/>
                      <w:color w:val="auto"/>
                      <w:spacing w:val="2"/>
                      <w:kern w:val="2"/>
                      <w:position w:val="1"/>
                      <w:sz w:val="21"/>
                      <w:szCs w:val="24"/>
                      <w:highlight w:val="none"/>
                      <w:lang w:val="en-US" w:eastAsia="zh-CN" w:bidi="ar-SA"/>
                    </w:rPr>
                  </w:pPr>
                  <w:r>
                    <w:rPr>
                      <w:rFonts w:hint="default" w:ascii="Times New Roman" w:hAnsi="Times New Roman" w:eastAsia="宋体" w:cs="Times New Roman"/>
                      <w:color w:val="auto"/>
                      <w:spacing w:val="2"/>
                      <w:kern w:val="2"/>
                      <w:position w:val="1"/>
                      <w:sz w:val="21"/>
                      <w:szCs w:val="24"/>
                      <w:highlight w:val="none"/>
                      <w:lang w:val="en-US" w:eastAsia="zh-CN" w:bidi="ar-SA"/>
                    </w:rPr>
                    <w:t>天然气</w:t>
                  </w:r>
                  <w:r>
                    <w:rPr>
                      <w:rFonts w:hint="eastAsia" w:ascii="Times New Roman" w:hAnsi="Times New Roman" w:cs="Times New Roman"/>
                      <w:color w:val="auto"/>
                      <w:spacing w:val="2"/>
                      <w:kern w:val="2"/>
                      <w:position w:val="1"/>
                      <w:sz w:val="21"/>
                      <w:szCs w:val="24"/>
                      <w:highlight w:val="none"/>
                      <w:lang w:val="en-US" w:eastAsia="zh-CN" w:bidi="ar-SA"/>
                    </w:rPr>
                    <w:t>热水炉</w:t>
                  </w:r>
                </w:p>
              </w:tc>
              <w:tc>
                <w:tcPr>
                  <w:tcW w:w="1830" w:type="pct"/>
                  <w:tcBorders>
                    <w:tl2br w:val="nil"/>
                    <w:tr2bl w:val="nil"/>
                  </w:tcBorders>
                  <w:shd w:val="clear" w:color="auto" w:fill="auto"/>
                  <w:vAlign w:val="center"/>
                </w:tcPr>
                <w:p w14:paraId="69B5364C">
                  <w:pPr>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50/60Hz IP40</w:t>
                  </w:r>
                </w:p>
              </w:tc>
              <w:tc>
                <w:tcPr>
                  <w:tcW w:w="697" w:type="pct"/>
                  <w:tcBorders>
                    <w:tl2br w:val="nil"/>
                    <w:tr2bl w:val="nil"/>
                  </w:tcBorders>
                  <w:shd w:val="clear" w:color="auto" w:fill="auto"/>
                  <w:vAlign w:val="center"/>
                </w:tcPr>
                <w:p w14:paraId="6B280B94">
                  <w:pPr>
                    <w:pStyle w:val="115"/>
                    <w:jc w:val="center"/>
                    <w:rPr>
                      <w:rFonts w:hint="default" w:ascii="Times New Roman" w:hAnsi="Times New Roman" w:cs="Times New Roman"/>
                      <w:color w:val="auto"/>
                      <w:spacing w:val="-3"/>
                      <w:sz w:val="21"/>
                      <w:szCs w:val="24"/>
                      <w:highlight w:val="none"/>
                      <w:lang w:val="en-US" w:eastAsia="zh-CN"/>
                    </w:rPr>
                  </w:pPr>
                  <w:r>
                    <w:rPr>
                      <w:rFonts w:hint="eastAsia" w:ascii="Times New Roman" w:hAnsi="Times New Roman" w:cs="Times New Roman"/>
                      <w:color w:val="auto"/>
                      <w:spacing w:val="-3"/>
                      <w:sz w:val="21"/>
                      <w:szCs w:val="24"/>
                      <w:highlight w:val="none"/>
                      <w:lang w:val="en-US" w:eastAsia="zh-CN"/>
                    </w:rPr>
                    <w:t>1</w:t>
                  </w:r>
                </w:p>
              </w:tc>
              <w:tc>
                <w:tcPr>
                  <w:tcW w:w="1067" w:type="pct"/>
                  <w:vMerge w:val="continue"/>
                  <w:tcBorders>
                    <w:tl2br w:val="nil"/>
                    <w:tr2bl w:val="nil"/>
                  </w:tcBorders>
                  <w:shd w:val="clear" w:color="auto" w:fill="auto"/>
                  <w:vAlign w:val="center"/>
                </w:tcPr>
                <w:p w14:paraId="4D144B09">
                  <w:pPr>
                    <w:jc w:val="center"/>
                    <w:rPr>
                      <w:rFonts w:hint="eastAsia" w:ascii="Times New Roman" w:hAnsi="Times New Roman" w:eastAsia="宋体"/>
                      <w:color w:val="auto"/>
                      <w:sz w:val="21"/>
                    </w:rPr>
                  </w:pPr>
                </w:p>
              </w:tc>
            </w:tr>
            <w:tr w14:paraId="1F05C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1CD18E74">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16</w:t>
                  </w:r>
                </w:p>
              </w:tc>
              <w:tc>
                <w:tcPr>
                  <w:tcW w:w="1016" w:type="pct"/>
                  <w:tcBorders>
                    <w:tl2br w:val="nil"/>
                    <w:tr2bl w:val="nil"/>
                  </w:tcBorders>
                  <w:shd w:val="clear" w:color="auto" w:fill="auto"/>
                  <w:vAlign w:val="center"/>
                </w:tcPr>
                <w:p w14:paraId="608C02A7">
                  <w:pPr>
                    <w:pStyle w:val="115"/>
                    <w:jc w:val="center"/>
                    <w:rPr>
                      <w:rFonts w:hint="default"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cs="Times New Roman"/>
                      <w:color w:val="auto"/>
                      <w:spacing w:val="2"/>
                      <w:kern w:val="2"/>
                      <w:position w:val="1"/>
                      <w:sz w:val="21"/>
                      <w:szCs w:val="24"/>
                      <w:highlight w:val="none"/>
                      <w:lang w:val="en-US" w:eastAsia="zh-CN" w:bidi="ar-SA"/>
                    </w:rPr>
                    <w:t>天然气固化炉</w:t>
                  </w:r>
                </w:p>
              </w:tc>
              <w:tc>
                <w:tcPr>
                  <w:tcW w:w="1830" w:type="pct"/>
                  <w:tcBorders>
                    <w:tl2br w:val="nil"/>
                    <w:tr2bl w:val="nil"/>
                  </w:tcBorders>
                  <w:shd w:val="clear" w:color="auto" w:fill="auto"/>
                  <w:vAlign w:val="center"/>
                </w:tcPr>
                <w:p w14:paraId="41190CA1">
                  <w:pPr>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50Hz IP44</w:t>
                  </w:r>
                </w:p>
              </w:tc>
              <w:tc>
                <w:tcPr>
                  <w:tcW w:w="697" w:type="pct"/>
                  <w:tcBorders>
                    <w:tl2br w:val="nil"/>
                    <w:tr2bl w:val="nil"/>
                  </w:tcBorders>
                  <w:shd w:val="clear" w:color="auto" w:fill="auto"/>
                  <w:vAlign w:val="center"/>
                </w:tcPr>
                <w:p w14:paraId="738D3021">
                  <w:pPr>
                    <w:pStyle w:val="115"/>
                    <w:jc w:val="center"/>
                    <w:rPr>
                      <w:rFonts w:hint="default" w:ascii="Times New Roman" w:hAnsi="Times New Roman" w:cs="Times New Roman"/>
                      <w:color w:val="auto"/>
                      <w:spacing w:val="-3"/>
                      <w:sz w:val="21"/>
                      <w:szCs w:val="24"/>
                      <w:highlight w:val="none"/>
                      <w:lang w:val="en-US" w:eastAsia="zh-CN"/>
                    </w:rPr>
                  </w:pPr>
                  <w:r>
                    <w:rPr>
                      <w:rFonts w:hint="eastAsia" w:ascii="Times New Roman" w:hAnsi="Times New Roman" w:cs="Times New Roman"/>
                      <w:color w:val="auto"/>
                      <w:spacing w:val="-3"/>
                      <w:sz w:val="21"/>
                      <w:szCs w:val="24"/>
                      <w:highlight w:val="none"/>
                      <w:lang w:val="en-US" w:eastAsia="zh-CN"/>
                    </w:rPr>
                    <w:t>1</w:t>
                  </w:r>
                </w:p>
              </w:tc>
              <w:tc>
                <w:tcPr>
                  <w:tcW w:w="1067" w:type="pct"/>
                  <w:tcBorders>
                    <w:tl2br w:val="nil"/>
                    <w:tr2bl w:val="nil"/>
                  </w:tcBorders>
                  <w:shd w:val="clear" w:color="auto" w:fill="auto"/>
                  <w:vAlign w:val="center"/>
                </w:tcPr>
                <w:p w14:paraId="43D7D06B">
                  <w:pPr>
                    <w:jc w:val="center"/>
                    <w:rPr>
                      <w:rFonts w:hint="default" w:ascii="Times New Roman" w:hAnsi="Times New Roman" w:eastAsia="宋体"/>
                      <w:color w:val="auto"/>
                      <w:sz w:val="21"/>
                      <w:lang w:val="en-US" w:eastAsia="zh-CN"/>
                    </w:rPr>
                  </w:pPr>
                  <w:r>
                    <w:rPr>
                      <w:rFonts w:hint="eastAsia"/>
                      <w:color w:val="auto"/>
                      <w:sz w:val="21"/>
                      <w:lang w:val="en-US" w:eastAsia="zh-CN"/>
                    </w:rPr>
                    <w:t>喷粉、喷漆</w:t>
                  </w:r>
                </w:p>
              </w:tc>
            </w:tr>
            <w:tr w14:paraId="28BBEB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44A83B21">
                  <w:pPr>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17</w:t>
                  </w:r>
                </w:p>
              </w:tc>
              <w:tc>
                <w:tcPr>
                  <w:tcW w:w="1016" w:type="pct"/>
                  <w:tcBorders>
                    <w:tl2br w:val="nil"/>
                    <w:tr2bl w:val="nil"/>
                  </w:tcBorders>
                  <w:shd w:val="clear" w:color="auto" w:fill="auto"/>
                  <w:vAlign w:val="center"/>
                </w:tcPr>
                <w:p w14:paraId="23C0A7CC">
                  <w:pPr>
                    <w:pStyle w:val="115"/>
                    <w:jc w:val="center"/>
                    <w:rPr>
                      <w:rFonts w:hint="eastAsia" w:ascii="Times New Roman" w:hAnsi="Times New Roman" w:eastAsia="宋体" w:cs="Times New Roman"/>
                      <w:color w:val="auto"/>
                      <w:spacing w:val="2"/>
                      <w:kern w:val="2"/>
                      <w:position w:val="1"/>
                      <w:sz w:val="21"/>
                      <w:szCs w:val="24"/>
                      <w:lang w:val="en-US" w:eastAsia="zh-CN" w:bidi="ar-SA"/>
                    </w:rPr>
                  </w:pPr>
                  <w:r>
                    <w:rPr>
                      <w:rFonts w:hint="eastAsia" w:ascii="Times New Roman" w:hAnsi="Times New Roman" w:cs="p&gt;:#"/>
                      <w:color w:val="auto"/>
                      <w:kern w:val="0"/>
                      <w:sz w:val="21"/>
                      <w:szCs w:val="24"/>
                      <w:lang w:eastAsia="zh-CN"/>
                    </w:rPr>
                    <w:t>废水处理设施</w:t>
                  </w:r>
                </w:p>
              </w:tc>
              <w:tc>
                <w:tcPr>
                  <w:tcW w:w="1830" w:type="pct"/>
                  <w:tcBorders>
                    <w:tl2br w:val="nil"/>
                    <w:tr2bl w:val="nil"/>
                  </w:tcBorders>
                  <w:shd w:val="clear" w:color="auto" w:fill="auto"/>
                  <w:vAlign w:val="center"/>
                </w:tcPr>
                <w:p w14:paraId="39EC2606">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highlight w:val="none"/>
                      <w:lang w:val="en-US" w:eastAsia="zh-CN" w:bidi="ar-SA"/>
                    </w:rPr>
                    <w:t>物化+A/O+沉淀</w:t>
                  </w:r>
                </w:p>
              </w:tc>
              <w:tc>
                <w:tcPr>
                  <w:tcW w:w="697" w:type="pct"/>
                  <w:tcBorders>
                    <w:tl2br w:val="nil"/>
                    <w:tr2bl w:val="nil"/>
                  </w:tcBorders>
                  <w:shd w:val="clear" w:color="auto" w:fill="auto"/>
                  <w:vAlign w:val="center"/>
                </w:tcPr>
                <w:p w14:paraId="55729253">
                  <w:pPr>
                    <w:pStyle w:val="115"/>
                    <w:jc w:val="center"/>
                    <w:rPr>
                      <w:rFonts w:hint="default" w:ascii="Times New Roman" w:hAnsi="Times New Roman" w:eastAsia="宋体" w:cs="Times New Roman"/>
                      <w:color w:val="auto"/>
                      <w:spacing w:val="-10"/>
                      <w:kern w:val="2"/>
                      <w:sz w:val="21"/>
                      <w:szCs w:val="24"/>
                      <w:lang w:val="en-US" w:eastAsia="zh-CN" w:bidi="ar-SA"/>
                    </w:rPr>
                  </w:pPr>
                  <w:r>
                    <w:rPr>
                      <w:rFonts w:hint="eastAsia" w:ascii="Times New Roman" w:hAnsi="Times New Roman" w:eastAsia="宋体" w:cs="Times New Roman"/>
                      <w:color w:val="auto"/>
                      <w:spacing w:val="-10"/>
                      <w:sz w:val="21"/>
                      <w:szCs w:val="24"/>
                      <w:lang w:eastAsia="zh-CN"/>
                    </w:rPr>
                    <w:t>1</w:t>
                  </w:r>
                </w:p>
              </w:tc>
              <w:tc>
                <w:tcPr>
                  <w:tcW w:w="1067" w:type="pct"/>
                  <w:tcBorders>
                    <w:tl2br w:val="nil"/>
                    <w:tr2bl w:val="nil"/>
                  </w:tcBorders>
                  <w:shd w:val="clear" w:color="auto" w:fill="auto"/>
                  <w:vAlign w:val="center"/>
                </w:tcPr>
                <w:p w14:paraId="301115B3">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污水处理</w:t>
                  </w:r>
                </w:p>
              </w:tc>
            </w:tr>
            <w:tr w14:paraId="44E034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shd w:val="clear" w:color="auto" w:fill="auto"/>
                  <w:vAlign w:val="center"/>
                </w:tcPr>
                <w:p w14:paraId="3B63C3AB">
                  <w:pPr>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18</w:t>
                  </w:r>
                </w:p>
              </w:tc>
              <w:tc>
                <w:tcPr>
                  <w:tcW w:w="1016" w:type="pct"/>
                  <w:tcBorders>
                    <w:tl2br w:val="nil"/>
                    <w:tr2bl w:val="nil"/>
                  </w:tcBorders>
                  <w:shd w:val="clear" w:color="auto" w:fill="auto"/>
                  <w:vAlign w:val="center"/>
                </w:tcPr>
                <w:p w14:paraId="2BCB9FE3">
                  <w:pPr>
                    <w:pStyle w:val="115"/>
                    <w:jc w:val="center"/>
                    <w:rPr>
                      <w:rFonts w:hint="eastAsia" w:ascii="Times New Roman" w:hAnsi="Times New Roman" w:eastAsia="宋体" w:cs="Times New Roman"/>
                      <w:color w:val="auto"/>
                      <w:spacing w:val="2"/>
                      <w:kern w:val="2"/>
                      <w:position w:val="1"/>
                      <w:sz w:val="21"/>
                      <w:szCs w:val="24"/>
                      <w:lang w:val="en-US" w:eastAsia="zh-CN" w:bidi="ar-SA"/>
                    </w:rPr>
                  </w:pPr>
                  <w:r>
                    <w:rPr>
                      <w:rFonts w:ascii="Times New Roman" w:hAnsi="Times New Roman" w:eastAsia="宋体" w:cs="p&gt;:#"/>
                      <w:color w:val="auto"/>
                      <w:kern w:val="0"/>
                      <w:sz w:val="21"/>
                      <w:szCs w:val="24"/>
                    </w:rPr>
                    <w:t>座椅骨架装配线</w:t>
                  </w:r>
                </w:p>
              </w:tc>
              <w:tc>
                <w:tcPr>
                  <w:tcW w:w="1830" w:type="pct"/>
                  <w:tcBorders>
                    <w:tl2br w:val="nil"/>
                    <w:tr2bl w:val="nil"/>
                  </w:tcBorders>
                  <w:shd w:val="clear" w:color="auto" w:fill="auto"/>
                  <w:vAlign w:val="center"/>
                </w:tcPr>
                <w:p w14:paraId="3F08C7D1">
                  <w:pPr>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97" w:type="pct"/>
                  <w:tcBorders>
                    <w:tl2br w:val="nil"/>
                    <w:tr2bl w:val="nil"/>
                  </w:tcBorders>
                  <w:shd w:val="clear" w:color="auto" w:fill="auto"/>
                  <w:vAlign w:val="center"/>
                </w:tcPr>
                <w:p w14:paraId="337C1CE3">
                  <w:pPr>
                    <w:pStyle w:val="115"/>
                    <w:jc w:val="center"/>
                    <w:rPr>
                      <w:rFonts w:hint="eastAsia" w:ascii="Times New Roman" w:hAnsi="Times New Roman" w:eastAsia="宋体" w:cs="Times New Roman"/>
                      <w:color w:val="auto"/>
                      <w:spacing w:val="-5"/>
                      <w:kern w:val="2"/>
                      <w:sz w:val="21"/>
                      <w:szCs w:val="24"/>
                      <w:lang w:val="en-US" w:eastAsia="zh-CN" w:bidi="ar-SA"/>
                    </w:rPr>
                  </w:pPr>
                  <w:r>
                    <w:rPr>
                      <w:rFonts w:hint="eastAsia" w:ascii="Times New Roman" w:hAnsi="Times New Roman" w:eastAsia="宋体" w:cs="Times New Roman"/>
                      <w:color w:val="auto"/>
                      <w:spacing w:val="-5"/>
                      <w:sz w:val="21"/>
                      <w:szCs w:val="24"/>
                      <w:lang w:eastAsia="zh-CN"/>
                    </w:rPr>
                    <w:t>1</w:t>
                  </w:r>
                </w:p>
              </w:tc>
              <w:tc>
                <w:tcPr>
                  <w:tcW w:w="1067" w:type="pct"/>
                  <w:tcBorders>
                    <w:tl2br w:val="nil"/>
                    <w:tr2bl w:val="nil"/>
                  </w:tcBorders>
                  <w:shd w:val="clear" w:color="auto" w:fill="auto"/>
                  <w:vAlign w:val="center"/>
                </w:tcPr>
                <w:p w14:paraId="59C38004">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olor w:val="auto"/>
                      <w:sz w:val="21"/>
                    </w:rPr>
                    <w:t>装配</w:t>
                  </w:r>
                </w:p>
              </w:tc>
            </w:tr>
            <w:tr w14:paraId="469075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0EE2DBA3">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19</w:t>
                  </w:r>
                </w:p>
              </w:tc>
              <w:tc>
                <w:tcPr>
                  <w:tcW w:w="1016" w:type="pct"/>
                  <w:tcBorders>
                    <w:tl2br w:val="nil"/>
                    <w:tr2bl w:val="nil"/>
                  </w:tcBorders>
                  <w:shd w:val="clear" w:color="auto" w:fill="auto"/>
                  <w:vAlign w:val="center"/>
                </w:tcPr>
                <w:p w14:paraId="7ECE024D">
                  <w:pPr>
                    <w:pStyle w:val="115"/>
                    <w:jc w:val="center"/>
                    <w:rPr>
                      <w:rFonts w:hint="default" w:ascii="Times New Roman" w:hAnsi="Times New Roman" w:eastAsia="宋体" w:cs="p&gt;:#"/>
                      <w:color w:val="auto"/>
                      <w:kern w:val="0"/>
                      <w:sz w:val="21"/>
                      <w:szCs w:val="24"/>
                      <w:lang w:val="en-US" w:eastAsia="zh-CN"/>
                    </w:rPr>
                  </w:pPr>
                  <w:r>
                    <w:rPr>
                      <w:rFonts w:hint="eastAsia" w:ascii="Times New Roman" w:hAnsi="Times New Roman" w:cs="p&gt;:#"/>
                      <w:color w:val="auto"/>
                      <w:kern w:val="0"/>
                      <w:sz w:val="21"/>
                      <w:szCs w:val="24"/>
                      <w:lang w:val="en-US" w:eastAsia="zh-CN"/>
                    </w:rPr>
                    <w:t>喷漆线</w:t>
                  </w:r>
                </w:p>
              </w:tc>
              <w:tc>
                <w:tcPr>
                  <w:tcW w:w="1830" w:type="pct"/>
                  <w:tcBorders>
                    <w:tl2br w:val="nil"/>
                    <w:tr2bl w:val="nil"/>
                  </w:tcBorders>
                  <w:shd w:val="clear" w:color="auto" w:fill="auto"/>
                  <w:vAlign w:val="center"/>
                </w:tcPr>
                <w:p w14:paraId="34E371DC">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97" w:type="pct"/>
                  <w:tcBorders>
                    <w:tl2br w:val="nil"/>
                    <w:tr2bl w:val="nil"/>
                  </w:tcBorders>
                  <w:shd w:val="clear" w:color="auto" w:fill="auto"/>
                  <w:vAlign w:val="center"/>
                </w:tcPr>
                <w:p w14:paraId="6807B528">
                  <w:pPr>
                    <w:pStyle w:val="115"/>
                    <w:jc w:val="center"/>
                    <w:rPr>
                      <w:rFonts w:hint="default" w:ascii="Times New Roman" w:hAnsi="Times New Roman" w:eastAsia="宋体" w:cs="Times New Roman"/>
                      <w:color w:val="auto"/>
                      <w:spacing w:val="-5"/>
                      <w:sz w:val="21"/>
                      <w:szCs w:val="24"/>
                      <w:lang w:val="en-US" w:eastAsia="zh-CN"/>
                    </w:rPr>
                  </w:pPr>
                  <w:r>
                    <w:rPr>
                      <w:rFonts w:hint="eastAsia" w:ascii="Times New Roman" w:hAnsi="Times New Roman" w:cs="Times New Roman"/>
                      <w:color w:val="auto"/>
                      <w:spacing w:val="-5"/>
                      <w:sz w:val="21"/>
                      <w:szCs w:val="24"/>
                      <w:lang w:val="en-US" w:eastAsia="zh-CN"/>
                    </w:rPr>
                    <w:t>1</w:t>
                  </w:r>
                </w:p>
              </w:tc>
              <w:tc>
                <w:tcPr>
                  <w:tcW w:w="1067" w:type="pct"/>
                  <w:tcBorders>
                    <w:tl2br w:val="nil"/>
                    <w:tr2bl w:val="nil"/>
                  </w:tcBorders>
                  <w:shd w:val="clear" w:color="auto" w:fill="auto"/>
                  <w:vAlign w:val="center"/>
                </w:tcPr>
                <w:p w14:paraId="12479E61">
                  <w:pPr>
                    <w:jc w:val="center"/>
                    <w:rPr>
                      <w:rFonts w:hint="eastAsia" w:ascii="Times New Roman" w:hAnsi="Times New Roman" w:eastAsia="宋体"/>
                      <w:color w:val="auto"/>
                      <w:sz w:val="21"/>
                      <w:lang w:val="en-US" w:eastAsia="zh-CN"/>
                    </w:rPr>
                  </w:pPr>
                  <w:r>
                    <w:rPr>
                      <w:rFonts w:hint="eastAsia"/>
                      <w:color w:val="auto"/>
                      <w:sz w:val="21"/>
                      <w:lang w:val="en-US" w:eastAsia="zh-CN"/>
                    </w:rPr>
                    <w:t>喷漆</w:t>
                  </w:r>
                </w:p>
              </w:tc>
            </w:tr>
            <w:tr w14:paraId="299C08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7" w:type="pct"/>
                  <w:tcBorders>
                    <w:tl2br w:val="nil"/>
                    <w:tr2bl w:val="nil"/>
                  </w:tcBorders>
                  <w:vAlign w:val="center"/>
                </w:tcPr>
                <w:p w14:paraId="35431051">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20</w:t>
                  </w:r>
                </w:p>
              </w:tc>
              <w:tc>
                <w:tcPr>
                  <w:tcW w:w="1016" w:type="pct"/>
                  <w:tcBorders>
                    <w:tl2br w:val="nil"/>
                    <w:tr2bl w:val="nil"/>
                  </w:tcBorders>
                  <w:shd w:val="clear" w:color="auto" w:fill="auto"/>
                  <w:vAlign w:val="center"/>
                </w:tcPr>
                <w:p w14:paraId="4009BAB3">
                  <w:pPr>
                    <w:pStyle w:val="115"/>
                    <w:jc w:val="center"/>
                    <w:rPr>
                      <w:rFonts w:hint="default" w:ascii="Times New Roman" w:hAnsi="Times New Roman" w:eastAsia="宋体" w:cs="p&gt;:#"/>
                      <w:color w:val="auto"/>
                      <w:kern w:val="0"/>
                      <w:sz w:val="21"/>
                      <w:szCs w:val="24"/>
                      <w:lang w:val="en-US" w:eastAsia="zh-CN"/>
                    </w:rPr>
                  </w:pPr>
                  <w:r>
                    <w:rPr>
                      <w:rFonts w:hint="eastAsia" w:ascii="Times New Roman" w:hAnsi="Times New Roman" w:cs="p&gt;:#"/>
                      <w:color w:val="auto"/>
                      <w:kern w:val="0"/>
                      <w:sz w:val="21"/>
                      <w:szCs w:val="24"/>
                      <w:lang w:val="en-US" w:eastAsia="zh-CN"/>
                    </w:rPr>
                    <w:t>喷粉线</w:t>
                  </w:r>
                </w:p>
              </w:tc>
              <w:tc>
                <w:tcPr>
                  <w:tcW w:w="1830" w:type="pct"/>
                  <w:tcBorders>
                    <w:tl2br w:val="nil"/>
                    <w:tr2bl w:val="nil"/>
                  </w:tcBorders>
                  <w:shd w:val="clear" w:color="auto" w:fill="auto"/>
                  <w:vAlign w:val="center"/>
                </w:tcPr>
                <w:p w14:paraId="2F5D234A">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97" w:type="pct"/>
                  <w:tcBorders>
                    <w:tl2br w:val="nil"/>
                    <w:tr2bl w:val="nil"/>
                  </w:tcBorders>
                  <w:shd w:val="clear" w:color="auto" w:fill="auto"/>
                  <w:vAlign w:val="center"/>
                </w:tcPr>
                <w:p w14:paraId="774AEC19">
                  <w:pPr>
                    <w:pStyle w:val="115"/>
                    <w:jc w:val="center"/>
                    <w:rPr>
                      <w:rFonts w:hint="default" w:ascii="Times New Roman" w:hAnsi="Times New Roman" w:eastAsia="宋体" w:cs="Times New Roman"/>
                      <w:color w:val="auto"/>
                      <w:spacing w:val="-5"/>
                      <w:sz w:val="21"/>
                      <w:szCs w:val="24"/>
                      <w:lang w:val="en-US" w:eastAsia="zh-CN"/>
                    </w:rPr>
                  </w:pPr>
                  <w:r>
                    <w:rPr>
                      <w:rFonts w:hint="eastAsia" w:ascii="Times New Roman" w:hAnsi="Times New Roman" w:cs="Times New Roman"/>
                      <w:color w:val="auto"/>
                      <w:spacing w:val="-5"/>
                      <w:sz w:val="21"/>
                      <w:szCs w:val="24"/>
                      <w:lang w:val="en-US" w:eastAsia="zh-CN"/>
                    </w:rPr>
                    <w:t>1</w:t>
                  </w:r>
                </w:p>
              </w:tc>
              <w:tc>
                <w:tcPr>
                  <w:tcW w:w="1067" w:type="pct"/>
                  <w:tcBorders>
                    <w:tl2br w:val="nil"/>
                    <w:tr2bl w:val="nil"/>
                  </w:tcBorders>
                  <w:shd w:val="clear" w:color="auto" w:fill="auto"/>
                  <w:vAlign w:val="center"/>
                </w:tcPr>
                <w:p w14:paraId="32924F41">
                  <w:pPr>
                    <w:jc w:val="center"/>
                    <w:rPr>
                      <w:rFonts w:hint="eastAsia" w:ascii="Times New Roman" w:hAnsi="Times New Roman" w:eastAsia="宋体"/>
                      <w:color w:val="auto"/>
                      <w:sz w:val="21"/>
                      <w:lang w:val="en-US" w:eastAsia="zh-CN"/>
                    </w:rPr>
                  </w:pPr>
                  <w:r>
                    <w:rPr>
                      <w:rFonts w:hint="eastAsia"/>
                      <w:color w:val="auto"/>
                      <w:sz w:val="21"/>
                      <w:lang w:val="en-US" w:eastAsia="zh-CN"/>
                    </w:rPr>
                    <w:t>喷粉</w:t>
                  </w:r>
                </w:p>
              </w:tc>
            </w:tr>
          </w:tbl>
          <w:p w14:paraId="1AFE83C8">
            <w:pPr>
              <w:pStyle w:val="3"/>
              <w:bidi w:val="0"/>
              <w:ind w:left="0" w:leftChars="0" w:firstLine="0" w:firstLineChars="0"/>
              <w:rPr>
                <w:rFonts w:hint="eastAsia"/>
                <w:color w:val="auto"/>
                <w:highlight w:val="none"/>
              </w:rPr>
            </w:pPr>
            <w:r>
              <w:rPr>
                <w:rFonts w:hint="eastAsia"/>
                <w:color w:val="auto"/>
                <w:highlight w:val="none"/>
              </w:rPr>
              <w:t>主要原辅材料</w:t>
            </w:r>
            <w:bookmarkEnd w:id="19"/>
            <w:bookmarkEnd w:id="20"/>
            <w:bookmarkEnd w:id="21"/>
            <w:bookmarkEnd w:id="22"/>
            <w:r>
              <w:rPr>
                <w:rFonts w:hint="eastAsia"/>
                <w:color w:val="auto"/>
                <w:highlight w:val="none"/>
              </w:rPr>
              <w:t>及能源消耗</w:t>
            </w:r>
          </w:p>
          <w:p w14:paraId="5653E707">
            <w:pPr>
              <w:pStyle w:val="46"/>
              <w:ind w:firstLine="480"/>
              <w:rPr>
                <w:color w:val="auto"/>
                <w:highlight w:val="none"/>
              </w:rPr>
            </w:pPr>
            <w:r>
              <w:rPr>
                <w:rFonts w:hint="eastAsia"/>
                <w:color w:val="auto"/>
                <w:highlight w:val="none"/>
              </w:rPr>
              <w:t>（1）主要原辅材料</w:t>
            </w:r>
          </w:p>
          <w:p w14:paraId="4DD21C81">
            <w:pPr>
              <w:pStyle w:val="46"/>
              <w:ind w:firstLine="480"/>
              <w:rPr>
                <w:color w:val="auto"/>
                <w:highlight w:val="none"/>
              </w:rPr>
            </w:pPr>
            <w:r>
              <w:rPr>
                <w:rFonts w:hint="eastAsia"/>
                <w:color w:val="auto"/>
                <w:highlight w:val="none"/>
              </w:rPr>
              <w:t>项目</w:t>
            </w:r>
            <w:r>
              <w:rPr>
                <w:color w:val="auto"/>
                <w:highlight w:val="none"/>
              </w:rPr>
              <w:t>主要原辅材料用量见</w:t>
            </w:r>
            <w:r>
              <w:rPr>
                <w:rFonts w:hint="eastAsia"/>
                <w:color w:val="auto"/>
                <w:highlight w:val="none"/>
              </w:rPr>
              <w:t>下表</w:t>
            </w:r>
            <w:r>
              <w:rPr>
                <w:color w:val="auto"/>
                <w:highlight w:val="none"/>
              </w:rPr>
              <w:t>。</w:t>
            </w:r>
          </w:p>
          <w:p w14:paraId="0DFB2F3D">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auto"/>
                <w:highlight w:val="none"/>
              </w:rPr>
            </w:pPr>
            <w:r>
              <w:rPr>
                <w:color w:val="auto"/>
                <w:highlight w:val="none"/>
              </w:rPr>
              <w:t>主要原辅材料预计消耗一览表</w:t>
            </w:r>
          </w:p>
          <w:tbl>
            <w:tblPr>
              <w:tblStyle w:val="3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554"/>
              <w:gridCol w:w="897"/>
              <w:gridCol w:w="2072"/>
              <w:gridCol w:w="488"/>
              <w:gridCol w:w="650"/>
              <w:gridCol w:w="964"/>
              <w:gridCol w:w="1050"/>
              <w:gridCol w:w="723"/>
              <w:gridCol w:w="1240"/>
            </w:tblGrid>
            <w:tr w14:paraId="610205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blHeader/>
              </w:trPr>
              <w:tc>
                <w:tcPr>
                  <w:tcW w:w="321" w:type="pct"/>
                  <w:tcBorders>
                    <w:bottom w:val="single" w:color="000000" w:sz="12" w:space="0"/>
                  </w:tcBorders>
                  <w:shd w:val="clear" w:color="auto" w:fill="auto"/>
                  <w:vAlign w:val="center"/>
                </w:tcPr>
                <w:p w14:paraId="4DA8378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519" w:type="pct"/>
                  <w:tcBorders>
                    <w:bottom w:val="single" w:color="000000" w:sz="12" w:space="0"/>
                  </w:tcBorders>
                  <w:shd w:val="clear" w:color="auto" w:fill="auto"/>
                  <w:vAlign w:val="center"/>
                </w:tcPr>
                <w:p w14:paraId="4AAA4CC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原料名称</w:t>
                  </w:r>
                </w:p>
              </w:tc>
              <w:tc>
                <w:tcPr>
                  <w:tcW w:w="1198" w:type="pct"/>
                  <w:tcBorders>
                    <w:bottom w:val="single" w:color="000000" w:sz="12" w:space="0"/>
                  </w:tcBorders>
                  <w:shd w:val="clear" w:color="auto" w:fill="auto"/>
                  <w:vAlign w:val="center"/>
                </w:tcPr>
                <w:p w14:paraId="458A2BC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成分</w:t>
                  </w:r>
                </w:p>
              </w:tc>
              <w:tc>
                <w:tcPr>
                  <w:tcW w:w="282" w:type="pct"/>
                  <w:tcBorders>
                    <w:bottom w:val="single" w:color="000000" w:sz="12" w:space="0"/>
                  </w:tcBorders>
                  <w:shd w:val="clear" w:color="auto" w:fill="auto"/>
                  <w:vAlign w:val="center"/>
                </w:tcPr>
                <w:p w14:paraId="73DC373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形态</w:t>
                  </w:r>
                </w:p>
              </w:tc>
              <w:tc>
                <w:tcPr>
                  <w:tcW w:w="376" w:type="pct"/>
                  <w:tcBorders>
                    <w:bottom w:val="single" w:color="000000" w:sz="12" w:space="0"/>
                  </w:tcBorders>
                  <w:shd w:val="clear" w:color="auto" w:fill="auto"/>
                  <w:vAlign w:val="center"/>
                </w:tcPr>
                <w:p w14:paraId="021C2F0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包装</w:t>
                  </w:r>
                </w:p>
                <w:p w14:paraId="5994B4D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规格</w:t>
                  </w:r>
                </w:p>
              </w:tc>
              <w:tc>
                <w:tcPr>
                  <w:tcW w:w="557" w:type="pct"/>
                  <w:tcBorders>
                    <w:bottom w:val="single" w:color="000000" w:sz="12" w:space="0"/>
                  </w:tcBorders>
                  <w:shd w:val="clear" w:color="auto" w:fill="auto"/>
                  <w:vAlign w:val="center"/>
                </w:tcPr>
                <w:p w14:paraId="2CDCA71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年用量</w:t>
                  </w:r>
                </w:p>
              </w:tc>
              <w:tc>
                <w:tcPr>
                  <w:tcW w:w="607" w:type="pct"/>
                  <w:tcBorders>
                    <w:bottom w:val="single" w:color="000000" w:sz="12" w:space="0"/>
                  </w:tcBorders>
                  <w:shd w:val="clear" w:color="auto" w:fill="auto"/>
                  <w:vAlign w:val="center"/>
                </w:tcPr>
                <w:p w14:paraId="686E175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贮存位置</w:t>
                  </w:r>
                </w:p>
              </w:tc>
              <w:tc>
                <w:tcPr>
                  <w:tcW w:w="418" w:type="pct"/>
                  <w:tcBorders>
                    <w:bottom w:val="single" w:color="000000" w:sz="12" w:space="0"/>
                  </w:tcBorders>
                  <w:shd w:val="clear" w:color="auto" w:fill="auto"/>
                  <w:vAlign w:val="center"/>
                </w:tcPr>
                <w:p w14:paraId="10F2C69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厂区贮存量</w:t>
                  </w:r>
                </w:p>
              </w:tc>
              <w:tc>
                <w:tcPr>
                  <w:tcW w:w="717" w:type="pct"/>
                  <w:tcBorders>
                    <w:bottom w:val="single" w:color="000000" w:sz="12" w:space="0"/>
                  </w:tcBorders>
                  <w:shd w:val="clear" w:color="auto" w:fill="auto"/>
                  <w:vAlign w:val="center"/>
                </w:tcPr>
                <w:p w14:paraId="03C8E57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用途</w:t>
                  </w:r>
                </w:p>
              </w:tc>
            </w:tr>
            <w:tr w14:paraId="38EB31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10" w:hRule="atLeast"/>
              </w:trPr>
              <w:tc>
                <w:tcPr>
                  <w:tcW w:w="321" w:type="pct"/>
                  <w:tcBorders>
                    <w:top w:val="single" w:color="000000" w:sz="12" w:space="0"/>
                    <w:tl2br w:val="nil"/>
                    <w:tr2bl w:val="nil"/>
                  </w:tcBorders>
                  <w:shd w:val="clear" w:color="auto" w:fill="auto"/>
                  <w:vAlign w:val="center"/>
                </w:tcPr>
                <w:p w14:paraId="312E504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19" w:type="pct"/>
                  <w:tcBorders>
                    <w:top w:val="single" w:color="000000" w:sz="12" w:space="0"/>
                    <w:tl2br w:val="nil"/>
                    <w:tr2bl w:val="nil"/>
                  </w:tcBorders>
                  <w:shd w:val="clear" w:color="auto" w:fill="auto"/>
                  <w:vAlign w:val="center"/>
                </w:tcPr>
                <w:p w14:paraId="30FF904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座椅座垫</w:t>
                  </w:r>
                </w:p>
                <w:p w14:paraId="29DF93C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骨架零件</w:t>
                  </w:r>
                </w:p>
              </w:tc>
              <w:tc>
                <w:tcPr>
                  <w:tcW w:w="1198" w:type="pct"/>
                  <w:tcBorders>
                    <w:top w:val="single" w:color="000000" w:sz="12" w:space="0"/>
                    <w:tl2br w:val="nil"/>
                    <w:tr2bl w:val="nil"/>
                  </w:tcBorders>
                  <w:shd w:val="clear" w:color="auto" w:fill="auto"/>
                  <w:vAlign w:val="center"/>
                </w:tcPr>
                <w:p w14:paraId="17FD071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冷轧钢材，成分为C：0.1%，Mn：0.5%，P：0.035%，S：0.025%，Fe：99.34%</w:t>
                  </w:r>
                </w:p>
              </w:tc>
              <w:tc>
                <w:tcPr>
                  <w:tcW w:w="282" w:type="pct"/>
                  <w:tcBorders>
                    <w:top w:val="single" w:color="000000" w:sz="12" w:space="0"/>
                    <w:tl2br w:val="nil"/>
                    <w:tr2bl w:val="nil"/>
                  </w:tcBorders>
                  <w:shd w:val="clear" w:color="auto" w:fill="auto"/>
                  <w:vAlign w:val="center"/>
                </w:tcPr>
                <w:p w14:paraId="71F01A9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376" w:type="pct"/>
                  <w:tcBorders>
                    <w:top w:val="single" w:color="000000" w:sz="12" w:space="0"/>
                    <w:tl2br w:val="nil"/>
                    <w:tr2bl w:val="nil"/>
                  </w:tcBorders>
                  <w:shd w:val="clear" w:color="auto" w:fill="auto"/>
                  <w:vAlign w:val="center"/>
                </w:tcPr>
                <w:p w14:paraId="12CCA62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料架</w:t>
                  </w:r>
                </w:p>
              </w:tc>
              <w:tc>
                <w:tcPr>
                  <w:tcW w:w="557" w:type="pct"/>
                  <w:tcBorders>
                    <w:top w:val="single" w:color="000000" w:sz="12" w:space="0"/>
                    <w:tl2br w:val="nil"/>
                    <w:tr2bl w:val="nil"/>
                  </w:tcBorders>
                  <w:shd w:val="clear" w:color="auto" w:fill="auto"/>
                  <w:vAlign w:val="center"/>
                </w:tcPr>
                <w:p w14:paraId="5686EEF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ascii="Times New Roman" w:hAnsi="Times New Roman" w:eastAsia="宋体" w:cs="Times New Roman"/>
                      <w:color w:val="auto"/>
                      <w:sz w:val="21"/>
                      <w:szCs w:val="21"/>
                      <w:lang w:val="en-US" w:eastAsia="zh-CN"/>
                    </w:rPr>
                    <w:t>万</w:t>
                  </w:r>
                </w:p>
                <w:p w14:paraId="42AF7D9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套/a</w:t>
                  </w:r>
                </w:p>
              </w:tc>
              <w:tc>
                <w:tcPr>
                  <w:tcW w:w="607" w:type="pct"/>
                  <w:tcBorders>
                    <w:top w:val="single" w:color="000000" w:sz="12" w:space="0"/>
                    <w:tl2br w:val="nil"/>
                    <w:tr2bl w:val="nil"/>
                  </w:tcBorders>
                  <w:shd w:val="clear" w:color="auto" w:fill="auto"/>
                  <w:vAlign w:val="center"/>
                </w:tcPr>
                <w:p w14:paraId="131273F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op w:val="single" w:color="000000" w:sz="12" w:space="0"/>
                    <w:tl2br w:val="nil"/>
                    <w:tr2bl w:val="nil"/>
                  </w:tcBorders>
                  <w:shd w:val="clear" w:color="auto" w:fill="auto"/>
                  <w:vAlign w:val="center"/>
                </w:tcPr>
                <w:p w14:paraId="58D5A9A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2500套</w:t>
                  </w:r>
                </w:p>
              </w:tc>
              <w:tc>
                <w:tcPr>
                  <w:tcW w:w="717" w:type="pct"/>
                  <w:vMerge w:val="restart"/>
                  <w:tcBorders>
                    <w:top w:val="single" w:color="000000" w:sz="12" w:space="0"/>
                    <w:tl2br w:val="nil"/>
                    <w:tr2bl w:val="nil"/>
                  </w:tcBorders>
                  <w:shd w:val="clear" w:color="auto" w:fill="auto"/>
                  <w:vAlign w:val="center"/>
                </w:tcPr>
                <w:p w14:paraId="4A2DCCA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装配</w:t>
                  </w:r>
                </w:p>
              </w:tc>
            </w:tr>
            <w:tr w14:paraId="3DE58C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3EE44AA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519" w:type="pct"/>
                  <w:tcBorders>
                    <w:tl2br w:val="nil"/>
                    <w:tr2bl w:val="nil"/>
                  </w:tcBorders>
                  <w:shd w:val="clear" w:color="auto" w:fill="auto"/>
                  <w:vAlign w:val="center"/>
                </w:tcPr>
                <w:p w14:paraId="5723F10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螺栓</w:t>
                  </w:r>
                </w:p>
              </w:tc>
              <w:tc>
                <w:tcPr>
                  <w:tcW w:w="1198" w:type="pct"/>
                  <w:tcBorders>
                    <w:tl2br w:val="nil"/>
                    <w:tr2bl w:val="nil"/>
                  </w:tcBorders>
                  <w:shd w:val="clear" w:color="auto" w:fill="auto"/>
                  <w:vAlign w:val="center"/>
                </w:tcPr>
                <w:p w14:paraId="4F8EBD4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冷墩钢，成分为C：</w:t>
                  </w:r>
                  <w:r>
                    <w:rPr>
                      <w:rFonts w:hint="eastAsia" w:cs="Times New Roman"/>
                      <w:color w:val="auto"/>
                      <w:sz w:val="21"/>
                      <w:szCs w:val="21"/>
                      <w:lang w:val="en-US" w:eastAsia="zh-CN"/>
                    </w:rPr>
                    <w:t>0.18%～0.23%</w:t>
                  </w:r>
                  <w:r>
                    <w:rPr>
                      <w:rFonts w:hint="eastAsia" w:ascii="Times New Roman" w:hAnsi="Times New Roman" w:eastAsia="宋体" w:cs="Times New Roman"/>
                      <w:color w:val="auto"/>
                      <w:sz w:val="21"/>
                      <w:szCs w:val="21"/>
                      <w:lang w:val="en-US" w:eastAsia="zh-CN"/>
                    </w:rPr>
                    <w:t>，Si：0.1%，Mn：</w:t>
                  </w:r>
                  <w:r>
                    <w:rPr>
                      <w:rFonts w:hint="eastAsia" w:cs="Times New Roman"/>
                      <w:color w:val="auto"/>
                      <w:sz w:val="21"/>
                      <w:szCs w:val="21"/>
                      <w:lang w:val="en-US" w:eastAsia="zh-CN"/>
                    </w:rPr>
                    <w:t>0.7%～1%</w:t>
                  </w:r>
                  <w:r>
                    <w:rPr>
                      <w:rFonts w:hint="eastAsia" w:ascii="Times New Roman" w:hAnsi="Times New Roman" w:eastAsia="宋体" w:cs="Times New Roman"/>
                      <w:color w:val="auto"/>
                      <w:sz w:val="21"/>
                      <w:szCs w:val="21"/>
                      <w:lang w:val="en-US" w:eastAsia="zh-CN"/>
                    </w:rPr>
                    <w:t>，P：0.025%，S：0.025%，Alt：0.02%，Fe：</w:t>
                  </w:r>
                  <w:r>
                    <w:rPr>
                      <w:rFonts w:hint="eastAsia" w:cs="Times New Roman"/>
                      <w:color w:val="auto"/>
                      <w:sz w:val="21"/>
                      <w:szCs w:val="21"/>
                      <w:lang w:val="en-US" w:eastAsia="zh-CN"/>
                    </w:rPr>
                    <w:t>98.6%～98.95%</w:t>
                  </w:r>
                </w:p>
              </w:tc>
              <w:tc>
                <w:tcPr>
                  <w:tcW w:w="282" w:type="pct"/>
                  <w:tcBorders>
                    <w:tl2br w:val="nil"/>
                    <w:tr2bl w:val="nil"/>
                  </w:tcBorders>
                  <w:shd w:val="clear" w:color="auto" w:fill="auto"/>
                  <w:vAlign w:val="center"/>
                </w:tcPr>
                <w:p w14:paraId="2A2ECC7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376" w:type="pct"/>
                  <w:tcBorders>
                    <w:tl2br w:val="nil"/>
                    <w:tr2bl w:val="nil"/>
                  </w:tcBorders>
                  <w:shd w:val="clear" w:color="auto" w:fill="auto"/>
                  <w:vAlign w:val="center"/>
                </w:tcPr>
                <w:p w14:paraId="0431FE4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纸箱</w:t>
                  </w:r>
                </w:p>
              </w:tc>
              <w:tc>
                <w:tcPr>
                  <w:tcW w:w="557" w:type="pct"/>
                  <w:tcBorders>
                    <w:tl2br w:val="nil"/>
                    <w:tr2bl w:val="nil"/>
                  </w:tcBorders>
                  <w:shd w:val="clear" w:color="auto" w:fill="auto"/>
                  <w:vAlign w:val="center"/>
                </w:tcPr>
                <w:p w14:paraId="2C504CD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eastAsia" w:ascii="Times New Roman" w:hAnsi="Times New Roman" w:eastAsia="宋体" w:cs="Times New Roman"/>
                      <w:color w:val="auto"/>
                      <w:sz w:val="21"/>
                      <w:szCs w:val="21"/>
                      <w:lang w:val="en-US" w:eastAsia="zh-CN"/>
                    </w:rPr>
                    <w:t>万</w:t>
                  </w:r>
                </w:p>
                <w:p w14:paraId="6AA0050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套/a</w:t>
                  </w:r>
                </w:p>
              </w:tc>
              <w:tc>
                <w:tcPr>
                  <w:tcW w:w="607" w:type="pct"/>
                  <w:tcBorders>
                    <w:tl2br w:val="nil"/>
                    <w:tr2bl w:val="nil"/>
                  </w:tcBorders>
                  <w:shd w:val="clear" w:color="auto" w:fill="auto"/>
                  <w:vAlign w:val="center"/>
                </w:tcPr>
                <w:p w14:paraId="62E53DB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1348CD6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2500套</w:t>
                  </w:r>
                </w:p>
              </w:tc>
              <w:tc>
                <w:tcPr>
                  <w:tcW w:w="717" w:type="pct"/>
                  <w:vMerge w:val="continue"/>
                  <w:tcBorders>
                    <w:tl2br w:val="nil"/>
                    <w:tr2bl w:val="nil"/>
                  </w:tcBorders>
                  <w:shd w:val="clear" w:color="auto" w:fill="auto"/>
                  <w:vAlign w:val="center"/>
                </w:tcPr>
                <w:p w14:paraId="07A0D64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23E133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737" w:hRule="atLeast"/>
              </w:trPr>
              <w:tc>
                <w:tcPr>
                  <w:tcW w:w="321" w:type="pct"/>
                  <w:tcBorders>
                    <w:tl2br w:val="nil"/>
                    <w:tr2bl w:val="nil"/>
                  </w:tcBorders>
                  <w:shd w:val="clear" w:color="auto" w:fill="auto"/>
                  <w:vAlign w:val="center"/>
                </w:tcPr>
                <w:p w14:paraId="0D139EA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19" w:type="pct"/>
                  <w:tcBorders>
                    <w:tl2br w:val="nil"/>
                    <w:tr2bl w:val="nil"/>
                  </w:tcBorders>
                  <w:shd w:val="clear" w:color="auto" w:fill="auto"/>
                  <w:vAlign w:val="center"/>
                </w:tcPr>
                <w:p w14:paraId="60359EB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焊丝</w:t>
                  </w:r>
                </w:p>
              </w:tc>
              <w:tc>
                <w:tcPr>
                  <w:tcW w:w="1198" w:type="pct"/>
                  <w:tcBorders>
                    <w:tl2br w:val="nil"/>
                    <w:tr2bl w:val="nil"/>
                  </w:tcBorders>
                  <w:shd w:val="clear" w:color="auto" w:fill="auto"/>
                  <w:vAlign w:val="center"/>
                </w:tcPr>
                <w:p w14:paraId="30D00E1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w:t>
                  </w:r>
                  <w:r>
                    <w:rPr>
                      <w:rFonts w:hint="eastAsia" w:cs="Times New Roman"/>
                      <w:color w:val="auto"/>
                      <w:sz w:val="21"/>
                      <w:szCs w:val="21"/>
                      <w:lang w:val="en-US" w:eastAsia="zh-CN"/>
                    </w:rPr>
                    <w:t>:0.06%~0.15%,</w:t>
                  </w:r>
                </w:p>
                <w:p w14:paraId="1EB10C3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Si</w:t>
                  </w:r>
                  <w:r>
                    <w:rPr>
                      <w:rFonts w:hint="eastAsia" w:cs="Times New Roman"/>
                      <w:color w:val="auto"/>
                      <w:sz w:val="21"/>
                      <w:szCs w:val="21"/>
                      <w:lang w:val="en-US" w:eastAsia="zh-CN"/>
                    </w:rPr>
                    <w:t>:0.7%~0.95%,</w:t>
                  </w:r>
                </w:p>
                <w:p w14:paraId="2535C83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Mn</w:t>
                  </w:r>
                  <w:r>
                    <w:rPr>
                      <w:rFonts w:hint="eastAsia" w:cs="Times New Roman"/>
                      <w:color w:val="auto"/>
                      <w:sz w:val="21"/>
                      <w:szCs w:val="21"/>
                      <w:lang w:val="en-US" w:eastAsia="zh-CN"/>
                    </w:rPr>
                    <w:t>:1.8%~2.1%,</w:t>
                  </w:r>
                </w:p>
                <w:p w14:paraId="2EA5801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S≤0.03%</w:t>
                  </w:r>
                  <w:r>
                    <w:rPr>
                      <w:rFonts w:hint="eastAsia" w:cs="Times New Roman"/>
                      <w:color w:val="auto"/>
                      <w:sz w:val="21"/>
                      <w:szCs w:val="21"/>
                      <w:lang w:val="en-US" w:eastAsia="zh-CN"/>
                    </w:rPr>
                    <w:t>,</w:t>
                  </w:r>
                </w:p>
                <w:p w14:paraId="5D05D1C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P≤0.035%</w:t>
                  </w:r>
                  <w:r>
                    <w:rPr>
                      <w:rFonts w:hint="eastAsia" w:cs="Times New Roman"/>
                      <w:color w:val="auto"/>
                      <w:sz w:val="21"/>
                      <w:szCs w:val="21"/>
                      <w:lang w:val="en-US" w:eastAsia="zh-CN"/>
                    </w:rPr>
                    <w:t>,</w:t>
                  </w:r>
                </w:p>
                <w:p w14:paraId="3B44AEB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Cr≤0.02%</w:t>
                  </w:r>
                </w:p>
              </w:tc>
              <w:tc>
                <w:tcPr>
                  <w:tcW w:w="282" w:type="pct"/>
                  <w:tcBorders>
                    <w:tl2br w:val="nil"/>
                    <w:tr2bl w:val="nil"/>
                  </w:tcBorders>
                  <w:shd w:val="clear" w:color="auto" w:fill="auto"/>
                  <w:vAlign w:val="center"/>
                </w:tcPr>
                <w:p w14:paraId="5BC97B2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376" w:type="pct"/>
                  <w:tcBorders>
                    <w:tl2br w:val="nil"/>
                    <w:tr2bl w:val="nil"/>
                  </w:tcBorders>
                  <w:shd w:val="clear" w:color="auto" w:fill="auto"/>
                  <w:vAlign w:val="center"/>
                </w:tcPr>
                <w:p w14:paraId="69AF34B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纸箱</w:t>
                  </w:r>
                </w:p>
              </w:tc>
              <w:tc>
                <w:tcPr>
                  <w:tcW w:w="557" w:type="pct"/>
                  <w:tcBorders>
                    <w:tl2br w:val="nil"/>
                    <w:tr2bl w:val="nil"/>
                  </w:tcBorders>
                  <w:shd w:val="clear" w:color="auto" w:fill="auto"/>
                  <w:vAlign w:val="center"/>
                </w:tcPr>
                <w:p w14:paraId="15D56D7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20t/a</w:t>
                  </w:r>
                </w:p>
              </w:tc>
              <w:tc>
                <w:tcPr>
                  <w:tcW w:w="607" w:type="pct"/>
                  <w:tcBorders>
                    <w:tl2br w:val="nil"/>
                    <w:tr2bl w:val="nil"/>
                  </w:tcBorders>
                  <w:shd w:val="clear" w:color="auto" w:fill="auto"/>
                  <w:vAlign w:val="center"/>
                </w:tcPr>
                <w:p w14:paraId="5568E42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43A6620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2t</w:t>
                  </w:r>
                </w:p>
              </w:tc>
              <w:tc>
                <w:tcPr>
                  <w:tcW w:w="717" w:type="pct"/>
                  <w:vMerge w:val="restart"/>
                  <w:tcBorders>
                    <w:tl2br w:val="nil"/>
                    <w:tr2bl w:val="nil"/>
                  </w:tcBorders>
                  <w:shd w:val="clear" w:color="auto" w:fill="auto"/>
                  <w:vAlign w:val="center"/>
                </w:tcPr>
                <w:p w14:paraId="70012B0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焊接</w:t>
                  </w:r>
                </w:p>
              </w:tc>
            </w:tr>
            <w:tr w14:paraId="4F3373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2917B2A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19" w:type="pct"/>
                  <w:tcBorders>
                    <w:tl2br w:val="nil"/>
                    <w:tr2bl w:val="nil"/>
                  </w:tcBorders>
                  <w:shd w:val="clear" w:color="auto" w:fill="auto"/>
                  <w:vAlign w:val="center"/>
                </w:tcPr>
                <w:p w14:paraId="77869D1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w:t>
                  </w:r>
                  <w:r>
                    <w:rPr>
                      <w:rFonts w:hint="eastAsia" w:ascii="Times New Roman" w:hAnsi="Times New Roman" w:eastAsia="宋体" w:cs="Times New Roman"/>
                      <w:color w:val="auto"/>
                      <w:sz w:val="21"/>
                      <w:szCs w:val="21"/>
                      <w:vertAlign w:val="subscript"/>
                      <w:lang w:val="en-US" w:eastAsia="zh-CN"/>
                    </w:rPr>
                    <w:t>2</w:t>
                  </w:r>
                </w:p>
              </w:tc>
              <w:tc>
                <w:tcPr>
                  <w:tcW w:w="1198" w:type="pct"/>
                  <w:tcBorders>
                    <w:tl2br w:val="nil"/>
                    <w:tr2bl w:val="nil"/>
                  </w:tcBorders>
                  <w:shd w:val="clear" w:color="auto" w:fill="auto"/>
                  <w:vAlign w:val="center"/>
                </w:tcPr>
                <w:p w14:paraId="33053F9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w:t>
                  </w:r>
                  <w:r>
                    <w:rPr>
                      <w:rFonts w:hint="eastAsia" w:ascii="Times New Roman" w:hAnsi="Times New Roman" w:eastAsia="宋体" w:cs="Times New Roman"/>
                      <w:color w:val="auto"/>
                      <w:sz w:val="21"/>
                      <w:szCs w:val="21"/>
                      <w:vertAlign w:val="subscript"/>
                      <w:lang w:val="en-US" w:eastAsia="zh-CN"/>
                    </w:rPr>
                    <w:t>2</w:t>
                  </w:r>
                </w:p>
              </w:tc>
              <w:tc>
                <w:tcPr>
                  <w:tcW w:w="282" w:type="pct"/>
                  <w:tcBorders>
                    <w:tl2br w:val="nil"/>
                    <w:tr2bl w:val="nil"/>
                  </w:tcBorders>
                  <w:shd w:val="clear" w:color="auto" w:fill="auto"/>
                  <w:vAlign w:val="center"/>
                </w:tcPr>
                <w:p w14:paraId="6F3FD3A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376" w:type="pct"/>
                  <w:tcBorders>
                    <w:tl2br w:val="nil"/>
                    <w:tr2bl w:val="nil"/>
                  </w:tcBorders>
                  <w:shd w:val="clear" w:color="auto" w:fill="auto"/>
                  <w:vAlign w:val="center"/>
                </w:tcPr>
                <w:p w14:paraId="2723A17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钢瓶</w:t>
                  </w:r>
                </w:p>
              </w:tc>
              <w:tc>
                <w:tcPr>
                  <w:tcW w:w="557" w:type="pct"/>
                  <w:tcBorders>
                    <w:tl2br w:val="nil"/>
                    <w:tr2bl w:val="nil"/>
                  </w:tcBorders>
                  <w:shd w:val="clear" w:color="auto" w:fill="auto"/>
                  <w:vAlign w:val="center"/>
                </w:tcPr>
                <w:p w14:paraId="044F886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r>
                    <w:rPr>
                      <w:rFonts w:hint="eastAsia" w:ascii="Times New Roman" w:hAnsi="Times New Roman" w:eastAsia="宋体" w:cs="Times New Roman"/>
                      <w:color w:val="auto"/>
                      <w:sz w:val="21"/>
                      <w:szCs w:val="21"/>
                      <w:lang w:val="en-US" w:eastAsia="zh-CN"/>
                    </w:rPr>
                    <w:t>t/a</w:t>
                  </w:r>
                </w:p>
              </w:tc>
              <w:tc>
                <w:tcPr>
                  <w:tcW w:w="607" w:type="pct"/>
                  <w:tcBorders>
                    <w:tl2br w:val="nil"/>
                    <w:tr2bl w:val="nil"/>
                  </w:tcBorders>
                  <w:shd w:val="clear" w:color="auto" w:fill="auto"/>
                  <w:vAlign w:val="center"/>
                </w:tcPr>
                <w:p w14:paraId="09E7188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007D104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2t</w:t>
                  </w:r>
                </w:p>
              </w:tc>
              <w:tc>
                <w:tcPr>
                  <w:tcW w:w="717" w:type="pct"/>
                  <w:vMerge w:val="continue"/>
                  <w:tcBorders>
                    <w:tl2br w:val="nil"/>
                    <w:tr2bl w:val="nil"/>
                  </w:tcBorders>
                  <w:shd w:val="clear" w:color="auto" w:fill="auto"/>
                  <w:vAlign w:val="center"/>
                </w:tcPr>
                <w:p w14:paraId="7E2F140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57E415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4706FD2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19" w:type="pct"/>
                  <w:tcBorders>
                    <w:tl2br w:val="nil"/>
                    <w:tr2bl w:val="nil"/>
                  </w:tcBorders>
                  <w:shd w:val="clear" w:color="auto" w:fill="auto"/>
                  <w:vAlign w:val="center"/>
                </w:tcPr>
                <w:p w14:paraId="59936A4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脱脂</w:t>
                  </w:r>
                  <w:r>
                    <w:rPr>
                      <w:rFonts w:hint="eastAsia" w:cs="Times New Roman"/>
                      <w:color w:val="auto"/>
                      <w:sz w:val="21"/>
                      <w:szCs w:val="21"/>
                      <w:lang w:val="en-US" w:eastAsia="zh-CN"/>
                    </w:rPr>
                    <w:t>剂</w:t>
                  </w:r>
                </w:p>
              </w:tc>
              <w:tc>
                <w:tcPr>
                  <w:tcW w:w="1198" w:type="pct"/>
                  <w:tcBorders>
                    <w:tl2br w:val="nil"/>
                    <w:tr2bl w:val="nil"/>
                  </w:tcBorders>
                  <w:shd w:val="clear" w:color="auto" w:fill="auto"/>
                  <w:vAlign w:val="center"/>
                </w:tcPr>
                <w:p w14:paraId="7A688CA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偏硅酸钠30%、</w:t>
                  </w:r>
                </w:p>
                <w:p w14:paraId="4AD57F0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碳酸钠60%、非</w:t>
                  </w:r>
                </w:p>
                <w:p w14:paraId="13B9F86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离子表面活性</w:t>
                  </w:r>
                </w:p>
                <w:p w14:paraId="234BF4B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剂10%</w:t>
                  </w:r>
                </w:p>
              </w:tc>
              <w:tc>
                <w:tcPr>
                  <w:tcW w:w="282" w:type="pct"/>
                  <w:tcBorders>
                    <w:tl2br w:val="nil"/>
                    <w:tr2bl w:val="nil"/>
                  </w:tcBorders>
                  <w:shd w:val="clear" w:color="auto" w:fill="auto"/>
                  <w:vAlign w:val="center"/>
                </w:tcPr>
                <w:p w14:paraId="382470C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376" w:type="pct"/>
                  <w:tcBorders>
                    <w:tl2br w:val="nil"/>
                    <w:tr2bl w:val="nil"/>
                  </w:tcBorders>
                  <w:shd w:val="clear" w:color="auto" w:fill="auto"/>
                  <w:vAlign w:val="center"/>
                </w:tcPr>
                <w:p w14:paraId="550A40E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25kg/袋</w:t>
                  </w:r>
                </w:p>
              </w:tc>
              <w:tc>
                <w:tcPr>
                  <w:tcW w:w="557" w:type="pct"/>
                  <w:tcBorders>
                    <w:tl2br w:val="nil"/>
                    <w:tr2bl w:val="nil"/>
                  </w:tcBorders>
                  <w:shd w:val="clear" w:color="auto" w:fill="auto"/>
                  <w:vAlign w:val="center"/>
                </w:tcPr>
                <w:p w14:paraId="48982FF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5t/a</w:t>
                  </w:r>
                </w:p>
              </w:tc>
              <w:tc>
                <w:tcPr>
                  <w:tcW w:w="607" w:type="pct"/>
                  <w:tcBorders>
                    <w:tl2br w:val="nil"/>
                    <w:tr2bl w:val="nil"/>
                  </w:tcBorders>
                  <w:shd w:val="clear" w:color="auto" w:fill="auto"/>
                  <w:vAlign w:val="center"/>
                </w:tcPr>
                <w:p w14:paraId="16B3097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22BF2EE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1t</w:t>
                  </w:r>
                </w:p>
              </w:tc>
              <w:tc>
                <w:tcPr>
                  <w:tcW w:w="717" w:type="pct"/>
                  <w:tcBorders>
                    <w:tl2br w:val="nil"/>
                    <w:tr2bl w:val="nil"/>
                  </w:tcBorders>
                  <w:shd w:val="clear" w:color="auto" w:fill="auto"/>
                  <w:vAlign w:val="center"/>
                </w:tcPr>
                <w:p w14:paraId="15B593F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脱脂</w:t>
                  </w:r>
                </w:p>
              </w:tc>
            </w:tr>
            <w:tr w14:paraId="6AFAB8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0F8C078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519" w:type="pct"/>
                  <w:tcBorders>
                    <w:tl2br w:val="nil"/>
                    <w:tr2bl w:val="nil"/>
                  </w:tcBorders>
                  <w:shd w:val="clear" w:color="auto" w:fill="auto"/>
                  <w:vAlign w:val="center"/>
                </w:tcPr>
                <w:p w14:paraId="0BC2FDE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无磷皮膜剂</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陶化剂</w:t>
                  </w:r>
                  <w:r>
                    <w:rPr>
                      <w:rFonts w:hint="eastAsia" w:cs="Times New Roman"/>
                      <w:color w:val="auto"/>
                      <w:sz w:val="21"/>
                      <w:szCs w:val="21"/>
                      <w:highlight w:val="none"/>
                      <w:lang w:val="en-US" w:eastAsia="zh-CN"/>
                    </w:rPr>
                    <w:t>）</w:t>
                  </w:r>
                </w:p>
              </w:tc>
              <w:tc>
                <w:tcPr>
                  <w:tcW w:w="1198" w:type="pct"/>
                  <w:tcBorders>
                    <w:tl2br w:val="nil"/>
                    <w:tr2bl w:val="nil"/>
                  </w:tcBorders>
                  <w:shd w:val="clear" w:color="auto" w:fill="auto"/>
                  <w:vAlign w:val="center"/>
                </w:tcPr>
                <w:p w14:paraId="0512B80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r-缩水甘油醚氧丙基三甲氧基硅烷6</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p w14:paraId="7BB280B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碳酸钠0.1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p>
                <w:p w14:paraId="2C4DAA1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硅酸钠3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5%</w:t>
                  </w:r>
                </w:p>
                <w:p w14:paraId="32CCD58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纳米二氧化硅10</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p>
              </w:tc>
              <w:tc>
                <w:tcPr>
                  <w:tcW w:w="282" w:type="pct"/>
                  <w:tcBorders>
                    <w:tl2br w:val="nil"/>
                    <w:tr2bl w:val="nil"/>
                  </w:tcBorders>
                  <w:shd w:val="clear" w:color="auto" w:fill="auto"/>
                  <w:vAlign w:val="center"/>
                </w:tcPr>
                <w:p w14:paraId="5887092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376" w:type="pct"/>
                  <w:tcBorders>
                    <w:tl2br w:val="nil"/>
                    <w:tr2bl w:val="nil"/>
                  </w:tcBorders>
                  <w:shd w:val="clear" w:color="auto" w:fill="auto"/>
                  <w:vAlign w:val="center"/>
                </w:tcPr>
                <w:p w14:paraId="2613BFB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25kg/桶</w:t>
                  </w:r>
                </w:p>
              </w:tc>
              <w:tc>
                <w:tcPr>
                  <w:tcW w:w="557" w:type="pct"/>
                  <w:tcBorders>
                    <w:tl2br w:val="nil"/>
                    <w:tr2bl w:val="nil"/>
                  </w:tcBorders>
                  <w:shd w:val="clear" w:color="auto" w:fill="auto"/>
                  <w:vAlign w:val="center"/>
                </w:tcPr>
                <w:p w14:paraId="521734D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3t/a</w:t>
                  </w:r>
                </w:p>
              </w:tc>
              <w:tc>
                <w:tcPr>
                  <w:tcW w:w="607" w:type="pct"/>
                  <w:tcBorders>
                    <w:tl2br w:val="nil"/>
                    <w:tr2bl w:val="nil"/>
                  </w:tcBorders>
                  <w:shd w:val="clear" w:color="auto" w:fill="auto"/>
                  <w:vAlign w:val="center"/>
                </w:tcPr>
                <w:p w14:paraId="036D6FA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054C9B2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0.5t</w:t>
                  </w:r>
                </w:p>
              </w:tc>
              <w:tc>
                <w:tcPr>
                  <w:tcW w:w="717" w:type="pct"/>
                  <w:tcBorders>
                    <w:tl2br w:val="nil"/>
                    <w:tr2bl w:val="nil"/>
                  </w:tcBorders>
                  <w:shd w:val="clear" w:color="auto" w:fill="auto"/>
                  <w:vAlign w:val="center"/>
                </w:tcPr>
                <w:p w14:paraId="7B55F31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硅烷</w:t>
                  </w:r>
                </w:p>
              </w:tc>
            </w:tr>
            <w:tr w14:paraId="5815A6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44FD0CA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19" w:type="pct"/>
                  <w:tcBorders>
                    <w:tl2br w:val="nil"/>
                    <w:tr2bl w:val="nil"/>
                  </w:tcBorders>
                  <w:shd w:val="clear" w:color="auto" w:fill="auto"/>
                  <w:vAlign w:val="center"/>
                </w:tcPr>
                <w:p w14:paraId="5FE4598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CS9200乳液阴极电泳涂料</w:t>
                  </w:r>
                  <w:r>
                    <w:rPr>
                      <w:rFonts w:hint="eastAsia" w:cs="Times New Roman"/>
                      <w:color w:val="auto"/>
                      <w:sz w:val="21"/>
                      <w:szCs w:val="21"/>
                      <w:lang w:val="en-US" w:eastAsia="zh-CN"/>
                    </w:rPr>
                    <w:t>（巴德富）</w:t>
                  </w:r>
                </w:p>
              </w:tc>
              <w:tc>
                <w:tcPr>
                  <w:tcW w:w="1198" w:type="pct"/>
                  <w:tcBorders>
                    <w:tl2br w:val="nil"/>
                    <w:tr2bl w:val="nil"/>
                  </w:tcBorders>
                  <w:shd w:val="clear" w:color="auto" w:fill="auto"/>
                  <w:vAlign w:val="center"/>
                </w:tcPr>
                <w:p w14:paraId="1483CF8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环氧树脂30%、聚氨酯交联剂10%、聚酰胺</w:t>
                  </w:r>
                </w:p>
                <w:p w14:paraId="06E8CE5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10%、去离子水45.4%、乙酸0.6%、混合溶剂</w:t>
                  </w:r>
                </w:p>
                <w:p w14:paraId="46DCDD7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82" w:type="pct"/>
                  <w:tcBorders>
                    <w:tl2br w:val="nil"/>
                    <w:tr2bl w:val="nil"/>
                  </w:tcBorders>
                  <w:shd w:val="clear" w:color="auto" w:fill="auto"/>
                  <w:vAlign w:val="center"/>
                </w:tcPr>
                <w:p w14:paraId="7BDD27F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376" w:type="pct"/>
                  <w:tcBorders>
                    <w:tl2br w:val="nil"/>
                    <w:tr2bl w:val="nil"/>
                  </w:tcBorders>
                  <w:shd w:val="clear" w:color="auto" w:fill="auto"/>
                  <w:vAlign w:val="center"/>
                </w:tcPr>
                <w:p w14:paraId="618B2D7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250kg/桶</w:t>
                  </w:r>
                </w:p>
              </w:tc>
              <w:tc>
                <w:tcPr>
                  <w:tcW w:w="557" w:type="pct"/>
                  <w:tcBorders>
                    <w:tl2br w:val="nil"/>
                    <w:tr2bl w:val="nil"/>
                  </w:tcBorders>
                  <w:shd w:val="clear" w:color="auto" w:fill="auto"/>
                  <w:vAlign w:val="center"/>
                </w:tcPr>
                <w:p w14:paraId="1DA2BB8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13.5t/a</w:t>
                  </w:r>
                </w:p>
              </w:tc>
              <w:tc>
                <w:tcPr>
                  <w:tcW w:w="607" w:type="pct"/>
                  <w:tcBorders>
                    <w:tl2br w:val="nil"/>
                    <w:tr2bl w:val="nil"/>
                  </w:tcBorders>
                  <w:shd w:val="clear" w:color="auto" w:fill="auto"/>
                  <w:vAlign w:val="center"/>
                </w:tcPr>
                <w:p w14:paraId="7C21085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14A983C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 t</w:t>
                  </w:r>
                </w:p>
              </w:tc>
              <w:tc>
                <w:tcPr>
                  <w:tcW w:w="717" w:type="pct"/>
                  <w:vMerge w:val="restart"/>
                  <w:tcBorders>
                    <w:tl2br w:val="nil"/>
                    <w:tr2bl w:val="nil"/>
                  </w:tcBorders>
                  <w:shd w:val="clear" w:color="auto" w:fill="auto"/>
                  <w:vAlign w:val="center"/>
                </w:tcPr>
                <w:p w14:paraId="6A6C132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阴极电泳</w:t>
                  </w:r>
                </w:p>
              </w:tc>
            </w:tr>
            <w:tr w14:paraId="617C9E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79BB19E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19" w:type="pct"/>
                  <w:tcBorders>
                    <w:tl2br w:val="nil"/>
                    <w:tr2bl w:val="nil"/>
                  </w:tcBorders>
                  <w:shd w:val="clear" w:color="auto" w:fill="auto"/>
                  <w:vAlign w:val="center"/>
                </w:tcPr>
                <w:p w14:paraId="5304B8F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CS200黑浆阴极电泳涂料</w:t>
                  </w:r>
                  <w:r>
                    <w:rPr>
                      <w:rFonts w:hint="eastAsia" w:cs="Times New Roman"/>
                      <w:color w:val="auto"/>
                      <w:sz w:val="21"/>
                      <w:szCs w:val="21"/>
                      <w:lang w:val="en-US" w:eastAsia="zh-CN"/>
                    </w:rPr>
                    <w:t>（巴德富）</w:t>
                  </w:r>
                </w:p>
              </w:tc>
              <w:tc>
                <w:tcPr>
                  <w:tcW w:w="1198" w:type="pct"/>
                  <w:tcBorders>
                    <w:tl2br w:val="nil"/>
                    <w:tr2bl w:val="nil"/>
                  </w:tcBorders>
                  <w:shd w:val="clear" w:color="auto" w:fill="auto"/>
                  <w:vAlign w:val="center"/>
                </w:tcPr>
                <w:p w14:paraId="3F6539E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环氧树脂30%、高岭土15%、炭黑8%、去离子水38%、乙酸1%、混合溶剂8%</w:t>
                  </w:r>
                </w:p>
              </w:tc>
              <w:tc>
                <w:tcPr>
                  <w:tcW w:w="282" w:type="pct"/>
                  <w:tcBorders>
                    <w:tl2br w:val="nil"/>
                    <w:tr2bl w:val="nil"/>
                  </w:tcBorders>
                  <w:shd w:val="clear" w:color="auto" w:fill="auto"/>
                  <w:vAlign w:val="center"/>
                </w:tcPr>
                <w:p w14:paraId="2FE1533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376" w:type="pct"/>
                  <w:tcBorders>
                    <w:tl2br w:val="nil"/>
                    <w:tr2bl w:val="nil"/>
                  </w:tcBorders>
                  <w:shd w:val="clear" w:color="auto" w:fill="auto"/>
                  <w:vAlign w:val="center"/>
                </w:tcPr>
                <w:p w14:paraId="124BC24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250kg/桶</w:t>
                  </w:r>
                </w:p>
              </w:tc>
              <w:tc>
                <w:tcPr>
                  <w:tcW w:w="557" w:type="pct"/>
                  <w:tcBorders>
                    <w:tl2br w:val="nil"/>
                    <w:tr2bl w:val="nil"/>
                  </w:tcBorders>
                  <w:shd w:val="clear" w:color="auto" w:fill="auto"/>
                  <w:vAlign w:val="center"/>
                </w:tcPr>
                <w:p w14:paraId="30DC70A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2.1t/a</w:t>
                  </w:r>
                </w:p>
              </w:tc>
              <w:tc>
                <w:tcPr>
                  <w:tcW w:w="607" w:type="pct"/>
                  <w:tcBorders>
                    <w:tl2br w:val="nil"/>
                    <w:tr2bl w:val="nil"/>
                  </w:tcBorders>
                  <w:shd w:val="clear" w:color="auto" w:fill="auto"/>
                  <w:vAlign w:val="center"/>
                </w:tcPr>
                <w:p w14:paraId="2BD8D49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25D6095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 t</w:t>
                  </w:r>
                </w:p>
              </w:tc>
              <w:tc>
                <w:tcPr>
                  <w:tcW w:w="717" w:type="pct"/>
                  <w:vMerge w:val="continue"/>
                  <w:tcBorders>
                    <w:tl2br w:val="nil"/>
                    <w:tr2bl w:val="nil"/>
                  </w:tcBorders>
                  <w:shd w:val="clear" w:color="auto" w:fill="auto"/>
                  <w:vAlign w:val="center"/>
                </w:tcPr>
                <w:p w14:paraId="2E4C1CB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7AB56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63A083A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19" w:type="pct"/>
                  <w:tcBorders>
                    <w:tl2br w:val="nil"/>
                    <w:tr2bl w:val="nil"/>
                  </w:tcBorders>
                  <w:shd w:val="clear" w:color="auto" w:fill="auto"/>
                  <w:vAlign w:val="center"/>
                </w:tcPr>
                <w:p w14:paraId="25F47F2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CS11</w:t>
                  </w:r>
                  <w:r>
                    <w:rPr>
                      <w:rFonts w:hint="eastAsia" w:ascii="Times New Roman" w:hAnsi="Times New Roman" w:eastAsia="宋体" w:cs="Times New Roman"/>
                      <w:color w:val="auto"/>
                      <w:sz w:val="21"/>
                      <w:szCs w:val="21"/>
                      <w:lang w:val="en-US" w:eastAsia="zh-CN"/>
                    </w:rPr>
                    <w:t>助剂</w:t>
                  </w:r>
                  <w:r>
                    <w:rPr>
                      <w:rFonts w:hint="eastAsia" w:cs="Times New Roman"/>
                      <w:color w:val="auto"/>
                      <w:sz w:val="21"/>
                      <w:szCs w:val="21"/>
                      <w:lang w:val="en-US" w:eastAsia="zh-CN"/>
                    </w:rPr>
                    <w:t>（巴德富）</w:t>
                  </w:r>
                </w:p>
              </w:tc>
              <w:tc>
                <w:tcPr>
                  <w:tcW w:w="1198" w:type="pct"/>
                  <w:tcBorders>
                    <w:tl2br w:val="nil"/>
                    <w:tr2bl w:val="nil"/>
                  </w:tcBorders>
                  <w:shd w:val="clear" w:color="auto" w:fill="auto"/>
                  <w:vAlign w:val="center"/>
                </w:tcPr>
                <w:p w14:paraId="25DD7BF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乙二醇丁醚45%、丙二醇苯醚8%、去离子水47%</w:t>
                  </w:r>
                </w:p>
              </w:tc>
              <w:tc>
                <w:tcPr>
                  <w:tcW w:w="282" w:type="pct"/>
                  <w:tcBorders>
                    <w:tl2br w:val="nil"/>
                    <w:tr2bl w:val="nil"/>
                  </w:tcBorders>
                  <w:shd w:val="clear" w:color="auto" w:fill="auto"/>
                  <w:vAlign w:val="center"/>
                </w:tcPr>
                <w:p w14:paraId="0E76A30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376" w:type="pct"/>
                  <w:tcBorders>
                    <w:tl2br w:val="nil"/>
                    <w:tr2bl w:val="nil"/>
                  </w:tcBorders>
                  <w:shd w:val="clear" w:color="auto" w:fill="auto"/>
                  <w:vAlign w:val="center"/>
                </w:tcPr>
                <w:p w14:paraId="3643BCB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25kg/桶</w:t>
                  </w:r>
                </w:p>
              </w:tc>
              <w:tc>
                <w:tcPr>
                  <w:tcW w:w="557" w:type="pct"/>
                  <w:tcBorders>
                    <w:tl2br w:val="nil"/>
                    <w:tr2bl w:val="nil"/>
                  </w:tcBorders>
                  <w:shd w:val="clear" w:color="auto" w:fill="auto"/>
                  <w:vAlign w:val="center"/>
                </w:tcPr>
                <w:p w14:paraId="7E6BB0A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0.18t/a</w:t>
                  </w:r>
                </w:p>
              </w:tc>
              <w:tc>
                <w:tcPr>
                  <w:tcW w:w="607" w:type="pct"/>
                  <w:tcBorders>
                    <w:tl2br w:val="nil"/>
                    <w:tr2bl w:val="nil"/>
                  </w:tcBorders>
                  <w:shd w:val="clear" w:color="auto" w:fill="auto"/>
                  <w:vAlign w:val="center"/>
                </w:tcPr>
                <w:p w14:paraId="3DE0F69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4372FF8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0.1t</w:t>
                  </w:r>
                </w:p>
              </w:tc>
              <w:tc>
                <w:tcPr>
                  <w:tcW w:w="717" w:type="pct"/>
                  <w:vMerge w:val="continue"/>
                  <w:tcBorders>
                    <w:tl2br w:val="nil"/>
                    <w:tr2bl w:val="nil"/>
                  </w:tcBorders>
                  <w:shd w:val="clear" w:color="auto" w:fill="auto"/>
                  <w:vAlign w:val="center"/>
                </w:tcPr>
                <w:p w14:paraId="651D9C8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207681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66441D2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19" w:type="pct"/>
                  <w:tcBorders>
                    <w:tl2br w:val="nil"/>
                    <w:tr2bl w:val="nil"/>
                  </w:tcBorders>
                  <w:shd w:val="clear" w:color="auto" w:fill="auto"/>
                  <w:vAlign w:val="center"/>
                </w:tcPr>
                <w:p w14:paraId="30651F4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CS20</w:t>
                  </w:r>
                  <w:r>
                    <w:rPr>
                      <w:rFonts w:hint="eastAsia" w:ascii="Times New Roman" w:hAnsi="Times New Roman" w:eastAsia="宋体" w:cs="Times New Roman"/>
                      <w:color w:val="auto"/>
                      <w:sz w:val="21"/>
                      <w:szCs w:val="21"/>
                      <w:lang w:val="en-US" w:eastAsia="zh-CN"/>
                    </w:rPr>
                    <w:t>中和剂</w:t>
                  </w:r>
                  <w:r>
                    <w:rPr>
                      <w:rFonts w:hint="eastAsia" w:cs="Times New Roman"/>
                      <w:color w:val="auto"/>
                      <w:sz w:val="21"/>
                      <w:szCs w:val="21"/>
                      <w:lang w:val="en-US" w:eastAsia="zh-CN"/>
                    </w:rPr>
                    <w:t>（巴德富）</w:t>
                  </w:r>
                </w:p>
              </w:tc>
              <w:tc>
                <w:tcPr>
                  <w:tcW w:w="1198" w:type="pct"/>
                  <w:tcBorders>
                    <w:tl2br w:val="nil"/>
                    <w:tr2bl w:val="nil"/>
                  </w:tcBorders>
                  <w:shd w:val="clear" w:color="auto" w:fill="auto"/>
                  <w:vAlign w:val="center"/>
                </w:tcPr>
                <w:p w14:paraId="321F7C6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去离子水70%、</w:t>
                  </w:r>
                </w:p>
                <w:p w14:paraId="740EF0D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乙酸30%</w:t>
                  </w:r>
                </w:p>
              </w:tc>
              <w:tc>
                <w:tcPr>
                  <w:tcW w:w="282" w:type="pct"/>
                  <w:tcBorders>
                    <w:tl2br w:val="nil"/>
                    <w:tr2bl w:val="nil"/>
                  </w:tcBorders>
                  <w:shd w:val="clear" w:color="auto" w:fill="auto"/>
                  <w:vAlign w:val="center"/>
                </w:tcPr>
                <w:p w14:paraId="27EF7C8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376" w:type="pct"/>
                  <w:tcBorders>
                    <w:tl2br w:val="nil"/>
                    <w:tr2bl w:val="nil"/>
                  </w:tcBorders>
                  <w:shd w:val="clear" w:color="auto" w:fill="auto"/>
                  <w:vAlign w:val="center"/>
                </w:tcPr>
                <w:p w14:paraId="7667FB6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25kg/桶</w:t>
                  </w:r>
                </w:p>
              </w:tc>
              <w:tc>
                <w:tcPr>
                  <w:tcW w:w="557" w:type="pct"/>
                  <w:tcBorders>
                    <w:tl2br w:val="nil"/>
                    <w:tr2bl w:val="nil"/>
                  </w:tcBorders>
                  <w:shd w:val="clear" w:color="auto" w:fill="auto"/>
                  <w:vAlign w:val="center"/>
                </w:tcPr>
                <w:p w14:paraId="2C9179B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0.12t/a</w:t>
                  </w:r>
                </w:p>
              </w:tc>
              <w:tc>
                <w:tcPr>
                  <w:tcW w:w="607" w:type="pct"/>
                  <w:tcBorders>
                    <w:tl2br w:val="nil"/>
                    <w:tr2bl w:val="nil"/>
                  </w:tcBorders>
                  <w:shd w:val="clear" w:color="auto" w:fill="auto"/>
                  <w:vAlign w:val="center"/>
                </w:tcPr>
                <w:p w14:paraId="3EFD89C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6CC8346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 t</w:t>
                  </w:r>
                </w:p>
              </w:tc>
              <w:tc>
                <w:tcPr>
                  <w:tcW w:w="717" w:type="pct"/>
                  <w:vMerge w:val="continue"/>
                  <w:tcBorders>
                    <w:tl2br w:val="nil"/>
                    <w:tr2bl w:val="nil"/>
                  </w:tcBorders>
                  <w:shd w:val="clear" w:color="auto" w:fill="auto"/>
                  <w:vAlign w:val="center"/>
                </w:tcPr>
                <w:p w14:paraId="03C561F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r>
            <w:tr w14:paraId="3604CA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0DE8D2E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19" w:type="pct"/>
                  <w:tcBorders>
                    <w:tl2br w:val="nil"/>
                    <w:tr2bl w:val="nil"/>
                  </w:tcBorders>
                  <w:shd w:val="clear" w:color="auto" w:fill="auto"/>
                  <w:vAlign w:val="center"/>
                </w:tcPr>
                <w:p w14:paraId="4160D96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天然气</w:t>
                  </w:r>
                </w:p>
              </w:tc>
              <w:tc>
                <w:tcPr>
                  <w:tcW w:w="1198" w:type="pct"/>
                  <w:tcBorders>
                    <w:tl2br w:val="nil"/>
                    <w:tr2bl w:val="nil"/>
                  </w:tcBorders>
                  <w:shd w:val="clear" w:color="auto" w:fill="auto"/>
                  <w:vAlign w:val="center"/>
                </w:tcPr>
                <w:p w14:paraId="38D1D8E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2" w:type="pct"/>
                  <w:tcBorders>
                    <w:tl2br w:val="nil"/>
                    <w:tr2bl w:val="nil"/>
                  </w:tcBorders>
                  <w:shd w:val="clear" w:color="auto" w:fill="auto"/>
                  <w:vAlign w:val="center"/>
                </w:tcPr>
                <w:p w14:paraId="3E54585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气态</w:t>
                  </w:r>
                </w:p>
              </w:tc>
              <w:tc>
                <w:tcPr>
                  <w:tcW w:w="376" w:type="pct"/>
                  <w:tcBorders>
                    <w:tl2br w:val="nil"/>
                    <w:tr2bl w:val="nil"/>
                  </w:tcBorders>
                  <w:shd w:val="clear" w:color="auto" w:fill="auto"/>
                  <w:vAlign w:val="center"/>
                </w:tcPr>
                <w:p w14:paraId="002056D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7" w:type="pct"/>
                  <w:tcBorders>
                    <w:tl2br w:val="nil"/>
                    <w:tr2bl w:val="nil"/>
                  </w:tcBorders>
                  <w:shd w:val="clear" w:color="auto" w:fill="auto"/>
                  <w:vAlign w:val="center"/>
                </w:tcPr>
                <w:p w14:paraId="250A572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0000m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w:t>
                  </w:r>
                </w:p>
              </w:tc>
              <w:tc>
                <w:tcPr>
                  <w:tcW w:w="607" w:type="pct"/>
                  <w:tcBorders>
                    <w:tl2br w:val="nil"/>
                    <w:tr2bl w:val="nil"/>
                  </w:tcBorders>
                  <w:shd w:val="clear" w:color="auto" w:fill="auto"/>
                  <w:vAlign w:val="center"/>
                </w:tcPr>
                <w:p w14:paraId="75CD48F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18" w:type="pct"/>
                  <w:tcBorders>
                    <w:tl2br w:val="nil"/>
                    <w:tr2bl w:val="nil"/>
                  </w:tcBorders>
                  <w:shd w:val="clear" w:color="auto" w:fill="auto"/>
                  <w:vAlign w:val="center"/>
                </w:tcPr>
                <w:p w14:paraId="6DFD1E2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0.001t*</w:t>
                  </w:r>
                </w:p>
              </w:tc>
              <w:tc>
                <w:tcPr>
                  <w:tcW w:w="717" w:type="pct"/>
                  <w:tcBorders>
                    <w:tl2br w:val="nil"/>
                    <w:tr2bl w:val="nil"/>
                  </w:tcBorders>
                  <w:shd w:val="clear" w:color="auto" w:fill="auto"/>
                  <w:vAlign w:val="center"/>
                </w:tcPr>
                <w:p w14:paraId="6528036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燃料</w:t>
                  </w:r>
                </w:p>
              </w:tc>
            </w:tr>
            <w:tr w14:paraId="6208E0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31F1CBE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19" w:type="pct"/>
                  <w:tcBorders>
                    <w:tl2br w:val="nil"/>
                    <w:tr2bl w:val="nil"/>
                  </w:tcBorders>
                  <w:shd w:val="clear" w:color="auto" w:fill="auto"/>
                  <w:vAlign w:val="center"/>
                </w:tcPr>
                <w:p w14:paraId="4FA0941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机油</w:t>
                  </w:r>
                </w:p>
              </w:tc>
              <w:tc>
                <w:tcPr>
                  <w:tcW w:w="1198" w:type="pct"/>
                  <w:tcBorders>
                    <w:tl2br w:val="nil"/>
                    <w:tr2bl w:val="nil"/>
                  </w:tcBorders>
                  <w:shd w:val="clear" w:color="auto" w:fill="auto"/>
                  <w:vAlign w:val="center"/>
                </w:tcPr>
                <w:p w14:paraId="3974E0F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2" w:type="pct"/>
                  <w:tcBorders>
                    <w:tl2br w:val="nil"/>
                    <w:tr2bl w:val="nil"/>
                  </w:tcBorders>
                  <w:shd w:val="clear" w:color="auto" w:fill="auto"/>
                  <w:vAlign w:val="center"/>
                </w:tcPr>
                <w:p w14:paraId="2C42CDA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376" w:type="pct"/>
                  <w:tcBorders>
                    <w:tl2br w:val="nil"/>
                    <w:tr2bl w:val="nil"/>
                  </w:tcBorders>
                  <w:shd w:val="clear" w:color="auto" w:fill="auto"/>
                  <w:vAlign w:val="center"/>
                </w:tcPr>
                <w:p w14:paraId="35ECB36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20kg/桶</w:t>
                  </w:r>
                </w:p>
              </w:tc>
              <w:tc>
                <w:tcPr>
                  <w:tcW w:w="557" w:type="pct"/>
                  <w:tcBorders>
                    <w:tl2br w:val="nil"/>
                    <w:tr2bl w:val="nil"/>
                  </w:tcBorders>
                  <w:shd w:val="clear" w:color="auto" w:fill="auto"/>
                  <w:vAlign w:val="center"/>
                </w:tcPr>
                <w:p w14:paraId="377E542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0.2t/a</w:t>
                  </w:r>
                </w:p>
              </w:tc>
              <w:tc>
                <w:tcPr>
                  <w:tcW w:w="607" w:type="pct"/>
                  <w:tcBorders>
                    <w:tl2br w:val="nil"/>
                    <w:tr2bl w:val="nil"/>
                  </w:tcBorders>
                  <w:shd w:val="clear" w:color="auto" w:fill="auto"/>
                  <w:vAlign w:val="center"/>
                </w:tcPr>
                <w:p w14:paraId="3F609603">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4362498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0.02t</w:t>
                  </w:r>
                </w:p>
              </w:tc>
              <w:tc>
                <w:tcPr>
                  <w:tcW w:w="717" w:type="pct"/>
                  <w:tcBorders>
                    <w:tl2br w:val="nil"/>
                    <w:tr2bl w:val="nil"/>
                  </w:tcBorders>
                  <w:shd w:val="clear" w:color="auto" w:fill="auto"/>
                  <w:vAlign w:val="center"/>
                </w:tcPr>
                <w:p w14:paraId="4497790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设备维护、</w:t>
                  </w:r>
                </w:p>
                <w:p w14:paraId="227252D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保养</w:t>
                  </w:r>
                </w:p>
              </w:tc>
            </w:tr>
            <w:tr w14:paraId="2A68B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5596BBB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519" w:type="pct"/>
                  <w:tcBorders>
                    <w:tl2br w:val="nil"/>
                    <w:tr2bl w:val="nil"/>
                  </w:tcBorders>
                  <w:shd w:val="clear" w:color="auto" w:fill="auto"/>
                  <w:vAlign w:val="center"/>
                </w:tcPr>
                <w:p w14:paraId="2AB84E4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PAC</w:t>
                  </w:r>
                </w:p>
              </w:tc>
              <w:tc>
                <w:tcPr>
                  <w:tcW w:w="1198" w:type="pct"/>
                  <w:tcBorders>
                    <w:tl2br w:val="nil"/>
                    <w:tr2bl w:val="nil"/>
                  </w:tcBorders>
                  <w:shd w:val="clear" w:color="auto" w:fill="auto"/>
                  <w:vAlign w:val="center"/>
                </w:tcPr>
                <w:p w14:paraId="27CF7F3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聚合氯化铝</w:t>
                  </w:r>
                </w:p>
              </w:tc>
              <w:tc>
                <w:tcPr>
                  <w:tcW w:w="282" w:type="pct"/>
                  <w:tcBorders>
                    <w:tl2br w:val="nil"/>
                    <w:tr2bl w:val="nil"/>
                  </w:tcBorders>
                  <w:shd w:val="clear" w:color="auto" w:fill="auto"/>
                  <w:vAlign w:val="center"/>
                </w:tcPr>
                <w:p w14:paraId="3BAFBC6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376" w:type="pct"/>
                  <w:tcBorders>
                    <w:tl2br w:val="nil"/>
                    <w:tr2bl w:val="nil"/>
                  </w:tcBorders>
                  <w:shd w:val="clear" w:color="auto" w:fill="auto"/>
                  <w:vAlign w:val="center"/>
                </w:tcPr>
                <w:p w14:paraId="7A2B55A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25kg/袋</w:t>
                  </w:r>
                </w:p>
              </w:tc>
              <w:tc>
                <w:tcPr>
                  <w:tcW w:w="557" w:type="pct"/>
                  <w:tcBorders>
                    <w:tl2br w:val="nil"/>
                    <w:tr2bl w:val="nil"/>
                  </w:tcBorders>
                  <w:shd w:val="clear" w:color="auto" w:fill="auto"/>
                  <w:vAlign w:val="center"/>
                </w:tcPr>
                <w:p w14:paraId="3FB9D00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0.2t/a</w:t>
                  </w:r>
                </w:p>
              </w:tc>
              <w:tc>
                <w:tcPr>
                  <w:tcW w:w="607" w:type="pct"/>
                  <w:tcBorders>
                    <w:tl2br w:val="nil"/>
                    <w:tr2bl w:val="nil"/>
                  </w:tcBorders>
                  <w:shd w:val="clear" w:color="auto" w:fill="auto"/>
                  <w:vAlign w:val="center"/>
                </w:tcPr>
                <w:p w14:paraId="6BAB0DDF">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4937EB3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0.2t</w:t>
                  </w:r>
                </w:p>
              </w:tc>
              <w:tc>
                <w:tcPr>
                  <w:tcW w:w="717" w:type="pct"/>
                  <w:tcBorders>
                    <w:tl2br w:val="nil"/>
                    <w:tr2bl w:val="nil"/>
                  </w:tcBorders>
                  <w:shd w:val="clear" w:color="auto" w:fill="auto"/>
                  <w:vAlign w:val="center"/>
                </w:tcPr>
                <w:p w14:paraId="3386FBB9">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left="0" w:leftChars="0" w:right="0" w:rightChars="0" w:firstLine="210" w:firstLineChars="1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废水处理</w:t>
                  </w:r>
                </w:p>
              </w:tc>
            </w:tr>
            <w:tr w14:paraId="417F76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14FDFFB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519" w:type="pct"/>
                  <w:tcBorders>
                    <w:tl2br w:val="nil"/>
                    <w:tr2bl w:val="nil"/>
                  </w:tcBorders>
                  <w:shd w:val="clear" w:color="auto" w:fill="auto"/>
                  <w:vAlign w:val="center"/>
                </w:tcPr>
                <w:p w14:paraId="090DC9B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PAM</w:t>
                  </w:r>
                </w:p>
              </w:tc>
              <w:tc>
                <w:tcPr>
                  <w:tcW w:w="1198" w:type="pct"/>
                  <w:tcBorders>
                    <w:tl2br w:val="nil"/>
                    <w:tr2bl w:val="nil"/>
                  </w:tcBorders>
                  <w:shd w:val="clear" w:color="auto" w:fill="auto"/>
                  <w:vAlign w:val="center"/>
                </w:tcPr>
                <w:p w14:paraId="7D6E342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聚丙烯酰胺</w:t>
                  </w:r>
                </w:p>
              </w:tc>
              <w:tc>
                <w:tcPr>
                  <w:tcW w:w="282" w:type="pct"/>
                  <w:tcBorders>
                    <w:tl2br w:val="nil"/>
                    <w:tr2bl w:val="nil"/>
                  </w:tcBorders>
                  <w:shd w:val="clear" w:color="auto" w:fill="auto"/>
                  <w:vAlign w:val="center"/>
                </w:tcPr>
                <w:p w14:paraId="3AB82C8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376" w:type="pct"/>
                  <w:tcBorders>
                    <w:tl2br w:val="nil"/>
                    <w:tr2bl w:val="nil"/>
                  </w:tcBorders>
                  <w:shd w:val="clear" w:color="auto" w:fill="auto"/>
                  <w:vAlign w:val="center"/>
                </w:tcPr>
                <w:p w14:paraId="4E5818A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25kg/袋</w:t>
                  </w:r>
                </w:p>
              </w:tc>
              <w:tc>
                <w:tcPr>
                  <w:tcW w:w="557" w:type="pct"/>
                  <w:tcBorders>
                    <w:tl2br w:val="nil"/>
                    <w:tr2bl w:val="nil"/>
                  </w:tcBorders>
                  <w:shd w:val="clear" w:color="auto" w:fill="auto"/>
                  <w:vAlign w:val="center"/>
                </w:tcPr>
                <w:p w14:paraId="02D22D4A">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0.01t/a</w:t>
                  </w:r>
                </w:p>
              </w:tc>
              <w:tc>
                <w:tcPr>
                  <w:tcW w:w="607" w:type="pct"/>
                  <w:tcBorders>
                    <w:tl2br w:val="nil"/>
                    <w:tr2bl w:val="nil"/>
                  </w:tcBorders>
                  <w:shd w:val="clear" w:color="auto" w:fill="auto"/>
                  <w:vAlign w:val="center"/>
                </w:tcPr>
                <w:p w14:paraId="47DD6CC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54B8CA3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 t</w:t>
                  </w:r>
                </w:p>
              </w:tc>
              <w:tc>
                <w:tcPr>
                  <w:tcW w:w="717" w:type="pct"/>
                  <w:tcBorders>
                    <w:tl2br w:val="nil"/>
                    <w:tr2bl w:val="nil"/>
                  </w:tcBorders>
                  <w:shd w:val="clear" w:color="auto" w:fill="auto"/>
                  <w:vAlign w:val="center"/>
                </w:tcPr>
                <w:p w14:paraId="323714C8">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210" w:firstLineChars="1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废水处理</w:t>
                  </w:r>
                </w:p>
              </w:tc>
            </w:tr>
            <w:tr w14:paraId="0BD8D5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0CB413B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519" w:type="pct"/>
                  <w:tcBorders>
                    <w:tl2br w:val="nil"/>
                    <w:tr2bl w:val="nil"/>
                  </w:tcBorders>
                  <w:shd w:val="clear" w:color="auto" w:fill="auto"/>
                  <w:vAlign w:val="center"/>
                </w:tcPr>
                <w:p w14:paraId="6154E67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水性环氧酯涂料</w:t>
                  </w:r>
                </w:p>
              </w:tc>
              <w:tc>
                <w:tcPr>
                  <w:tcW w:w="1198" w:type="pct"/>
                  <w:tcBorders>
                    <w:tl2br w:val="nil"/>
                    <w:tr2bl w:val="nil"/>
                  </w:tcBorders>
                  <w:shd w:val="clear" w:color="auto" w:fill="auto"/>
                  <w:vAlign w:val="center"/>
                </w:tcPr>
                <w:p w14:paraId="0ACDD86B">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丙二醇甲醚2%～10%、乙二醇丁醚2%～10%、二甲基乙醇胺1%～2%、环氧酯树脂20%～30%、颜填料30%～40%、去离子水20%～30%</w:t>
                  </w:r>
                </w:p>
              </w:tc>
              <w:tc>
                <w:tcPr>
                  <w:tcW w:w="282" w:type="pct"/>
                  <w:tcBorders>
                    <w:tl2br w:val="nil"/>
                    <w:tr2bl w:val="nil"/>
                  </w:tcBorders>
                  <w:shd w:val="clear" w:color="auto" w:fill="auto"/>
                  <w:vAlign w:val="center"/>
                </w:tcPr>
                <w:p w14:paraId="64FE965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液态</w:t>
                  </w:r>
                </w:p>
              </w:tc>
              <w:tc>
                <w:tcPr>
                  <w:tcW w:w="376" w:type="pct"/>
                  <w:tcBorders>
                    <w:tl2br w:val="nil"/>
                    <w:tr2bl w:val="nil"/>
                  </w:tcBorders>
                  <w:shd w:val="clear" w:color="auto" w:fill="auto"/>
                  <w:vAlign w:val="center"/>
                </w:tcPr>
                <w:p w14:paraId="7F867281">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25kg/桶</w:t>
                  </w:r>
                </w:p>
              </w:tc>
              <w:tc>
                <w:tcPr>
                  <w:tcW w:w="557" w:type="pct"/>
                  <w:tcBorders>
                    <w:tl2br w:val="nil"/>
                    <w:tr2bl w:val="nil"/>
                  </w:tcBorders>
                  <w:shd w:val="clear" w:color="auto" w:fill="auto"/>
                  <w:vAlign w:val="center"/>
                </w:tcPr>
                <w:p w14:paraId="767B1E9D">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t/a</w:t>
                  </w:r>
                </w:p>
              </w:tc>
              <w:tc>
                <w:tcPr>
                  <w:tcW w:w="607" w:type="pct"/>
                  <w:tcBorders>
                    <w:tl2br w:val="nil"/>
                    <w:tr2bl w:val="nil"/>
                  </w:tcBorders>
                  <w:shd w:val="clear" w:color="auto" w:fill="auto"/>
                  <w:vAlign w:val="center"/>
                </w:tcPr>
                <w:p w14:paraId="59D7228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52718CEE">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2t</w:t>
                  </w:r>
                </w:p>
              </w:tc>
              <w:tc>
                <w:tcPr>
                  <w:tcW w:w="717" w:type="pct"/>
                  <w:tcBorders>
                    <w:tl2br w:val="nil"/>
                    <w:tr2bl w:val="nil"/>
                  </w:tcBorders>
                  <w:shd w:val="clear" w:color="auto" w:fill="auto"/>
                  <w:vAlign w:val="center"/>
                </w:tcPr>
                <w:p w14:paraId="293AF4B6">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喷漆</w:t>
                  </w:r>
                </w:p>
              </w:tc>
            </w:tr>
            <w:tr w14:paraId="10EAE1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37" w:hRule="atLeast"/>
              </w:trPr>
              <w:tc>
                <w:tcPr>
                  <w:tcW w:w="321" w:type="pct"/>
                  <w:tcBorders>
                    <w:tl2br w:val="nil"/>
                    <w:tr2bl w:val="nil"/>
                  </w:tcBorders>
                  <w:shd w:val="clear" w:color="auto" w:fill="auto"/>
                  <w:vAlign w:val="center"/>
                </w:tcPr>
                <w:p w14:paraId="003F5F1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w:t>
                  </w:r>
                </w:p>
              </w:tc>
              <w:tc>
                <w:tcPr>
                  <w:tcW w:w="519" w:type="pct"/>
                  <w:tcBorders>
                    <w:tl2br w:val="nil"/>
                    <w:tr2bl w:val="nil"/>
                  </w:tcBorders>
                  <w:shd w:val="clear" w:color="auto" w:fill="auto"/>
                  <w:vAlign w:val="center"/>
                </w:tcPr>
                <w:p w14:paraId="2815009C">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塑料粉末（粉末涂料）</w:t>
                  </w:r>
                </w:p>
              </w:tc>
              <w:tc>
                <w:tcPr>
                  <w:tcW w:w="1198" w:type="pct"/>
                  <w:tcBorders>
                    <w:tl2br w:val="nil"/>
                    <w:tr2bl w:val="nil"/>
                  </w:tcBorders>
                  <w:shd w:val="clear" w:color="auto" w:fill="auto"/>
                  <w:vAlign w:val="center"/>
                </w:tcPr>
                <w:p w14:paraId="2333199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环氧树脂31%、</w:t>
                  </w:r>
                  <w:r>
                    <w:rPr>
                      <w:rFonts w:hint="eastAsia" w:cs="Times New Roman"/>
                      <w:b w:val="0"/>
                      <w:bCs w:val="0"/>
                      <w:color w:val="auto"/>
                      <w:sz w:val="21"/>
                      <w:szCs w:val="21"/>
                      <w:lang w:val="en-US" w:eastAsia="zh-CN"/>
                    </w:rPr>
                    <w:t>（热固性）</w:t>
                  </w:r>
                  <w:r>
                    <w:rPr>
                      <w:rFonts w:hint="eastAsia" w:cs="Times New Roman"/>
                      <w:color w:val="auto"/>
                      <w:sz w:val="21"/>
                      <w:szCs w:val="21"/>
                      <w:lang w:val="en-US" w:eastAsia="zh-CN"/>
                    </w:rPr>
                    <w:t>聚酯树脂31%、助剂1.5%、钛白粉20%、填料16.5%</w:t>
                  </w:r>
                </w:p>
              </w:tc>
              <w:tc>
                <w:tcPr>
                  <w:tcW w:w="282" w:type="pct"/>
                  <w:tcBorders>
                    <w:tl2br w:val="nil"/>
                    <w:tr2bl w:val="nil"/>
                  </w:tcBorders>
                  <w:shd w:val="clear" w:color="auto" w:fill="auto"/>
                  <w:vAlign w:val="center"/>
                </w:tcPr>
                <w:p w14:paraId="70AD1440">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固态</w:t>
                  </w:r>
                </w:p>
              </w:tc>
              <w:tc>
                <w:tcPr>
                  <w:tcW w:w="376" w:type="pct"/>
                  <w:tcBorders>
                    <w:tl2br w:val="nil"/>
                    <w:tr2bl w:val="nil"/>
                  </w:tcBorders>
                  <w:shd w:val="clear" w:color="auto" w:fill="auto"/>
                  <w:vAlign w:val="center"/>
                </w:tcPr>
                <w:p w14:paraId="5FD5B71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25kg/袋</w:t>
                  </w:r>
                </w:p>
              </w:tc>
              <w:tc>
                <w:tcPr>
                  <w:tcW w:w="557" w:type="pct"/>
                  <w:tcBorders>
                    <w:tl2br w:val="nil"/>
                    <w:tr2bl w:val="nil"/>
                  </w:tcBorders>
                  <w:shd w:val="clear" w:color="auto" w:fill="auto"/>
                  <w:vAlign w:val="center"/>
                </w:tcPr>
                <w:p w14:paraId="4459020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t/a</w:t>
                  </w:r>
                </w:p>
              </w:tc>
              <w:tc>
                <w:tcPr>
                  <w:tcW w:w="607" w:type="pct"/>
                  <w:tcBorders>
                    <w:tl2br w:val="nil"/>
                    <w:tr2bl w:val="nil"/>
                  </w:tcBorders>
                  <w:shd w:val="clear" w:color="auto" w:fill="auto"/>
                  <w:vAlign w:val="center"/>
                </w:tcPr>
                <w:p w14:paraId="6BB5DE25">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olor w:val="auto"/>
                      <w:spacing w:val="8"/>
                      <w:sz w:val="21"/>
                      <w:szCs w:val="21"/>
                      <w:lang w:val="en-US" w:eastAsia="zh-CN"/>
                    </w:rPr>
                    <w:t>原材料区</w:t>
                  </w:r>
                </w:p>
              </w:tc>
              <w:tc>
                <w:tcPr>
                  <w:tcW w:w="418" w:type="pct"/>
                  <w:tcBorders>
                    <w:tl2br w:val="nil"/>
                    <w:tr2bl w:val="nil"/>
                  </w:tcBorders>
                  <w:shd w:val="clear" w:color="auto" w:fill="auto"/>
                  <w:vAlign w:val="center"/>
                </w:tcPr>
                <w:p w14:paraId="62303A04">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1t</w:t>
                  </w:r>
                </w:p>
              </w:tc>
              <w:tc>
                <w:tcPr>
                  <w:tcW w:w="717" w:type="pct"/>
                  <w:tcBorders>
                    <w:tl2br w:val="nil"/>
                    <w:tr2bl w:val="nil"/>
                  </w:tcBorders>
                  <w:shd w:val="clear" w:color="auto" w:fill="auto"/>
                  <w:vAlign w:val="center"/>
                </w:tcPr>
                <w:p w14:paraId="76C1B857">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喷粉</w:t>
                  </w:r>
                </w:p>
              </w:tc>
            </w:tr>
          </w:tbl>
          <w:p w14:paraId="4FA7727D">
            <w:pPr>
              <w:pStyle w:val="46"/>
              <w:ind w:firstLine="480"/>
              <w:rPr>
                <w:rFonts w:hint="default"/>
                <w:color w:val="auto"/>
                <w:sz w:val="21"/>
                <w:szCs w:val="21"/>
                <w:highlight w:val="none"/>
                <w:lang w:val="en-US"/>
              </w:rPr>
            </w:pPr>
            <w:r>
              <w:rPr>
                <w:rFonts w:hint="eastAsia"/>
                <w:color w:val="auto"/>
                <w:sz w:val="21"/>
                <w:szCs w:val="21"/>
                <w:highlight w:val="none"/>
              </w:rPr>
              <w:t>注：[1]本项目使用的天然气来源为市政管道，厂区贮存量为厂区天然气管道内的在线量。[2]本项目使用的原辅材料中均不含</w:t>
            </w:r>
            <w:r>
              <w:rPr>
                <w:rFonts w:hint="eastAsia"/>
                <w:color w:val="auto"/>
                <w:sz w:val="21"/>
                <w:szCs w:val="21"/>
                <w:highlight w:val="none"/>
                <w:lang w:val="en-US" w:eastAsia="zh-CN"/>
              </w:rPr>
              <w:t>重金属如</w:t>
            </w:r>
            <w:r>
              <w:rPr>
                <w:rFonts w:hint="eastAsia"/>
                <w:color w:val="auto"/>
                <w:sz w:val="21"/>
                <w:szCs w:val="21"/>
                <w:highlight w:val="none"/>
              </w:rPr>
              <w:t>汞、烷基汞、镉、铬、砷、铅、镍、铍、银、钒、硒、钴、锡、苯并（a）芘等成分</w:t>
            </w:r>
            <w:r>
              <w:rPr>
                <w:rFonts w:hint="eastAsia"/>
                <w:color w:val="auto"/>
                <w:sz w:val="21"/>
                <w:szCs w:val="21"/>
                <w:highlight w:val="none"/>
                <w:lang w:eastAsia="zh-CN"/>
              </w:rPr>
              <w:t>，</w:t>
            </w:r>
            <w:r>
              <w:rPr>
                <w:rFonts w:hint="eastAsia"/>
                <w:color w:val="auto"/>
                <w:lang w:val="en-US" w:eastAsia="zh-CN"/>
              </w:rPr>
              <w:t>故</w:t>
            </w:r>
            <w:r>
              <w:rPr>
                <w:rFonts w:hint="eastAsia"/>
                <w:color w:val="auto"/>
                <w:sz w:val="21"/>
                <w:szCs w:val="21"/>
                <w:highlight w:val="none"/>
                <w:lang w:val="en-US" w:eastAsia="zh-CN"/>
              </w:rPr>
              <w:t>本项目不产生和排放重金属。</w:t>
            </w:r>
          </w:p>
          <w:p w14:paraId="679189D5">
            <w:pPr>
              <w:pStyle w:val="46"/>
              <w:ind w:firstLine="480"/>
              <w:rPr>
                <w:color w:val="auto"/>
                <w:sz w:val="21"/>
                <w:szCs w:val="21"/>
                <w:highlight w:val="none"/>
                <w:shd w:val="clear" w:fill="FFFF00"/>
              </w:rPr>
            </w:pPr>
            <w:r>
              <w:rPr>
                <w:rFonts w:hint="eastAsia"/>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shd w:val="clear"/>
              </w:rPr>
              <w:t>主要原辅材料特性</w:t>
            </w:r>
          </w:p>
          <w:p w14:paraId="27591BBB">
            <w:pPr>
              <w:pStyle w:val="44"/>
              <w:keepNext/>
              <w:keepLines/>
              <w:pageBreakBefore w:val="0"/>
              <w:widowControl w:val="0"/>
              <w:kinsoku/>
              <w:wordWrap/>
              <w:overflowPunct/>
              <w:topLinePunct w:val="0"/>
              <w:autoSpaceDE/>
              <w:autoSpaceDN/>
              <w:bidi w:val="0"/>
              <w:adjustRightInd/>
              <w:snapToGrid/>
              <w:spacing w:before="157" w:beforeLines="50" w:after="0"/>
              <w:ind w:left="630" w:leftChars="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项目主要原辅料理化性质一览表</w:t>
            </w:r>
          </w:p>
          <w:tbl>
            <w:tblPr>
              <w:tblStyle w:val="3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94"/>
              <w:gridCol w:w="1278"/>
              <w:gridCol w:w="2179"/>
              <w:gridCol w:w="1034"/>
              <w:gridCol w:w="2004"/>
              <w:gridCol w:w="1051"/>
            </w:tblGrid>
            <w:tr w14:paraId="482BAA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33" w:type="pct"/>
                  <w:tcBorders>
                    <w:bottom w:val="single" w:color="000000" w:sz="12" w:space="0"/>
                  </w:tcBorders>
                  <w:shd w:val="clear" w:color="auto" w:fill="auto"/>
                  <w:vAlign w:val="center"/>
                </w:tcPr>
                <w:p w14:paraId="38F4F6F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名称</w:t>
                  </w:r>
                </w:p>
              </w:tc>
              <w:tc>
                <w:tcPr>
                  <w:tcW w:w="739" w:type="pct"/>
                  <w:tcBorders>
                    <w:bottom w:val="single" w:color="000000" w:sz="12" w:space="0"/>
                  </w:tcBorders>
                  <w:shd w:val="clear" w:color="auto" w:fill="auto"/>
                  <w:vAlign w:val="center"/>
                </w:tcPr>
                <w:p w14:paraId="574E501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CAS</w:t>
                  </w:r>
                </w:p>
              </w:tc>
              <w:tc>
                <w:tcPr>
                  <w:tcW w:w="1260" w:type="pct"/>
                  <w:tcBorders>
                    <w:bottom w:val="single" w:color="000000" w:sz="12" w:space="0"/>
                  </w:tcBorders>
                  <w:shd w:val="clear" w:color="auto" w:fill="auto"/>
                  <w:vAlign w:val="center"/>
                </w:tcPr>
                <w:p w14:paraId="6AF3F15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理化特性</w:t>
                  </w:r>
                </w:p>
              </w:tc>
              <w:tc>
                <w:tcPr>
                  <w:tcW w:w="598" w:type="pct"/>
                  <w:tcBorders>
                    <w:bottom w:val="single" w:color="000000" w:sz="12" w:space="0"/>
                  </w:tcBorders>
                  <w:shd w:val="clear" w:color="auto" w:fill="auto"/>
                  <w:vAlign w:val="center"/>
                </w:tcPr>
                <w:p w14:paraId="449451B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燃烧爆炸性</w:t>
                  </w:r>
                </w:p>
              </w:tc>
              <w:tc>
                <w:tcPr>
                  <w:tcW w:w="1159" w:type="pct"/>
                  <w:tcBorders>
                    <w:bottom w:val="single" w:color="000000" w:sz="12" w:space="0"/>
                  </w:tcBorders>
                  <w:shd w:val="clear" w:color="auto" w:fill="auto"/>
                  <w:vAlign w:val="center"/>
                </w:tcPr>
                <w:p w14:paraId="1D8D34E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毒性毒理</w:t>
                  </w:r>
                </w:p>
              </w:tc>
              <w:tc>
                <w:tcPr>
                  <w:tcW w:w="608" w:type="pct"/>
                  <w:tcBorders>
                    <w:bottom w:val="single" w:color="000000" w:sz="12" w:space="0"/>
                  </w:tcBorders>
                  <w:shd w:val="clear" w:color="auto" w:fill="auto"/>
                  <w:vAlign w:val="center"/>
                </w:tcPr>
                <w:p w14:paraId="037B791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VOCs判</w:t>
                  </w:r>
                </w:p>
                <w:p w14:paraId="27281B6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定</w:t>
                  </w:r>
                </w:p>
              </w:tc>
            </w:tr>
            <w:tr w14:paraId="5A06D8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op w:val="single" w:color="000000" w:sz="12" w:space="0"/>
                    <w:tl2br w:val="nil"/>
                    <w:tr2bl w:val="nil"/>
                  </w:tcBorders>
                  <w:shd w:val="clear" w:color="auto" w:fill="auto"/>
                  <w:vAlign w:val="center"/>
                </w:tcPr>
                <w:p w14:paraId="5410BCB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偏硅酸钠</w:t>
                  </w:r>
                </w:p>
              </w:tc>
              <w:tc>
                <w:tcPr>
                  <w:tcW w:w="739" w:type="pct"/>
                  <w:tcBorders>
                    <w:top w:val="single" w:color="000000" w:sz="12" w:space="0"/>
                    <w:tl2br w:val="nil"/>
                    <w:tr2bl w:val="nil"/>
                  </w:tcBorders>
                  <w:shd w:val="clear" w:color="auto" w:fill="auto"/>
                  <w:vAlign w:val="center"/>
                </w:tcPr>
                <w:p w14:paraId="105CFB0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13517-24-3</w:t>
                  </w:r>
                </w:p>
              </w:tc>
              <w:tc>
                <w:tcPr>
                  <w:tcW w:w="1260" w:type="pct"/>
                  <w:tcBorders>
                    <w:top w:val="single" w:color="000000" w:sz="12" w:space="0"/>
                    <w:tl2br w:val="nil"/>
                    <w:tr2bl w:val="nil"/>
                  </w:tcBorders>
                  <w:shd w:val="clear" w:color="auto" w:fill="auto"/>
                  <w:vAlign w:val="center"/>
                </w:tcPr>
                <w:p w14:paraId="4E53AD7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分子量为284.2。白色结晶状粉末，易溶于水及稀碱液，不溶于醇和酸。熔点72.2℃</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相对密度（水=1）：2.61</w:t>
                  </w:r>
                </w:p>
              </w:tc>
              <w:tc>
                <w:tcPr>
                  <w:tcW w:w="598" w:type="pct"/>
                  <w:tcBorders>
                    <w:top w:val="single" w:color="000000" w:sz="12" w:space="0"/>
                    <w:tl2br w:val="nil"/>
                    <w:tr2bl w:val="nil"/>
                  </w:tcBorders>
                  <w:shd w:val="clear" w:color="auto" w:fill="auto"/>
                  <w:vAlign w:val="center"/>
                </w:tcPr>
                <w:p w14:paraId="14DF3AF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1159" w:type="pct"/>
                  <w:tcBorders>
                    <w:top w:val="single" w:color="000000" w:sz="12" w:space="0"/>
                    <w:tl2br w:val="nil"/>
                    <w:tr2bl w:val="nil"/>
                  </w:tcBorders>
                  <w:shd w:val="clear" w:color="auto" w:fill="auto"/>
                  <w:vAlign w:val="center"/>
                </w:tcPr>
                <w:p w14:paraId="4422FE8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p>
                <w:p w14:paraId="0502CA9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1152mg/kg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大鼠</w:t>
                  </w:r>
                </w:p>
                <w:p w14:paraId="7BAE226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经口</w:t>
                  </w:r>
                  <w:r>
                    <w:rPr>
                      <w:rFonts w:hint="eastAsia" w:cs="Times New Roman"/>
                      <w:color w:val="auto"/>
                      <w:sz w:val="21"/>
                      <w:szCs w:val="21"/>
                      <w:lang w:val="en-US" w:eastAsia="zh-CN"/>
                    </w:rPr>
                    <w:t>）</w:t>
                  </w:r>
                </w:p>
              </w:tc>
              <w:tc>
                <w:tcPr>
                  <w:tcW w:w="608" w:type="pct"/>
                  <w:tcBorders>
                    <w:top w:val="single" w:color="000000" w:sz="12" w:space="0"/>
                    <w:tl2br w:val="nil"/>
                    <w:tr2bl w:val="nil"/>
                  </w:tcBorders>
                  <w:shd w:val="clear" w:color="auto" w:fill="auto"/>
                  <w:vAlign w:val="center"/>
                </w:tcPr>
                <w:p w14:paraId="1379395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4ED9C5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1AC7FBB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碳酸钠</w:t>
                  </w:r>
                </w:p>
              </w:tc>
              <w:tc>
                <w:tcPr>
                  <w:tcW w:w="739" w:type="pct"/>
                  <w:tcBorders>
                    <w:tl2br w:val="nil"/>
                    <w:tr2bl w:val="nil"/>
                  </w:tcBorders>
                  <w:shd w:val="clear" w:color="auto" w:fill="auto"/>
                  <w:vAlign w:val="center"/>
                </w:tcPr>
                <w:p w14:paraId="26D43D5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497-19-8</w:t>
                  </w:r>
                </w:p>
              </w:tc>
              <w:tc>
                <w:tcPr>
                  <w:tcW w:w="1260" w:type="pct"/>
                  <w:tcBorders>
                    <w:tl2br w:val="nil"/>
                    <w:tr2bl w:val="nil"/>
                  </w:tcBorders>
                  <w:shd w:val="clear" w:color="auto" w:fill="auto"/>
                  <w:vAlign w:val="center"/>
                </w:tcPr>
                <w:p w14:paraId="4965A7A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分子量为105.99。白色无气味的粉末或颗粒。密度2.532g/cm³</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熔点851℃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沸点1600℃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相对密度（水=1）：2.53g/cm3。溶于水，微溶于无水乙醇，不溶于丙醇，溶于甘油</w:t>
                  </w:r>
                </w:p>
              </w:tc>
              <w:tc>
                <w:tcPr>
                  <w:tcW w:w="598" w:type="pct"/>
                  <w:tcBorders>
                    <w:tl2br w:val="nil"/>
                    <w:tr2bl w:val="nil"/>
                  </w:tcBorders>
                  <w:shd w:val="clear" w:color="auto" w:fill="auto"/>
                  <w:vAlign w:val="center"/>
                </w:tcPr>
                <w:p w14:paraId="7D8B822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1159" w:type="pct"/>
                  <w:tcBorders>
                    <w:tl2br w:val="nil"/>
                    <w:tr2bl w:val="nil"/>
                  </w:tcBorders>
                  <w:shd w:val="clear" w:color="auto" w:fill="auto"/>
                  <w:vAlign w:val="center"/>
                </w:tcPr>
                <w:p w14:paraId="3C32924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4090 mg/kg</w:t>
                  </w:r>
                </w:p>
                <w:p w14:paraId="403DA5D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（大鼠经口）</w:t>
                  </w:r>
                </w:p>
                <w:p w14:paraId="6577D41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LC50</w:t>
                  </w:r>
                  <w:r>
                    <w:rPr>
                      <w:rFonts w:hint="eastAsia" w:cs="Times New Roman"/>
                      <w:color w:val="auto"/>
                      <w:sz w:val="21"/>
                      <w:szCs w:val="21"/>
                      <w:lang w:val="en-US" w:eastAsia="zh-CN"/>
                    </w:rPr>
                    <w:t>:</w:t>
                  </w:r>
                </w:p>
                <w:p w14:paraId="2853513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2300mg/m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，2小时（大鼠吸入）</w:t>
                  </w:r>
                </w:p>
              </w:tc>
              <w:tc>
                <w:tcPr>
                  <w:tcW w:w="608" w:type="pct"/>
                  <w:tcBorders>
                    <w:tl2br w:val="nil"/>
                    <w:tr2bl w:val="nil"/>
                  </w:tcBorders>
                  <w:shd w:val="clear" w:color="auto" w:fill="auto"/>
                  <w:vAlign w:val="center"/>
                </w:tcPr>
                <w:p w14:paraId="18C467E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335C4C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5AFB537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非离子表面活性剂</w:t>
                  </w:r>
                </w:p>
              </w:tc>
              <w:tc>
                <w:tcPr>
                  <w:tcW w:w="739" w:type="pct"/>
                  <w:tcBorders>
                    <w:tl2br w:val="nil"/>
                    <w:tr2bl w:val="nil"/>
                  </w:tcBorders>
                  <w:shd w:val="clear" w:color="auto" w:fill="auto"/>
                  <w:vAlign w:val="center"/>
                </w:tcPr>
                <w:p w14:paraId="507FA16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9002-93-1</w:t>
                  </w:r>
                </w:p>
              </w:tc>
              <w:tc>
                <w:tcPr>
                  <w:tcW w:w="1260" w:type="pct"/>
                  <w:tcBorders>
                    <w:tl2br w:val="nil"/>
                    <w:tr2bl w:val="nil"/>
                  </w:tcBorders>
                  <w:shd w:val="clear" w:color="auto" w:fill="auto"/>
                  <w:vAlign w:val="center"/>
                </w:tcPr>
                <w:p w14:paraId="51C739F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浅黄色</w:t>
                  </w:r>
                  <w:r>
                    <w:rPr>
                      <w:rFonts w:hint="eastAsia" w:cs="Times New Roman"/>
                      <w:color w:val="auto"/>
                      <w:sz w:val="21"/>
                      <w:szCs w:val="21"/>
                      <w:lang w:val="en-US" w:eastAsia="zh-CN"/>
                    </w:rPr>
                    <w:t>黏稠</w:t>
                  </w:r>
                  <w:r>
                    <w:rPr>
                      <w:rFonts w:hint="eastAsia" w:ascii="Times New Roman" w:hAnsi="Times New Roman" w:eastAsia="宋体" w:cs="Times New Roman"/>
                      <w:color w:val="auto"/>
                      <w:sz w:val="21"/>
                      <w:szCs w:val="21"/>
                      <w:lang w:val="en-US" w:eastAsia="zh-CN"/>
                    </w:rPr>
                    <w:t>液体，无色透明无机械杂质，pH 6.0-8.0，沸点&gt;270℃，雾点75-85℃，密度1.06 g/cm³，可溶于水、乙醇等，在电泳漆中作为分散剂和润湿剂</w:t>
                  </w:r>
                </w:p>
              </w:tc>
              <w:tc>
                <w:tcPr>
                  <w:tcW w:w="598" w:type="pct"/>
                  <w:tcBorders>
                    <w:tl2br w:val="nil"/>
                    <w:tr2bl w:val="nil"/>
                  </w:tcBorders>
                  <w:shd w:val="clear" w:color="auto" w:fill="auto"/>
                  <w:vAlign w:val="center"/>
                </w:tcPr>
                <w:p w14:paraId="33A5A13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可燃</w:t>
                  </w:r>
                </w:p>
              </w:tc>
              <w:tc>
                <w:tcPr>
                  <w:tcW w:w="1159" w:type="pct"/>
                  <w:tcBorders>
                    <w:tl2br w:val="nil"/>
                    <w:tr2bl w:val="nil"/>
                  </w:tcBorders>
                  <w:shd w:val="clear" w:color="auto" w:fill="auto"/>
                  <w:vAlign w:val="center"/>
                </w:tcPr>
                <w:p w14:paraId="59385D8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c>
                <w:tcPr>
                  <w:tcW w:w="608" w:type="pct"/>
                  <w:tcBorders>
                    <w:tl2br w:val="nil"/>
                    <w:tr2bl w:val="nil"/>
                  </w:tcBorders>
                  <w:shd w:val="clear" w:color="auto" w:fill="auto"/>
                  <w:vAlign w:val="center"/>
                </w:tcPr>
                <w:p w14:paraId="601FCC2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619312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54354F12">
                  <w:pPr>
                    <w:pStyle w:val="48"/>
                    <w:keepNext w:val="0"/>
                    <w:keepLines w:val="0"/>
                    <w:pageBreakBefore w:val="0"/>
                    <w:widowControl w:val="0"/>
                    <w:suppressLineNumbers w:val="0"/>
                    <w:tabs>
                      <w:tab w:val="left" w:pos="0"/>
                    </w:tabs>
                    <w:kinsoku/>
                    <w:wordWrap/>
                    <w:overflowPunct/>
                    <w:topLinePunct/>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r-缩水甘油醚氧丙基三甲氧基硅烷</w:t>
                  </w:r>
                </w:p>
                <w:p w14:paraId="032D39B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yellow"/>
                      <w:lang w:val="en-US" w:eastAsia="en-US"/>
                    </w:rPr>
                  </w:pPr>
                </w:p>
              </w:tc>
              <w:tc>
                <w:tcPr>
                  <w:tcW w:w="739" w:type="pct"/>
                  <w:tcBorders>
                    <w:tl2br w:val="nil"/>
                    <w:tr2bl w:val="nil"/>
                  </w:tcBorders>
                  <w:shd w:val="clear" w:color="auto" w:fill="auto"/>
                  <w:vAlign w:val="center"/>
                </w:tcPr>
                <w:p w14:paraId="0CA40EB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530-83-8</w:t>
                  </w:r>
                </w:p>
              </w:tc>
              <w:tc>
                <w:tcPr>
                  <w:tcW w:w="1260" w:type="pct"/>
                  <w:tcBorders>
                    <w:tl2br w:val="nil"/>
                    <w:tr2bl w:val="nil"/>
                  </w:tcBorders>
                  <w:shd w:val="clear" w:color="auto" w:fill="auto"/>
                  <w:vAlign w:val="center"/>
                </w:tcPr>
                <w:p w14:paraId="2737905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分子量为</w:t>
                  </w:r>
                  <w:r>
                    <w:rPr>
                      <w:rFonts w:hint="eastAsia" w:cs="Times New Roman"/>
                      <w:color w:val="auto"/>
                      <w:sz w:val="21"/>
                      <w:szCs w:val="21"/>
                      <w:lang w:val="en-US" w:eastAsia="zh-CN"/>
                    </w:rPr>
                    <w:t>236.34</w:t>
                  </w:r>
                  <w:r>
                    <w:rPr>
                      <w:rFonts w:hint="eastAsia" w:ascii="Times New Roman" w:hAnsi="Times New Roman" w:eastAsia="宋体" w:cs="Times New Roman"/>
                      <w:color w:val="auto"/>
                      <w:sz w:val="21"/>
                      <w:szCs w:val="21"/>
                      <w:lang w:val="en-US" w:eastAsia="zh-CN"/>
                    </w:rPr>
                    <w:t>。熔</w:t>
                  </w:r>
                </w:p>
                <w:p w14:paraId="5C6BD48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点-</w:t>
                  </w:r>
                  <w:r>
                    <w:rPr>
                      <w:rFonts w:hint="eastAsia" w:cs="Times New Roman"/>
                      <w:color w:val="auto"/>
                      <w:sz w:val="21"/>
                      <w:szCs w:val="21"/>
                      <w:lang w:val="en-US" w:eastAsia="zh-CN"/>
                    </w:rPr>
                    <w:t>50</w:t>
                  </w: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沸</w:t>
                  </w:r>
                </w:p>
                <w:p w14:paraId="717BEF7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点</w:t>
                  </w:r>
                  <w:r>
                    <w:rPr>
                      <w:rFonts w:hint="eastAsia" w:cs="Times New Roman"/>
                      <w:color w:val="auto"/>
                      <w:sz w:val="21"/>
                      <w:szCs w:val="21"/>
                      <w:lang w:val="en-US" w:eastAsia="zh-CN"/>
                    </w:rPr>
                    <w:t>120.0</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w:t>
                  </w:r>
                </w:p>
                <w:p w14:paraId="46072B2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en-US"/>
                    </w:rPr>
                    <w:t>1.070 g/mL at 20 °C无色透明液体</w:t>
                  </w:r>
                </w:p>
              </w:tc>
              <w:tc>
                <w:tcPr>
                  <w:tcW w:w="598" w:type="pct"/>
                  <w:tcBorders>
                    <w:tl2br w:val="nil"/>
                    <w:tr2bl w:val="nil"/>
                  </w:tcBorders>
                  <w:shd w:val="clear" w:color="auto" w:fill="auto"/>
                  <w:vAlign w:val="center"/>
                </w:tcPr>
                <w:p w14:paraId="010A986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易燃</w:t>
                  </w:r>
                </w:p>
              </w:tc>
              <w:tc>
                <w:tcPr>
                  <w:tcW w:w="1159" w:type="pct"/>
                  <w:tcBorders>
                    <w:tl2br w:val="nil"/>
                    <w:tr2bl w:val="nil"/>
                  </w:tcBorders>
                  <w:shd w:val="clear" w:color="auto" w:fill="auto"/>
                  <w:vAlign w:val="center"/>
                </w:tcPr>
                <w:p w14:paraId="4CA8475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LD50 oral in rat: 22600uL/k</w:t>
                  </w:r>
                  <w:r>
                    <w:rPr>
                      <w:rFonts w:hint="eastAsia" w:cs="Times New Roman"/>
                      <w:color w:val="auto"/>
                      <w:sz w:val="21"/>
                      <w:szCs w:val="21"/>
                      <w:lang w:val="en-US" w:eastAsia="zh-CN"/>
                    </w:rPr>
                    <w:t>g（</w:t>
                  </w:r>
                  <w:r>
                    <w:rPr>
                      <w:rFonts w:hint="eastAsia" w:ascii="Times New Roman" w:hAnsi="Times New Roman" w:eastAsia="宋体" w:cs="Times New Roman"/>
                      <w:color w:val="auto"/>
                      <w:sz w:val="21"/>
                      <w:szCs w:val="21"/>
                      <w:lang w:val="en-US" w:eastAsia="zh-CN"/>
                    </w:rPr>
                    <w:t>大鼠经口</w:t>
                  </w:r>
                  <w:r>
                    <w:rPr>
                      <w:rFonts w:hint="eastAsia" w:cs="Times New Roman"/>
                      <w:color w:val="auto"/>
                      <w:sz w:val="21"/>
                      <w:szCs w:val="21"/>
                      <w:lang w:val="en-US" w:eastAsia="zh-CN"/>
                    </w:rPr>
                    <w:t>）</w:t>
                  </w:r>
                </w:p>
              </w:tc>
              <w:tc>
                <w:tcPr>
                  <w:tcW w:w="608" w:type="pct"/>
                  <w:tcBorders>
                    <w:tl2br w:val="nil"/>
                    <w:tr2bl w:val="nil"/>
                  </w:tcBorders>
                  <w:shd w:val="clear" w:color="auto" w:fill="auto"/>
                  <w:vAlign w:val="center"/>
                </w:tcPr>
                <w:p w14:paraId="60E66E2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41B06D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1D83DCB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yellow"/>
                      <w:lang w:val="en-US" w:eastAsia="en-US"/>
                    </w:rPr>
                  </w:pPr>
                  <w:r>
                    <w:rPr>
                      <w:rFonts w:hint="eastAsia" w:ascii="Times New Roman" w:hAnsi="Times New Roman" w:eastAsia="宋体" w:cs="Times New Roman"/>
                      <w:color w:val="auto"/>
                      <w:sz w:val="21"/>
                      <w:szCs w:val="21"/>
                      <w:highlight w:val="none"/>
                      <w:lang w:val="en-US" w:eastAsia="zh-CN"/>
                    </w:rPr>
                    <w:t>硅酸钠</w:t>
                  </w:r>
                </w:p>
              </w:tc>
              <w:tc>
                <w:tcPr>
                  <w:tcW w:w="739" w:type="pct"/>
                  <w:tcBorders>
                    <w:tl2br w:val="nil"/>
                    <w:tr2bl w:val="nil"/>
                  </w:tcBorders>
                  <w:shd w:val="clear" w:color="auto" w:fill="auto"/>
                  <w:vAlign w:val="center"/>
                </w:tcPr>
                <w:p w14:paraId="54BAF0F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1344</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09</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8</w:t>
                  </w:r>
                </w:p>
              </w:tc>
              <w:tc>
                <w:tcPr>
                  <w:tcW w:w="1260" w:type="pct"/>
                  <w:tcBorders>
                    <w:tl2br w:val="nil"/>
                    <w:tr2bl w:val="nil"/>
                  </w:tcBorders>
                  <w:shd w:val="clear" w:color="auto" w:fill="auto"/>
                  <w:vAlign w:val="center"/>
                </w:tcPr>
                <w:p w14:paraId="6FC8AA3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分子量为122.07。熔点1088°C</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无色、略带颜色的半透明或透明块状玻璃体</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相对密度（水=1）：2.</w:t>
                  </w:r>
                  <w:r>
                    <w:rPr>
                      <w:rFonts w:hint="eastAsia" w:cs="Times New Roman"/>
                      <w:color w:val="auto"/>
                      <w:sz w:val="21"/>
                      <w:szCs w:val="21"/>
                      <w:lang w:val="en-US" w:eastAsia="zh-CN"/>
                    </w:rPr>
                    <w:t>33</w:t>
                  </w:r>
                </w:p>
              </w:tc>
              <w:tc>
                <w:tcPr>
                  <w:tcW w:w="598" w:type="pct"/>
                  <w:tcBorders>
                    <w:tl2br w:val="nil"/>
                    <w:tr2bl w:val="nil"/>
                  </w:tcBorders>
                  <w:shd w:val="clear" w:color="auto" w:fill="auto"/>
                  <w:vAlign w:val="center"/>
                </w:tcPr>
                <w:p w14:paraId="48606EF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1159" w:type="pct"/>
                  <w:tcBorders>
                    <w:tl2br w:val="nil"/>
                    <w:tr2bl w:val="nil"/>
                  </w:tcBorders>
                  <w:shd w:val="clear" w:color="auto" w:fill="auto"/>
                  <w:vAlign w:val="center"/>
                </w:tcPr>
                <w:p w14:paraId="1E4E2CA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LD50:1280mg/kg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大鼠经口</w:t>
                  </w:r>
                  <w:r>
                    <w:rPr>
                      <w:rFonts w:hint="eastAsia" w:cs="Times New Roman"/>
                      <w:color w:val="auto"/>
                      <w:sz w:val="21"/>
                      <w:szCs w:val="21"/>
                      <w:lang w:val="en-US" w:eastAsia="zh-CN"/>
                    </w:rPr>
                    <w:t>）</w:t>
                  </w:r>
                </w:p>
              </w:tc>
              <w:tc>
                <w:tcPr>
                  <w:tcW w:w="608" w:type="pct"/>
                  <w:tcBorders>
                    <w:tl2br w:val="nil"/>
                    <w:tr2bl w:val="nil"/>
                  </w:tcBorders>
                  <w:shd w:val="clear" w:color="auto" w:fill="auto"/>
                  <w:vAlign w:val="center"/>
                </w:tcPr>
                <w:p w14:paraId="5AA8448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13777B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7F6B534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highlight w:val="yellow"/>
                      <w:lang w:val="en-US" w:eastAsia="en-US"/>
                    </w:rPr>
                  </w:pPr>
                  <w:r>
                    <w:rPr>
                      <w:rFonts w:hint="eastAsia" w:ascii="Times New Roman" w:hAnsi="Times New Roman" w:eastAsia="宋体" w:cs="Times New Roman"/>
                      <w:color w:val="auto"/>
                      <w:sz w:val="21"/>
                      <w:szCs w:val="21"/>
                      <w:highlight w:val="none"/>
                      <w:lang w:val="en-US" w:eastAsia="en-US"/>
                    </w:rPr>
                    <w:t>纳米二氧化硅</w:t>
                  </w:r>
                </w:p>
              </w:tc>
              <w:tc>
                <w:tcPr>
                  <w:tcW w:w="739" w:type="pct"/>
                  <w:tcBorders>
                    <w:tl2br w:val="nil"/>
                    <w:tr2bl w:val="nil"/>
                  </w:tcBorders>
                  <w:shd w:val="clear" w:color="auto" w:fill="auto"/>
                  <w:vAlign w:val="center"/>
                </w:tcPr>
                <w:p w14:paraId="059C413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60676-86-0</w:t>
                  </w:r>
                </w:p>
              </w:tc>
              <w:tc>
                <w:tcPr>
                  <w:tcW w:w="1260" w:type="pct"/>
                  <w:tcBorders>
                    <w:tl2br w:val="nil"/>
                    <w:tr2bl w:val="nil"/>
                  </w:tcBorders>
                  <w:shd w:val="clear" w:color="auto" w:fill="auto"/>
                  <w:vAlign w:val="center"/>
                </w:tcPr>
                <w:p w14:paraId="7C4B5FB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分子量为60.08。</w:t>
                  </w:r>
                  <w:r>
                    <w:rPr>
                      <w:rFonts w:hint="eastAsia" w:cs="Times New Roman"/>
                      <w:color w:val="auto"/>
                      <w:sz w:val="21"/>
                      <w:szCs w:val="21"/>
                      <w:lang w:val="en-US" w:eastAsia="zh-CN"/>
                    </w:rPr>
                    <w:t>白色粉末</w:t>
                  </w:r>
                  <w:r>
                    <w:rPr>
                      <w:rFonts w:hint="eastAsia" w:ascii="Times New Roman" w:hAnsi="Times New Roman" w:eastAsia="宋体" w:cs="Times New Roman"/>
                      <w:color w:val="auto"/>
                      <w:sz w:val="21"/>
                      <w:szCs w:val="21"/>
                      <w:lang w:val="en-US" w:eastAsia="zh-CN"/>
                    </w:rPr>
                    <w:t>，味微苦，易潮解。熔点</w:t>
                  </w:r>
                  <w:r>
                    <w:rPr>
                      <w:rFonts w:hint="eastAsia" w:cs="Times New Roman"/>
                      <w:color w:val="auto"/>
                      <w:sz w:val="21"/>
                      <w:szCs w:val="21"/>
                      <w:lang w:val="en-US" w:eastAsia="zh-CN"/>
                    </w:rPr>
                    <w:t>1750</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相对密度（水＝1）：2.26</w:t>
                  </w:r>
                </w:p>
              </w:tc>
              <w:tc>
                <w:tcPr>
                  <w:tcW w:w="598" w:type="pct"/>
                  <w:tcBorders>
                    <w:tl2br w:val="nil"/>
                    <w:tr2bl w:val="nil"/>
                  </w:tcBorders>
                  <w:shd w:val="clear" w:color="auto" w:fill="auto"/>
                  <w:vAlign w:val="center"/>
                </w:tcPr>
                <w:p w14:paraId="6A7456C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1159" w:type="pct"/>
                  <w:tcBorders>
                    <w:tl2br w:val="nil"/>
                    <w:tr2bl w:val="nil"/>
                  </w:tcBorders>
                  <w:shd w:val="clear" w:color="auto" w:fill="auto"/>
                  <w:vAlign w:val="center"/>
                </w:tcPr>
                <w:p w14:paraId="481B712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shd w:val="clear" w:color="auto" w:fill="auto"/>
                  <w:vAlign w:val="center"/>
                </w:tcPr>
                <w:p w14:paraId="4F6BD96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70A2C0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797DDAF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聚氨酯交联剂</w:t>
                  </w:r>
                </w:p>
              </w:tc>
              <w:tc>
                <w:tcPr>
                  <w:tcW w:w="739" w:type="pct"/>
                  <w:tcBorders>
                    <w:tl2br w:val="nil"/>
                    <w:tr2bl w:val="nil"/>
                  </w:tcBorders>
                  <w:shd w:val="clear" w:color="auto" w:fill="auto"/>
                  <w:vAlign w:val="center"/>
                </w:tcPr>
                <w:p w14:paraId="246374A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60" w:type="pct"/>
                  <w:tcBorders>
                    <w:tl2br w:val="nil"/>
                    <w:tr2bl w:val="nil"/>
                  </w:tcBorders>
                  <w:shd w:val="clear" w:color="auto" w:fill="auto"/>
                  <w:vAlign w:val="center"/>
                </w:tcPr>
                <w:p w14:paraId="14EFED7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常温下多为液体或固体，与含羟基或胺基化合物反应形成三维网状结构，提供优异的耐腐蚀性和机械性能</w:t>
                  </w:r>
                </w:p>
              </w:tc>
              <w:tc>
                <w:tcPr>
                  <w:tcW w:w="598" w:type="pct"/>
                  <w:tcBorders>
                    <w:tl2br w:val="nil"/>
                    <w:tr2bl w:val="nil"/>
                  </w:tcBorders>
                  <w:shd w:val="clear" w:color="auto" w:fill="auto"/>
                  <w:vAlign w:val="center"/>
                </w:tcPr>
                <w:p w14:paraId="7C1EDDE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可燃</w:t>
                  </w:r>
                </w:p>
              </w:tc>
              <w:tc>
                <w:tcPr>
                  <w:tcW w:w="1159" w:type="pct"/>
                  <w:tcBorders>
                    <w:tl2br w:val="nil"/>
                    <w:tr2bl w:val="nil"/>
                  </w:tcBorders>
                  <w:shd w:val="clear" w:color="auto" w:fill="auto"/>
                  <w:vAlign w:val="center"/>
                </w:tcPr>
                <w:p w14:paraId="261A575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shd w:val="clear" w:color="auto" w:fill="auto"/>
                  <w:vAlign w:val="center"/>
                </w:tcPr>
                <w:p w14:paraId="5215958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457390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08E7105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聚酰胺</w:t>
                  </w:r>
                </w:p>
              </w:tc>
              <w:tc>
                <w:tcPr>
                  <w:tcW w:w="739" w:type="pct"/>
                  <w:tcBorders>
                    <w:tl2br w:val="nil"/>
                    <w:tr2bl w:val="nil"/>
                  </w:tcBorders>
                  <w:shd w:val="clear" w:color="auto" w:fill="auto"/>
                  <w:vAlign w:val="center"/>
                </w:tcPr>
                <w:p w14:paraId="472D1B6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63428-83-1</w:t>
                  </w:r>
                </w:p>
              </w:tc>
              <w:tc>
                <w:tcPr>
                  <w:tcW w:w="1260" w:type="pct"/>
                  <w:tcBorders>
                    <w:tl2br w:val="nil"/>
                    <w:tr2bl w:val="nil"/>
                  </w:tcBorders>
                  <w:shd w:val="clear" w:color="auto" w:fill="auto"/>
                  <w:vAlign w:val="center"/>
                </w:tcPr>
                <w:p w14:paraId="4F99F43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白色至淡黄色固体，</w:t>
                  </w:r>
                </w:p>
                <w:p w14:paraId="464BE8B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分子量为341.489，熔点250℃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沸点611.8℃</w:t>
                  </w:r>
                </w:p>
              </w:tc>
              <w:tc>
                <w:tcPr>
                  <w:tcW w:w="598" w:type="pct"/>
                  <w:tcBorders>
                    <w:tl2br w:val="nil"/>
                    <w:tr2bl w:val="nil"/>
                  </w:tcBorders>
                  <w:shd w:val="clear" w:color="auto" w:fill="auto"/>
                  <w:vAlign w:val="center"/>
                </w:tcPr>
                <w:p w14:paraId="496488C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可燃</w:t>
                  </w:r>
                </w:p>
              </w:tc>
              <w:tc>
                <w:tcPr>
                  <w:tcW w:w="1159" w:type="pct"/>
                  <w:tcBorders>
                    <w:tl2br w:val="nil"/>
                    <w:tr2bl w:val="nil"/>
                  </w:tcBorders>
                  <w:shd w:val="clear" w:color="auto" w:fill="auto"/>
                  <w:vAlign w:val="center"/>
                </w:tcPr>
                <w:p w14:paraId="02FF6C9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shd w:val="clear" w:color="auto" w:fill="auto"/>
                  <w:vAlign w:val="center"/>
                </w:tcPr>
                <w:p w14:paraId="021A89A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57D453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067FC9F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去离子水</w:t>
                  </w:r>
                </w:p>
              </w:tc>
              <w:tc>
                <w:tcPr>
                  <w:tcW w:w="739" w:type="pct"/>
                  <w:tcBorders>
                    <w:tl2br w:val="nil"/>
                    <w:tr2bl w:val="nil"/>
                  </w:tcBorders>
                  <w:shd w:val="clear" w:color="auto" w:fill="auto"/>
                  <w:vAlign w:val="center"/>
                </w:tcPr>
                <w:p w14:paraId="425304C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7732-18-5</w:t>
                  </w:r>
                </w:p>
              </w:tc>
              <w:tc>
                <w:tcPr>
                  <w:tcW w:w="1260" w:type="pct"/>
                  <w:tcBorders>
                    <w:tl2br w:val="nil"/>
                    <w:tr2bl w:val="nil"/>
                  </w:tcBorders>
                  <w:shd w:val="clear" w:color="auto" w:fill="auto"/>
                  <w:vAlign w:val="center"/>
                </w:tcPr>
                <w:p w14:paraId="4625420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无色透明液体，pH≈7.0（25℃），密度0.998 g/cm³（20℃），沸点100℃，电泳涂装要求电导率≤10μS/cm（理想&lt;1μS/cm），几乎不含离子杂质，是电泳漆的主要溶剂</w:t>
                  </w:r>
                </w:p>
              </w:tc>
              <w:tc>
                <w:tcPr>
                  <w:tcW w:w="598" w:type="pct"/>
                  <w:tcBorders>
                    <w:tl2br w:val="nil"/>
                    <w:tr2bl w:val="nil"/>
                  </w:tcBorders>
                  <w:shd w:val="clear" w:color="auto" w:fill="auto"/>
                  <w:vAlign w:val="center"/>
                </w:tcPr>
                <w:p w14:paraId="3EE61CC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不燃</w:t>
                  </w:r>
                </w:p>
              </w:tc>
              <w:tc>
                <w:tcPr>
                  <w:tcW w:w="1159" w:type="pct"/>
                  <w:tcBorders>
                    <w:tl2br w:val="nil"/>
                    <w:tr2bl w:val="nil"/>
                  </w:tcBorders>
                  <w:shd w:val="clear" w:color="auto" w:fill="auto"/>
                  <w:vAlign w:val="center"/>
                </w:tcPr>
                <w:p w14:paraId="13B7DBE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shd w:val="clear" w:color="auto" w:fill="auto"/>
                  <w:vAlign w:val="center"/>
                </w:tcPr>
                <w:p w14:paraId="4F8D187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31A575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0A0254D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高岭土</w:t>
                  </w:r>
                </w:p>
              </w:tc>
              <w:tc>
                <w:tcPr>
                  <w:tcW w:w="739" w:type="pct"/>
                  <w:tcBorders>
                    <w:tl2br w:val="nil"/>
                    <w:tr2bl w:val="nil"/>
                  </w:tcBorders>
                  <w:shd w:val="clear" w:color="auto" w:fill="auto"/>
                  <w:vAlign w:val="center"/>
                </w:tcPr>
                <w:p w14:paraId="0CB9813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1332-58-7</w:t>
                  </w:r>
                </w:p>
              </w:tc>
              <w:tc>
                <w:tcPr>
                  <w:tcW w:w="1260" w:type="pct"/>
                  <w:tcBorders>
                    <w:tl2br w:val="nil"/>
                    <w:tr2bl w:val="nil"/>
                  </w:tcBorders>
                  <w:shd w:val="clear" w:color="auto" w:fill="auto"/>
                  <w:vAlign w:val="center"/>
                </w:tcPr>
                <w:p w14:paraId="58720BD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白色或淡黄色粉末，有珍珠光泽，密度2.54-2.60 g/cm³，熔点约1785℃，不溶于水、乙醇、稀酸和碱液，电泳漆中含量10-20%，需经煅烧处理降低电导率（≤20%），提高分散性和遮盖力</w:t>
                  </w:r>
                </w:p>
              </w:tc>
              <w:tc>
                <w:tcPr>
                  <w:tcW w:w="598" w:type="pct"/>
                  <w:tcBorders>
                    <w:tl2br w:val="nil"/>
                    <w:tr2bl w:val="nil"/>
                  </w:tcBorders>
                  <w:shd w:val="clear" w:color="auto" w:fill="auto"/>
                  <w:vAlign w:val="center"/>
                </w:tcPr>
                <w:p w14:paraId="10F03F9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不燃</w:t>
                  </w:r>
                </w:p>
              </w:tc>
              <w:tc>
                <w:tcPr>
                  <w:tcW w:w="1159" w:type="pct"/>
                  <w:tcBorders>
                    <w:tl2br w:val="nil"/>
                    <w:tr2bl w:val="nil"/>
                  </w:tcBorders>
                  <w:shd w:val="clear" w:color="auto" w:fill="auto"/>
                  <w:vAlign w:val="center"/>
                </w:tcPr>
                <w:p w14:paraId="1B4D205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shd w:val="clear" w:color="auto" w:fill="auto"/>
                  <w:vAlign w:val="center"/>
                </w:tcPr>
                <w:p w14:paraId="0A82157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6B8C2B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2A2820F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炭黑</w:t>
                  </w:r>
                </w:p>
              </w:tc>
              <w:tc>
                <w:tcPr>
                  <w:tcW w:w="739" w:type="pct"/>
                  <w:tcBorders>
                    <w:tl2br w:val="nil"/>
                    <w:tr2bl w:val="nil"/>
                  </w:tcBorders>
                  <w:shd w:val="clear" w:color="auto" w:fill="auto"/>
                  <w:vAlign w:val="center"/>
                </w:tcPr>
                <w:p w14:paraId="440D422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1332-58-7</w:t>
                  </w:r>
                </w:p>
              </w:tc>
              <w:tc>
                <w:tcPr>
                  <w:tcW w:w="1260" w:type="pct"/>
                  <w:tcBorders>
                    <w:tl2br w:val="nil"/>
                    <w:tr2bl w:val="nil"/>
                  </w:tcBorders>
                  <w:shd w:val="clear" w:color="auto" w:fill="auto"/>
                  <w:vAlign w:val="center"/>
                </w:tcPr>
                <w:p w14:paraId="4E2C05C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黑色粉末，粒径极小（纳米级），比表面积大（可达800 m²/g以上），密度1.8-2.1 g/cm³，不溶于水及有机溶剂，电泳漆中含量5-10%，提供黑色着色和特定导电性能，要求使用高纯度炭黑</w:t>
                  </w:r>
                </w:p>
              </w:tc>
              <w:tc>
                <w:tcPr>
                  <w:tcW w:w="598" w:type="pct"/>
                  <w:tcBorders>
                    <w:tl2br w:val="nil"/>
                    <w:tr2bl w:val="nil"/>
                  </w:tcBorders>
                  <w:shd w:val="clear" w:color="auto" w:fill="auto"/>
                  <w:vAlign w:val="center"/>
                </w:tcPr>
                <w:p w14:paraId="7F06541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可燃</w:t>
                  </w:r>
                </w:p>
              </w:tc>
              <w:tc>
                <w:tcPr>
                  <w:tcW w:w="1159" w:type="pct"/>
                  <w:tcBorders>
                    <w:tl2br w:val="nil"/>
                    <w:tr2bl w:val="nil"/>
                  </w:tcBorders>
                  <w:shd w:val="clear" w:color="auto" w:fill="auto"/>
                  <w:vAlign w:val="center"/>
                </w:tcPr>
                <w:p w14:paraId="52018DF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LD50&gt;15400 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大鼠</w:t>
                  </w:r>
                </w:p>
                <w:p w14:paraId="3C6FAE5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经口</w:t>
                  </w:r>
                  <w:r>
                    <w:rPr>
                      <w:rFonts w:hint="eastAsia" w:cs="Times New Roman"/>
                      <w:color w:val="auto"/>
                      <w:sz w:val="21"/>
                      <w:szCs w:val="21"/>
                      <w:lang w:val="en-US" w:eastAsia="zh-CN"/>
                    </w:rPr>
                    <w:t>）</w:t>
                  </w:r>
                </w:p>
              </w:tc>
              <w:tc>
                <w:tcPr>
                  <w:tcW w:w="608" w:type="pct"/>
                  <w:tcBorders>
                    <w:tl2br w:val="nil"/>
                    <w:tr2bl w:val="nil"/>
                  </w:tcBorders>
                  <w:shd w:val="clear" w:color="auto" w:fill="auto"/>
                  <w:vAlign w:val="center"/>
                </w:tcPr>
                <w:p w14:paraId="3DFE441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2917A4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689D375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乙酸</w:t>
                  </w:r>
                </w:p>
              </w:tc>
              <w:tc>
                <w:tcPr>
                  <w:tcW w:w="739" w:type="pct"/>
                  <w:tcBorders>
                    <w:tl2br w:val="nil"/>
                    <w:tr2bl w:val="nil"/>
                  </w:tcBorders>
                  <w:shd w:val="clear" w:color="auto" w:fill="auto"/>
                  <w:vAlign w:val="center"/>
                </w:tcPr>
                <w:p w14:paraId="755427E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64-19-7</w:t>
                  </w:r>
                </w:p>
              </w:tc>
              <w:tc>
                <w:tcPr>
                  <w:tcW w:w="1260" w:type="pct"/>
                  <w:tcBorders>
                    <w:tl2br w:val="nil"/>
                    <w:tr2bl w:val="nil"/>
                  </w:tcBorders>
                  <w:shd w:val="clear" w:color="auto" w:fill="auto"/>
                  <w:vAlign w:val="center"/>
                </w:tcPr>
                <w:p w14:paraId="7C65893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无色透明液体，有刺激性酸臭，分子量60.05。熔点16.7℃</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沸点118.1℃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溶于水、醚、甘油，不溶于二硫化碳</w:t>
                  </w:r>
                </w:p>
              </w:tc>
              <w:tc>
                <w:tcPr>
                  <w:tcW w:w="598" w:type="pct"/>
                  <w:tcBorders>
                    <w:tl2br w:val="nil"/>
                    <w:tr2bl w:val="nil"/>
                  </w:tcBorders>
                  <w:shd w:val="clear" w:color="auto" w:fill="auto"/>
                  <w:vAlign w:val="center"/>
                </w:tcPr>
                <w:p w14:paraId="3AABEE7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易燃</w:t>
                  </w:r>
                </w:p>
              </w:tc>
              <w:tc>
                <w:tcPr>
                  <w:tcW w:w="1159" w:type="pct"/>
                  <w:tcBorders>
                    <w:tl2br w:val="nil"/>
                    <w:tr2bl w:val="nil"/>
                  </w:tcBorders>
                  <w:shd w:val="clear" w:color="auto" w:fill="auto"/>
                  <w:vAlign w:val="center"/>
                </w:tcPr>
                <w:p w14:paraId="5DD2984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p>
                <w:p w14:paraId="5956CA6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3530mg/kg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大鼠</w:t>
                  </w:r>
                </w:p>
                <w:p w14:paraId="168C471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经口</w:t>
                  </w:r>
                  <w:r>
                    <w:rPr>
                      <w:rFonts w:hint="eastAsia" w:cs="Times New Roman"/>
                      <w:color w:val="auto"/>
                      <w:sz w:val="21"/>
                      <w:szCs w:val="21"/>
                      <w:lang w:val="en-US" w:eastAsia="zh-CN"/>
                    </w:rPr>
                    <w:t>）</w:t>
                  </w:r>
                </w:p>
                <w:p w14:paraId="2216260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p>
                <w:p w14:paraId="072D7F1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1060mg/kg</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兔经</w:t>
                  </w:r>
                </w:p>
                <w:p w14:paraId="54A1BD5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皮</w:t>
                  </w:r>
                  <w:r>
                    <w:rPr>
                      <w:rFonts w:hint="eastAsia" w:cs="Times New Roman"/>
                      <w:color w:val="auto"/>
                      <w:sz w:val="21"/>
                      <w:szCs w:val="21"/>
                      <w:lang w:val="en-US" w:eastAsia="zh-CN"/>
                    </w:rPr>
                    <w:t>）</w:t>
                  </w:r>
                </w:p>
              </w:tc>
              <w:tc>
                <w:tcPr>
                  <w:tcW w:w="608" w:type="pct"/>
                  <w:tcBorders>
                    <w:tl2br w:val="nil"/>
                    <w:tr2bl w:val="nil"/>
                  </w:tcBorders>
                  <w:shd w:val="clear" w:color="auto" w:fill="auto"/>
                  <w:vAlign w:val="center"/>
                </w:tcPr>
                <w:p w14:paraId="12D9907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是</w:t>
                  </w:r>
                </w:p>
              </w:tc>
            </w:tr>
            <w:tr w14:paraId="39336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18FE8DD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环氧树</w:t>
                  </w:r>
                </w:p>
                <w:p w14:paraId="0C7860A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脂</w:t>
                  </w:r>
                </w:p>
              </w:tc>
              <w:tc>
                <w:tcPr>
                  <w:tcW w:w="739" w:type="pct"/>
                  <w:tcBorders>
                    <w:tl2br w:val="nil"/>
                    <w:tr2bl w:val="nil"/>
                  </w:tcBorders>
                  <w:shd w:val="clear" w:color="auto" w:fill="auto"/>
                  <w:vAlign w:val="center"/>
                </w:tcPr>
                <w:p w14:paraId="2C982A7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61788-97-4</w:t>
                  </w:r>
                </w:p>
              </w:tc>
              <w:tc>
                <w:tcPr>
                  <w:tcW w:w="1260" w:type="pct"/>
                  <w:tcBorders>
                    <w:tl2br w:val="nil"/>
                    <w:tr2bl w:val="nil"/>
                  </w:tcBorders>
                  <w:shd w:val="clear" w:color="auto" w:fill="auto"/>
                  <w:vAlign w:val="center"/>
                </w:tcPr>
                <w:p w14:paraId="40A5B7A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黄色或透明固体。沸点大于260℃</w:t>
                  </w:r>
                </w:p>
              </w:tc>
              <w:tc>
                <w:tcPr>
                  <w:tcW w:w="598" w:type="pct"/>
                  <w:tcBorders>
                    <w:tl2br w:val="nil"/>
                    <w:tr2bl w:val="nil"/>
                  </w:tcBorders>
                  <w:shd w:val="clear" w:color="auto" w:fill="auto"/>
                  <w:vAlign w:val="center"/>
                </w:tcPr>
                <w:p w14:paraId="1B86F83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可燃</w:t>
                  </w:r>
                </w:p>
              </w:tc>
              <w:tc>
                <w:tcPr>
                  <w:tcW w:w="1159" w:type="pct"/>
                  <w:tcBorders>
                    <w:tl2br w:val="nil"/>
                    <w:tr2bl w:val="nil"/>
                  </w:tcBorders>
                  <w:shd w:val="clear" w:color="auto" w:fill="auto"/>
                  <w:vAlign w:val="center"/>
                </w:tcPr>
                <w:p w14:paraId="49CCAB7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shd w:val="clear" w:color="auto" w:fill="auto"/>
                  <w:vAlign w:val="center"/>
                </w:tcPr>
                <w:p w14:paraId="5CAEE7D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否</w:t>
                  </w:r>
                </w:p>
              </w:tc>
            </w:tr>
            <w:tr w14:paraId="695901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shd w:val="clear" w:color="auto" w:fill="auto"/>
                  <w:vAlign w:val="center"/>
                </w:tcPr>
                <w:p w14:paraId="6802628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2-丁氧基</w:t>
                  </w:r>
                </w:p>
                <w:p w14:paraId="1784A43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乙醇（乙</w:t>
                  </w:r>
                </w:p>
                <w:p w14:paraId="2414C3E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二醇丁</w:t>
                  </w:r>
                </w:p>
                <w:p w14:paraId="585199D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醚）</w:t>
                  </w:r>
                </w:p>
              </w:tc>
              <w:tc>
                <w:tcPr>
                  <w:tcW w:w="739" w:type="pct"/>
                  <w:tcBorders>
                    <w:tl2br w:val="nil"/>
                    <w:tr2bl w:val="nil"/>
                  </w:tcBorders>
                  <w:shd w:val="clear" w:color="auto" w:fill="auto"/>
                  <w:vAlign w:val="center"/>
                </w:tcPr>
                <w:p w14:paraId="43641AA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111-76-2</w:t>
                  </w:r>
                </w:p>
              </w:tc>
              <w:tc>
                <w:tcPr>
                  <w:tcW w:w="1260" w:type="pct"/>
                  <w:tcBorders>
                    <w:tl2br w:val="nil"/>
                    <w:tr2bl w:val="nil"/>
                  </w:tcBorders>
                  <w:shd w:val="clear" w:color="auto" w:fill="auto"/>
                  <w:vAlign w:val="center"/>
                </w:tcPr>
                <w:p w14:paraId="25B37F6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无色透明液体。分子量：118.174，相对密度：0.902，沸点：</w:t>
                  </w:r>
                </w:p>
                <w:p w14:paraId="564241D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闪点：60℃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蒸气压（25℃</w:t>
                  </w:r>
                  <w:r>
                    <w:rPr>
                      <w:rFonts w:hint="eastAsia" w:cs="Times New Roman"/>
                      <w:color w:val="auto"/>
                      <w:sz w:val="21"/>
                      <w:szCs w:val="21"/>
                      <w:lang w:val="en-US" w:eastAsia="zh-CN"/>
                    </w:rPr>
                    <w:t>）：</w:t>
                  </w:r>
                </w:p>
                <w:p w14:paraId="47746B4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1.368mmHg</w:t>
                  </w:r>
                </w:p>
              </w:tc>
              <w:tc>
                <w:tcPr>
                  <w:tcW w:w="598" w:type="pct"/>
                  <w:tcBorders>
                    <w:tl2br w:val="nil"/>
                    <w:tr2bl w:val="nil"/>
                  </w:tcBorders>
                  <w:shd w:val="clear" w:color="auto" w:fill="auto"/>
                  <w:vAlign w:val="center"/>
                </w:tcPr>
                <w:p w14:paraId="37CE492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易燃</w:t>
                  </w:r>
                </w:p>
              </w:tc>
              <w:tc>
                <w:tcPr>
                  <w:tcW w:w="1159" w:type="pct"/>
                  <w:tcBorders>
                    <w:tl2br w:val="nil"/>
                    <w:tr2bl w:val="nil"/>
                  </w:tcBorders>
                  <w:shd w:val="clear" w:color="auto" w:fill="auto"/>
                  <w:vAlign w:val="center"/>
                </w:tcPr>
                <w:p w14:paraId="2138EF3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LD50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2500 mg/kg</w:t>
                  </w:r>
                </w:p>
                <w:p w14:paraId="5E4BF48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（大鼠经口）</w:t>
                  </w:r>
                </w:p>
              </w:tc>
              <w:tc>
                <w:tcPr>
                  <w:tcW w:w="608" w:type="pct"/>
                  <w:tcBorders>
                    <w:tl2br w:val="nil"/>
                    <w:tr2bl w:val="nil"/>
                  </w:tcBorders>
                  <w:shd w:val="clear" w:color="auto" w:fill="auto"/>
                  <w:vAlign w:val="center"/>
                </w:tcPr>
                <w:p w14:paraId="669443B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是</w:t>
                  </w:r>
                </w:p>
              </w:tc>
            </w:tr>
            <w:tr w14:paraId="0CC88B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6B649EE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丙二醇苯醚</w:t>
                  </w:r>
                </w:p>
              </w:tc>
              <w:tc>
                <w:tcPr>
                  <w:tcW w:w="739" w:type="pct"/>
                  <w:tcBorders>
                    <w:tl2br w:val="nil"/>
                    <w:tr2bl w:val="nil"/>
                  </w:tcBorders>
                  <w:shd w:val="clear" w:color="auto" w:fill="auto"/>
                  <w:vAlign w:val="center"/>
                </w:tcPr>
                <w:p w14:paraId="71B0214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6180-61-6</w:t>
                  </w:r>
                </w:p>
              </w:tc>
              <w:tc>
                <w:tcPr>
                  <w:tcW w:w="1260" w:type="pct"/>
                  <w:tcBorders>
                    <w:tl2br w:val="nil"/>
                    <w:tr2bl w:val="nil"/>
                  </w:tcBorders>
                  <w:shd w:val="clear" w:color="auto" w:fill="auto"/>
                  <w:vAlign w:val="center"/>
                </w:tcPr>
                <w:p w14:paraId="6261CF6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分子量为152.190，相</w:t>
                  </w:r>
                </w:p>
                <w:p w14:paraId="1E3964C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对密度：1.1，沸点：</w:t>
                  </w:r>
                </w:p>
                <w:p w14:paraId="3D983A0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250.2℃</w:t>
                  </w:r>
                </w:p>
              </w:tc>
              <w:tc>
                <w:tcPr>
                  <w:tcW w:w="598" w:type="pct"/>
                  <w:tcBorders>
                    <w:tl2br w:val="nil"/>
                    <w:tr2bl w:val="nil"/>
                  </w:tcBorders>
                  <w:shd w:val="clear" w:color="auto" w:fill="auto"/>
                  <w:vAlign w:val="center"/>
                </w:tcPr>
                <w:p w14:paraId="05CF76B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9" w:type="pct"/>
                  <w:tcBorders>
                    <w:tl2br w:val="nil"/>
                    <w:tr2bl w:val="nil"/>
                  </w:tcBorders>
                  <w:shd w:val="clear" w:color="auto" w:fill="auto"/>
                  <w:vAlign w:val="center"/>
                </w:tcPr>
                <w:p w14:paraId="5928D7D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vAlign w:val="center"/>
                </w:tcPr>
                <w:p w14:paraId="550ED69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4754F6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3CE7762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丙二醇甲醚</w:t>
                  </w:r>
                </w:p>
              </w:tc>
              <w:tc>
                <w:tcPr>
                  <w:tcW w:w="739" w:type="pct"/>
                  <w:tcBorders>
                    <w:tl2br w:val="nil"/>
                    <w:tr2bl w:val="nil"/>
                  </w:tcBorders>
                  <w:shd w:val="clear" w:color="auto" w:fill="auto"/>
                  <w:vAlign w:val="center"/>
                </w:tcPr>
                <w:p w14:paraId="02150C9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107-98-2</w:t>
                  </w:r>
                </w:p>
              </w:tc>
              <w:tc>
                <w:tcPr>
                  <w:tcW w:w="1260" w:type="pct"/>
                  <w:tcBorders>
                    <w:tl2br w:val="nil"/>
                    <w:tr2bl w:val="nil"/>
                  </w:tcBorders>
                  <w:shd w:val="clear" w:color="auto" w:fill="auto"/>
                  <w:vAlign w:val="center"/>
                </w:tcPr>
                <w:p w14:paraId="22A5078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无色透明液体，有微弱醚味</w:t>
                  </w:r>
                  <w:r>
                    <w:rPr>
                      <w:rFonts w:hint="eastAsia" w:cs="Times New Roman"/>
                      <w:color w:val="auto"/>
                      <w:sz w:val="21"/>
                      <w:szCs w:val="21"/>
                      <w:lang w:val="en-US" w:eastAsia="zh-CN"/>
                    </w:rPr>
                    <w:t>，</w:t>
                  </w:r>
                </w:p>
                <w:p w14:paraId="33FAC0E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分子量：90.12g/mol</w:t>
                  </w:r>
                </w:p>
                <w:p w14:paraId="6A33015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沸点：118-120°C</w:t>
                  </w:r>
                </w:p>
                <w:p w14:paraId="7EF494C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c>
                <w:tcPr>
                  <w:tcW w:w="598" w:type="pct"/>
                  <w:tcBorders>
                    <w:tl2br w:val="nil"/>
                    <w:tr2bl w:val="nil"/>
                  </w:tcBorders>
                  <w:shd w:val="clear" w:color="auto" w:fill="auto"/>
                  <w:vAlign w:val="center"/>
                </w:tcPr>
                <w:p w14:paraId="0F0445E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易燃</w:t>
                  </w:r>
                </w:p>
              </w:tc>
              <w:tc>
                <w:tcPr>
                  <w:tcW w:w="1159" w:type="pct"/>
                  <w:tcBorders>
                    <w:tl2br w:val="nil"/>
                    <w:tr2bl w:val="nil"/>
                  </w:tcBorders>
                  <w:shd w:val="clear" w:color="auto" w:fill="auto"/>
                  <w:vAlign w:val="center"/>
                </w:tcPr>
                <w:p w14:paraId="6F89435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p w14:paraId="22B9CD8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大鼠经口LD₅₀：6,040 mg/kg（低毒）</w:t>
                  </w:r>
                </w:p>
                <w:p w14:paraId="73B7A0B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大鼠经皮LD₅₀：12900 mg/kg</w:t>
                  </w:r>
                </w:p>
                <w:p w14:paraId="64FC7DB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p>
              </w:tc>
              <w:tc>
                <w:tcPr>
                  <w:tcW w:w="608" w:type="pct"/>
                  <w:tcBorders>
                    <w:tl2br w:val="nil"/>
                    <w:tr2bl w:val="nil"/>
                  </w:tcBorders>
                  <w:vAlign w:val="center"/>
                </w:tcPr>
                <w:p w14:paraId="4997E01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1E5138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50F70D8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乙二醇丁醚</w:t>
                  </w:r>
                </w:p>
              </w:tc>
              <w:tc>
                <w:tcPr>
                  <w:tcW w:w="739" w:type="pct"/>
                  <w:tcBorders>
                    <w:tl2br w:val="nil"/>
                    <w:tr2bl w:val="nil"/>
                  </w:tcBorders>
                  <w:shd w:val="clear" w:color="auto" w:fill="auto"/>
                  <w:vAlign w:val="center"/>
                </w:tcPr>
                <w:p w14:paraId="63185F5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111-76-2</w:t>
                  </w:r>
                </w:p>
              </w:tc>
              <w:tc>
                <w:tcPr>
                  <w:tcW w:w="1260" w:type="pct"/>
                  <w:tcBorders>
                    <w:tl2br w:val="nil"/>
                    <w:tr2bl w:val="nil"/>
                  </w:tcBorders>
                  <w:shd w:val="clear" w:color="auto" w:fill="auto"/>
                  <w:vAlign w:val="center"/>
                </w:tcPr>
                <w:p w14:paraId="30DDD44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无色液体</w:t>
                  </w:r>
                  <w:r>
                    <w:rPr>
                      <w:rFonts w:hint="eastAsia" w:cs="Times New Roman"/>
                      <w:color w:val="auto"/>
                      <w:sz w:val="21"/>
                      <w:szCs w:val="21"/>
                      <w:lang w:val="en-US" w:eastAsia="zh-CN"/>
                    </w:rPr>
                    <w:t>，分子量：118.17，闪点：60-71°C （闭口杯），74°C （开口杯）</w:t>
                  </w:r>
                </w:p>
              </w:tc>
              <w:tc>
                <w:tcPr>
                  <w:tcW w:w="598" w:type="pct"/>
                  <w:tcBorders>
                    <w:tl2br w:val="nil"/>
                    <w:tr2bl w:val="nil"/>
                  </w:tcBorders>
                  <w:shd w:val="clear" w:color="auto" w:fill="auto"/>
                  <w:vAlign w:val="center"/>
                </w:tcPr>
                <w:p w14:paraId="05E1788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可燃</w:t>
                  </w:r>
                </w:p>
              </w:tc>
              <w:tc>
                <w:tcPr>
                  <w:tcW w:w="1159" w:type="pct"/>
                  <w:tcBorders>
                    <w:tl2br w:val="nil"/>
                    <w:tr2bl w:val="nil"/>
                  </w:tcBorders>
                  <w:shd w:val="clear" w:color="auto" w:fill="auto"/>
                  <w:vAlign w:val="center"/>
                </w:tcPr>
                <w:p w14:paraId="5BAB976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大鼠经口LD₅₀：470-2500 mg/kg</w:t>
                  </w:r>
                </w:p>
                <w:p w14:paraId="470765A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小鼠经口LD₅₀：1200 mg/kg</w:t>
                  </w:r>
                </w:p>
              </w:tc>
              <w:tc>
                <w:tcPr>
                  <w:tcW w:w="608" w:type="pct"/>
                  <w:tcBorders>
                    <w:tl2br w:val="nil"/>
                    <w:tr2bl w:val="nil"/>
                  </w:tcBorders>
                  <w:vAlign w:val="center"/>
                </w:tcPr>
                <w:p w14:paraId="78395D1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1DFF7E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05E1CBB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二甲基乙醇胺</w:t>
                  </w:r>
                </w:p>
              </w:tc>
              <w:tc>
                <w:tcPr>
                  <w:tcW w:w="739" w:type="pct"/>
                  <w:tcBorders>
                    <w:tl2br w:val="nil"/>
                    <w:tr2bl w:val="nil"/>
                  </w:tcBorders>
                  <w:shd w:val="clear" w:color="auto" w:fill="auto"/>
                  <w:vAlign w:val="center"/>
                </w:tcPr>
                <w:p w14:paraId="6F1497F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108-01-0</w:t>
                  </w:r>
                </w:p>
              </w:tc>
              <w:tc>
                <w:tcPr>
                  <w:tcW w:w="1260" w:type="pct"/>
                  <w:tcBorders>
                    <w:tl2br w:val="nil"/>
                    <w:tr2bl w:val="nil"/>
                  </w:tcBorders>
                  <w:shd w:val="clear" w:color="auto" w:fill="auto"/>
                  <w:vAlign w:val="center"/>
                </w:tcPr>
                <w:p w14:paraId="12F2568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无色或微黄色液体</w:t>
                  </w:r>
                  <w:r>
                    <w:rPr>
                      <w:rFonts w:hint="eastAsia" w:cs="Times New Roman"/>
                      <w:color w:val="auto"/>
                      <w:sz w:val="21"/>
                      <w:szCs w:val="21"/>
                      <w:lang w:val="en-US" w:eastAsia="zh-CN"/>
                    </w:rPr>
                    <w:t>，分子量：89.14，相对密度：0.886-0.89 g/mL (20°C)</w:t>
                  </w:r>
                </w:p>
              </w:tc>
              <w:tc>
                <w:tcPr>
                  <w:tcW w:w="598" w:type="pct"/>
                  <w:tcBorders>
                    <w:tl2br w:val="nil"/>
                    <w:tr2bl w:val="nil"/>
                  </w:tcBorders>
                  <w:shd w:val="clear" w:color="auto" w:fill="auto"/>
                  <w:vAlign w:val="center"/>
                </w:tcPr>
                <w:p w14:paraId="2C482D0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易燃</w:t>
                  </w:r>
                </w:p>
              </w:tc>
              <w:tc>
                <w:tcPr>
                  <w:tcW w:w="1159" w:type="pct"/>
                  <w:tcBorders>
                    <w:tl2br w:val="nil"/>
                    <w:tr2bl w:val="nil"/>
                  </w:tcBorders>
                  <w:shd w:val="clear" w:color="auto" w:fill="auto"/>
                  <w:vAlign w:val="center"/>
                </w:tcPr>
                <w:p w14:paraId="648CD2FC">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大鼠经口LD₅₀：2000-2340mg/kg</w:t>
                  </w:r>
                </w:p>
              </w:tc>
              <w:tc>
                <w:tcPr>
                  <w:tcW w:w="608" w:type="pct"/>
                  <w:tcBorders>
                    <w:tl2br w:val="nil"/>
                    <w:tr2bl w:val="nil"/>
                  </w:tcBorders>
                  <w:vAlign w:val="center"/>
                </w:tcPr>
                <w:p w14:paraId="0919A93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717CD0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3796898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环氧酯树脂</w:t>
                  </w:r>
                </w:p>
              </w:tc>
              <w:tc>
                <w:tcPr>
                  <w:tcW w:w="739" w:type="pct"/>
                  <w:tcBorders>
                    <w:tl2br w:val="nil"/>
                    <w:tr2bl w:val="nil"/>
                  </w:tcBorders>
                  <w:shd w:val="clear" w:color="auto" w:fill="auto"/>
                  <w:vAlign w:val="center"/>
                </w:tcPr>
                <w:p w14:paraId="6C01EE8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38891-59-7</w:t>
                  </w:r>
                </w:p>
              </w:tc>
              <w:tc>
                <w:tcPr>
                  <w:tcW w:w="1260" w:type="pct"/>
                  <w:tcBorders>
                    <w:tl2br w:val="nil"/>
                    <w:tr2bl w:val="nil"/>
                  </w:tcBorders>
                  <w:shd w:val="clear" w:color="auto" w:fill="auto"/>
                  <w:vAlign w:val="center"/>
                </w:tcPr>
                <w:p w14:paraId="3524C8C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黏稠</w:t>
                  </w:r>
                  <w:r>
                    <w:rPr>
                      <w:rFonts w:hint="eastAsia" w:ascii="Times New Roman" w:hAnsi="Times New Roman" w:eastAsia="宋体" w:cs="Times New Roman"/>
                      <w:color w:val="auto"/>
                      <w:sz w:val="21"/>
                      <w:szCs w:val="21"/>
                      <w:lang w:val="en-US" w:eastAsia="zh-CN"/>
                    </w:rPr>
                    <w:t>液体</w:t>
                  </w:r>
                  <w:r>
                    <w:rPr>
                      <w:rFonts w:hint="eastAsia" w:cs="Times New Roman"/>
                      <w:color w:val="auto"/>
                      <w:sz w:val="21"/>
                      <w:szCs w:val="21"/>
                      <w:lang w:val="en-US" w:eastAsia="zh-CN"/>
                    </w:rPr>
                    <w:t>，密度</w:t>
                  </w:r>
                  <w:r>
                    <w:rPr>
                      <w:rFonts w:hint="eastAsia" w:cs="Times New Roman"/>
                      <w:color w:val="auto"/>
                      <w:sz w:val="21"/>
                      <w:szCs w:val="21"/>
                      <w:lang w:val="en-US" w:eastAsia="zh-CN"/>
                    </w:rPr>
                    <w:tab/>
                  </w:r>
                  <w:r>
                    <w:rPr>
                      <w:rFonts w:hint="eastAsia" w:cs="Times New Roman"/>
                      <w:color w:val="auto"/>
                      <w:sz w:val="21"/>
                      <w:szCs w:val="21"/>
                      <w:lang w:val="en-US" w:eastAsia="zh-CN"/>
                    </w:rPr>
                    <w:t>1.0-1.2 g/cm³</w:t>
                  </w:r>
                </w:p>
              </w:tc>
              <w:tc>
                <w:tcPr>
                  <w:tcW w:w="598" w:type="pct"/>
                  <w:tcBorders>
                    <w:tl2br w:val="nil"/>
                    <w:tr2bl w:val="nil"/>
                  </w:tcBorders>
                  <w:shd w:val="clear" w:color="auto" w:fill="auto"/>
                  <w:vAlign w:val="center"/>
                </w:tcPr>
                <w:p w14:paraId="042D833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可燃</w:t>
                  </w:r>
                </w:p>
              </w:tc>
              <w:tc>
                <w:tcPr>
                  <w:tcW w:w="1159" w:type="pct"/>
                  <w:tcBorders>
                    <w:tl2br w:val="nil"/>
                    <w:tr2bl w:val="nil"/>
                  </w:tcBorders>
                  <w:shd w:val="clear" w:color="auto" w:fill="auto"/>
                  <w:vAlign w:val="center"/>
                </w:tcPr>
                <w:p w14:paraId="1FC0C9F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vAlign w:val="center"/>
                </w:tcPr>
                <w:p w14:paraId="74CE68A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71F5F1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34E124E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天然气</w:t>
                  </w:r>
                </w:p>
              </w:tc>
              <w:tc>
                <w:tcPr>
                  <w:tcW w:w="739" w:type="pct"/>
                  <w:tcBorders>
                    <w:tl2br w:val="nil"/>
                    <w:tr2bl w:val="nil"/>
                  </w:tcBorders>
                  <w:shd w:val="clear" w:color="auto" w:fill="auto"/>
                  <w:vAlign w:val="center"/>
                </w:tcPr>
                <w:p w14:paraId="0F588AB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8006-14-2</w:t>
                  </w:r>
                </w:p>
              </w:tc>
              <w:tc>
                <w:tcPr>
                  <w:tcW w:w="1260" w:type="pct"/>
                  <w:tcBorders>
                    <w:tl2br w:val="nil"/>
                    <w:tr2bl w:val="nil"/>
                  </w:tcBorders>
                  <w:shd w:val="clear" w:color="auto" w:fill="auto"/>
                  <w:vAlign w:val="center"/>
                </w:tcPr>
                <w:p w14:paraId="685717C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无色气体。不溶于水，密度：0.7174kg/m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p w14:paraId="172FBF2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相对密度（水）：0.45（液化）燃点</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w:t>
                  </w:r>
                </w:p>
                <w:p w14:paraId="653A313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650，爆炸极限（V%）：</w:t>
                  </w:r>
                </w:p>
                <w:p w14:paraId="531986C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5-15</w:t>
                  </w:r>
                </w:p>
              </w:tc>
              <w:tc>
                <w:tcPr>
                  <w:tcW w:w="598" w:type="pct"/>
                  <w:tcBorders>
                    <w:tl2br w:val="nil"/>
                    <w:tr2bl w:val="nil"/>
                  </w:tcBorders>
                  <w:shd w:val="clear" w:color="auto" w:fill="auto"/>
                  <w:vAlign w:val="center"/>
                </w:tcPr>
                <w:p w14:paraId="498EF2B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易燃</w:t>
                  </w:r>
                </w:p>
              </w:tc>
              <w:tc>
                <w:tcPr>
                  <w:tcW w:w="1159" w:type="pct"/>
                  <w:tcBorders>
                    <w:tl2br w:val="nil"/>
                    <w:tr2bl w:val="nil"/>
                  </w:tcBorders>
                  <w:shd w:val="clear" w:color="auto" w:fill="auto"/>
                  <w:vAlign w:val="center"/>
                </w:tcPr>
                <w:p w14:paraId="7B96681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vAlign w:val="center"/>
                </w:tcPr>
                <w:p w14:paraId="3542629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7D635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4C4BED3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聚合氯化铝</w:t>
                  </w:r>
                </w:p>
              </w:tc>
              <w:tc>
                <w:tcPr>
                  <w:tcW w:w="739" w:type="pct"/>
                  <w:tcBorders>
                    <w:tl2br w:val="nil"/>
                    <w:tr2bl w:val="nil"/>
                  </w:tcBorders>
                  <w:shd w:val="clear" w:color="auto" w:fill="auto"/>
                  <w:vAlign w:val="center"/>
                </w:tcPr>
                <w:p w14:paraId="2EB8902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1327-41-9</w:t>
                  </w:r>
                </w:p>
              </w:tc>
              <w:tc>
                <w:tcPr>
                  <w:tcW w:w="1260" w:type="pct"/>
                  <w:tcBorders>
                    <w:tl2br w:val="nil"/>
                    <w:tr2bl w:val="nil"/>
                  </w:tcBorders>
                  <w:shd w:val="clear" w:color="auto" w:fill="auto"/>
                  <w:vAlign w:val="center"/>
                </w:tcPr>
                <w:p w14:paraId="6CFDADE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黄色或灰色固体。熔点：190℃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易溶于水</w:t>
                  </w:r>
                </w:p>
              </w:tc>
              <w:tc>
                <w:tcPr>
                  <w:tcW w:w="598" w:type="pct"/>
                  <w:tcBorders>
                    <w:tl2br w:val="nil"/>
                    <w:tr2bl w:val="nil"/>
                  </w:tcBorders>
                  <w:shd w:val="clear" w:color="auto" w:fill="auto"/>
                  <w:vAlign w:val="center"/>
                </w:tcPr>
                <w:p w14:paraId="6960E8B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1159" w:type="pct"/>
                  <w:tcBorders>
                    <w:tl2br w:val="nil"/>
                    <w:tr2bl w:val="nil"/>
                  </w:tcBorders>
                  <w:shd w:val="clear" w:color="auto" w:fill="auto"/>
                  <w:vAlign w:val="center"/>
                </w:tcPr>
                <w:p w14:paraId="372B0B7A">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vAlign w:val="center"/>
                </w:tcPr>
                <w:p w14:paraId="27D68AF4">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5738C0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642CFDC5">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聚丙烯酰胺</w:t>
                  </w:r>
                </w:p>
              </w:tc>
              <w:tc>
                <w:tcPr>
                  <w:tcW w:w="739" w:type="pct"/>
                  <w:tcBorders>
                    <w:tl2br w:val="nil"/>
                    <w:tr2bl w:val="nil"/>
                  </w:tcBorders>
                  <w:shd w:val="clear" w:color="auto" w:fill="auto"/>
                  <w:vAlign w:val="center"/>
                </w:tcPr>
                <w:p w14:paraId="70509D1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9003-05-8</w:t>
                  </w:r>
                </w:p>
              </w:tc>
              <w:tc>
                <w:tcPr>
                  <w:tcW w:w="1260" w:type="pct"/>
                  <w:tcBorders>
                    <w:tl2br w:val="nil"/>
                    <w:tr2bl w:val="nil"/>
                  </w:tcBorders>
                  <w:shd w:val="clear" w:color="auto" w:fill="auto"/>
                  <w:vAlign w:val="center"/>
                </w:tcPr>
                <w:p w14:paraId="670B76D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常温下为坚硬的玻璃态固体。密度：1.302g/cm³(23℃</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，易溶于水</w:t>
                  </w:r>
                </w:p>
              </w:tc>
              <w:tc>
                <w:tcPr>
                  <w:tcW w:w="598" w:type="pct"/>
                  <w:tcBorders>
                    <w:tl2br w:val="nil"/>
                    <w:tr2bl w:val="nil"/>
                  </w:tcBorders>
                  <w:shd w:val="clear" w:color="auto" w:fill="auto"/>
                  <w:vAlign w:val="center"/>
                </w:tcPr>
                <w:p w14:paraId="728B765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不燃</w:t>
                  </w:r>
                </w:p>
              </w:tc>
              <w:tc>
                <w:tcPr>
                  <w:tcW w:w="1159" w:type="pct"/>
                  <w:tcBorders>
                    <w:tl2br w:val="nil"/>
                    <w:tr2bl w:val="nil"/>
                  </w:tcBorders>
                  <w:shd w:val="clear" w:color="auto" w:fill="auto"/>
                  <w:vAlign w:val="center"/>
                </w:tcPr>
                <w:p w14:paraId="57997B0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vAlign w:val="center"/>
                </w:tcPr>
                <w:p w14:paraId="41D7947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否</w:t>
                  </w:r>
                </w:p>
              </w:tc>
            </w:tr>
            <w:tr w14:paraId="1C64B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1C0F91F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（热固性）</w:t>
                  </w:r>
                  <w:r>
                    <w:rPr>
                      <w:rFonts w:hint="eastAsia" w:cs="Times New Roman"/>
                      <w:color w:val="auto"/>
                      <w:sz w:val="21"/>
                      <w:szCs w:val="21"/>
                      <w:lang w:val="en-US" w:eastAsia="zh-CN"/>
                    </w:rPr>
                    <w:t>聚酯树脂</w:t>
                  </w:r>
                </w:p>
              </w:tc>
              <w:tc>
                <w:tcPr>
                  <w:tcW w:w="739" w:type="pct"/>
                  <w:tcBorders>
                    <w:tl2br w:val="nil"/>
                    <w:tr2bl w:val="nil"/>
                  </w:tcBorders>
                  <w:shd w:val="clear" w:color="auto" w:fill="auto"/>
                  <w:vAlign w:val="center"/>
                </w:tcPr>
                <w:p w14:paraId="048E0EE0">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40471-09-8</w:t>
                  </w:r>
                </w:p>
              </w:tc>
              <w:tc>
                <w:tcPr>
                  <w:tcW w:w="1260" w:type="pct"/>
                  <w:tcBorders>
                    <w:tl2br w:val="nil"/>
                    <w:tr2bl w:val="nil"/>
                  </w:tcBorders>
                  <w:shd w:val="clear" w:color="auto" w:fill="auto"/>
                  <w:vAlign w:val="center"/>
                </w:tcPr>
                <w:p w14:paraId="69E4AA2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白色或淡黄色片状固体</w:t>
                  </w:r>
                  <w:r>
                    <w:rPr>
                      <w:rFonts w:hint="eastAsia" w:cs="Times New Roman"/>
                      <w:color w:val="auto"/>
                      <w:sz w:val="21"/>
                      <w:szCs w:val="21"/>
                      <w:lang w:val="en-US" w:eastAsia="zh-CN"/>
                    </w:rPr>
                    <w:t>；密度1.2-1.51g/cm</w:t>
                  </w:r>
                  <w:r>
                    <w:rPr>
                      <w:rFonts w:hint="eastAsia" w:cs="Times New Roman"/>
                      <w:color w:val="auto"/>
                      <w:sz w:val="21"/>
                      <w:szCs w:val="21"/>
                      <w:vertAlign w:val="superscript"/>
                      <w:lang w:val="en-US" w:eastAsia="zh-CN"/>
                    </w:rPr>
                    <w:t>3</w:t>
                  </w:r>
                </w:p>
              </w:tc>
              <w:tc>
                <w:tcPr>
                  <w:tcW w:w="598" w:type="pct"/>
                  <w:tcBorders>
                    <w:tl2br w:val="nil"/>
                    <w:tr2bl w:val="nil"/>
                  </w:tcBorders>
                  <w:shd w:val="clear" w:color="auto" w:fill="auto"/>
                  <w:vAlign w:val="center"/>
                </w:tcPr>
                <w:p w14:paraId="4236114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可燃</w:t>
                  </w:r>
                </w:p>
              </w:tc>
              <w:tc>
                <w:tcPr>
                  <w:tcW w:w="1159" w:type="pct"/>
                  <w:tcBorders>
                    <w:tl2br w:val="nil"/>
                    <w:tr2bl w:val="nil"/>
                  </w:tcBorders>
                  <w:shd w:val="clear" w:color="auto" w:fill="auto"/>
                  <w:vAlign w:val="center"/>
                </w:tcPr>
                <w:p w14:paraId="1DCC1CB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shd w:val="clear" w:color="auto" w:fill="auto"/>
                  <w:vAlign w:val="center"/>
                </w:tcPr>
                <w:p w14:paraId="0F66298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否</w:t>
                  </w:r>
                </w:p>
              </w:tc>
            </w:tr>
            <w:tr w14:paraId="32C415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33" w:type="pct"/>
                  <w:tcBorders>
                    <w:tl2br w:val="nil"/>
                    <w:tr2bl w:val="nil"/>
                  </w:tcBorders>
                  <w:vAlign w:val="center"/>
                </w:tcPr>
                <w:p w14:paraId="1AA9FC8E">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钛白粉</w:t>
                  </w:r>
                </w:p>
              </w:tc>
              <w:tc>
                <w:tcPr>
                  <w:tcW w:w="739" w:type="pct"/>
                  <w:tcBorders>
                    <w:tl2br w:val="nil"/>
                    <w:tr2bl w:val="nil"/>
                  </w:tcBorders>
                  <w:shd w:val="clear" w:color="auto" w:fill="auto"/>
                  <w:vAlign w:val="center"/>
                </w:tcPr>
                <w:p w14:paraId="24E4926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13463-67-7</w:t>
                  </w:r>
                </w:p>
              </w:tc>
              <w:tc>
                <w:tcPr>
                  <w:tcW w:w="1260" w:type="pct"/>
                  <w:tcBorders>
                    <w:tl2br w:val="nil"/>
                    <w:tr2bl w:val="nil"/>
                  </w:tcBorders>
                  <w:shd w:val="clear" w:color="auto" w:fill="auto"/>
                  <w:vAlign w:val="center"/>
                </w:tcPr>
                <w:p w14:paraId="074CD89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白色粉末，无味、无臭</w:t>
                  </w:r>
                  <w:r>
                    <w:rPr>
                      <w:rFonts w:hint="eastAsia" w:cs="Times New Roman"/>
                      <w:color w:val="auto"/>
                      <w:sz w:val="21"/>
                      <w:szCs w:val="21"/>
                      <w:lang w:val="en-US" w:eastAsia="zh-CN"/>
                    </w:rPr>
                    <w:t>，密度3.84-4.26g/cm</w:t>
                  </w:r>
                  <w:r>
                    <w:rPr>
                      <w:rFonts w:hint="eastAsia" w:cs="Times New Roman"/>
                      <w:color w:val="auto"/>
                      <w:sz w:val="21"/>
                      <w:szCs w:val="21"/>
                      <w:vertAlign w:val="superscript"/>
                      <w:lang w:val="en-US" w:eastAsia="zh-CN"/>
                    </w:rPr>
                    <w:t>3</w:t>
                  </w:r>
                </w:p>
              </w:tc>
              <w:tc>
                <w:tcPr>
                  <w:tcW w:w="598" w:type="pct"/>
                  <w:tcBorders>
                    <w:tl2br w:val="nil"/>
                    <w:tr2bl w:val="nil"/>
                  </w:tcBorders>
                  <w:shd w:val="clear" w:color="auto" w:fill="auto"/>
                  <w:vAlign w:val="center"/>
                </w:tcPr>
                <w:p w14:paraId="2FE10348">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不燃</w:t>
                  </w:r>
                </w:p>
              </w:tc>
              <w:tc>
                <w:tcPr>
                  <w:tcW w:w="1159" w:type="pct"/>
                  <w:tcBorders>
                    <w:tl2br w:val="nil"/>
                    <w:tr2bl w:val="nil"/>
                  </w:tcBorders>
                  <w:shd w:val="clear" w:color="auto" w:fill="auto"/>
                  <w:vAlign w:val="center"/>
                </w:tcPr>
                <w:p w14:paraId="7583B917">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608" w:type="pct"/>
                  <w:tcBorders>
                    <w:tl2br w:val="nil"/>
                    <w:tr2bl w:val="nil"/>
                  </w:tcBorders>
                  <w:shd w:val="clear" w:color="auto" w:fill="auto"/>
                  <w:vAlign w:val="center"/>
                </w:tcPr>
                <w:p w14:paraId="2D0E926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否</w:t>
                  </w:r>
                </w:p>
              </w:tc>
            </w:tr>
          </w:tbl>
          <w:p w14:paraId="12338317">
            <w:pPr>
              <w:rPr>
                <w:rFonts w:hint="eastAsia"/>
                <w:color w:val="auto"/>
              </w:rPr>
            </w:pPr>
          </w:p>
          <w:p w14:paraId="131AF321">
            <w:pPr>
              <w:pStyle w:val="115"/>
              <w:numPr>
                <w:ilvl w:val="0"/>
                <w:numId w:val="8"/>
              </w:numPr>
              <w:spacing w:before="4" w:line="359" w:lineRule="exact"/>
              <w:ind w:left="601"/>
              <w:outlineLvl w:val="1"/>
              <w:rPr>
                <w:color w:val="auto"/>
                <w:spacing w:val="3"/>
                <w:position w:val="2"/>
                <w:sz w:val="24"/>
                <w:szCs w:val="24"/>
              </w:rPr>
            </w:pPr>
            <w:r>
              <w:rPr>
                <w:color w:val="auto"/>
                <w:spacing w:val="3"/>
                <w:position w:val="2"/>
                <w:sz w:val="24"/>
                <w:szCs w:val="24"/>
              </w:rPr>
              <w:t>原辅材料中</w:t>
            </w:r>
            <w:r>
              <w:rPr>
                <w:rFonts w:ascii="Times New Roman" w:hAnsi="Times New Roman" w:eastAsia="Times New Roman" w:cs="Times New Roman"/>
                <w:color w:val="auto"/>
                <w:position w:val="2"/>
                <w:sz w:val="24"/>
                <w:szCs w:val="24"/>
              </w:rPr>
              <w:t>VOCs</w:t>
            </w:r>
            <w:r>
              <w:rPr>
                <w:color w:val="auto"/>
                <w:spacing w:val="3"/>
                <w:position w:val="2"/>
                <w:sz w:val="24"/>
                <w:szCs w:val="24"/>
              </w:rPr>
              <w:t>含量分析</w:t>
            </w:r>
          </w:p>
          <w:p w14:paraId="4542E5AB">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color w:val="auto"/>
                <w:spacing w:val="-1"/>
                <w:sz w:val="24"/>
                <w:szCs w:val="24"/>
              </w:rPr>
              <w:t>①原辅材料用量核算</w:t>
            </w:r>
          </w:p>
          <w:p w14:paraId="48F0CC55">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Times New Roman" w:hAnsi="Times New Roman" w:eastAsia="宋体"/>
                <w:color w:val="auto"/>
                <w:spacing w:val="-5"/>
                <w:sz w:val="24"/>
                <w:szCs w:val="24"/>
              </w:rPr>
            </w:pPr>
            <w:r>
              <w:rPr>
                <w:rFonts w:ascii="Times New Roman" w:hAnsi="Times New Roman" w:eastAsia="宋体"/>
                <w:color w:val="auto"/>
                <w:spacing w:val="-2"/>
                <w:sz w:val="24"/>
                <w:szCs w:val="24"/>
              </w:rPr>
              <w:t>根据项目电泳方案，电泳漆每层厚度约为</w:t>
            </w:r>
            <w:r>
              <w:rPr>
                <w:rFonts w:ascii="Times New Roman" w:hAnsi="Times New Roman" w:eastAsia="宋体" w:cs="Times New Roman"/>
                <w:color w:val="auto"/>
                <w:spacing w:val="-2"/>
                <w:sz w:val="24"/>
                <w:szCs w:val="24"/>
              </w:rPr>
              <w:t>20μm</w:t>
            </w:r>
            <w:r>
              <w:rPr>
                <w:rFonts w:ascii="Times New Roman" w:hAnsi="Times New Roman" w:eastAsia="宋体"/>
                <w:color w:val="auto"/>
                <w:spacing w:val="-2"/>
                <w:sz w:val="24"/>
                <w:szCs w:val="24"/>
              </w:rPr>
              <w:t>，链速为</w:t>
            </w:r>
            <w:r>
              <w:rPr>
                <w:rFonts w:ascii="Times New Roman" w:hAnsi="Times New Roman" w:eastAsia="宋体" w:cs="Times New Roman"/>
                <w:color w:val="auto"/>
                <w:spacing w:val="-2"/>
                <w:sz w:val="24"/>
                <w:szCs w:val="24"/>
              </w:rPr>
              <w:t>3m/min</w:t>
            </w:r>
            <w:r>
              <w:rPr>
                <w:rFonts w:ascii="Times New Roman" w:hAnsi="Times New Roman" w:eastAsia="宋体"/>
                <w:color w:val="auto"/>
                <w:spacing w:val="-2"/>
                <w:sz w:val="24"/>
                <w:szCs w:val="24"/>
              </w:rPr>
              <w:t>，电泳面积为</w:t>
            </w:r>
            <w:r>
              <w:rPr>
                <w:rFonts w:hint="eastAsia" w:ascii="Times New Roman" w:hAnsi="Times New Roman" w:eastAsia="宋体" w:cs="Times New Roman"/>
                <w:color w:val="auto"/>
                <w:spacing w:val="-2"/>
                <w:sz w:val="24"/>
                <w:szCs w:val="24"/>
                <w:lang w:val="en-US" w:eastAsia="zh-CN"/>
              </w:rPr>
              <w:t>3.3</w:t>
            </w:r>
            <w:r>
              <w:rPr>
                <w:rFonts w:ascii="Times New Roman" w:hAnsi="Times New Roman" w:eastAsia="宋体" w:cs="Times New Roman"/>
                <w:color w:val="auto"/>
                <w:spacing w:val="-2"/>
                <w:sz w:val="24"/>
                <w:szCs w:val="24"/>
              </w:rPr>
              <w:t>m</w:t>
            </w:r>
            <w:r>
              <w:rPr>
                <w:rFonts w:ascii="Times New Roman" w:hAnsi="Times New Roman" w:eastAsia="宋体" w:cs="Times New Roman"/>
                <w:color w:val="auto"/>
                <w:spacing w:val="-2"/>
                <w:position w:val="8"/>
                <w:sz w:val="15"/>
                <w:szCs w:val="15"/>
              </w:rPr>
              <w:t>2</w:t>
            </w:r>
            <w:r>
              <w:rPr>
                <w:rFonts w:ascii="Times New Roman" w:hAnsi="Times New Roman" w:eastAsia="宋体" w:cs="Times New Roman"/>
                <w:color w:val="auto"/>
                <w:spacing w:val="-2"/>
                <w:sz w:val="24"/>
                <w:szCs w:val="24"/>
              </w:rPr>
              <w:t>/</w:t>
            </w:r>
            <w:r>
              <w:rPr>
                <w:rFonts w:ascii="Times New Roman" w:hAnsi="Times New Roman" w:eastAsia="宋体"/>
                <w:color w:val="auto"/>
                <w:spacing w:val="-2"/>
                <w:sz w:val="24"/>
                <w:szCs w:val="24"/>
              </w:rPr>
              <w:t>套，</w:t>
            </w:r>
            <w:r>
              <w:rPr>
                <w:rFonts w:hint="eastAsia" w:ascii="Times New Roman" w:hAnsi="Times New Roman" w:eastAsia="宋体"/>
                <w:color w:val="auto"/>
                <w:spacing w:val="-2"/>
                <w:sz w:val="24"/>
                <w:szCs w:val="24"/>
                <w:lang w:val="en-US" w:eastAsia="zh-CN"/>
              </w:rPr>
              <w:t>本项目设计年加工</w:t>
            </w:r>
            <w:r>
              <w:rPr>
                <w:rFonts w:hint="eastAsia" w:ascii="Times New Roman" w:hAnsi="Times New Roman" w:eastAsia="宋体" w:cs="Times New Roman"/>
                <w:color w:val="auto"/>
                <w:spacing w:val="-2"/>
                <w:sz w:val="24"/>
                <w:szCs w:val="24"/>
                <w:lang w:val="en-US" w:eastAsia="zh-CN"/>
              </w:rPr>
              <w:t>12万套</w:t>
            </w:r>
            <w:r>
              <w:rPr>
                <w:rFonts w:hint="eastAsia" w:ascii="Times New Roman" w:hAnsi="Times New Roman" w:eastAsia="宋体"/>
                <w:color w:val="auto"/>
                <w:spacing w:val="-2"/>
                <w:sz w:val="24"/>
                <w:szCs w:val="24"/>
                <w:lang w:val="en-US" w:eastAsia="zh-CN"/>
              </w:rPr>
              <w:t>汽车座椅骨架生产规模</w:t>
            </w:r>
            <w:r>
              <w:rPr>
                <w:rFonts w:hint="eastAsia" w:ascii="Times New Roman" w:hAnsi="Times New Roman" w:eastAsia="宋体"/>
                <w:color w:val="auto"/>
                <w:spacing w:val="-2"/>
                <w:sz w:val="24"/>
                <w:szCs w:val="24"/>
                <w:lang w:eastAsia="zh-CN"/>
              </w:rPr>
              <w:t>，</w:t>
            </w:r>
            <w:r>
              <w:rPr>
                <w:rFonts w:hint="eastAsia" w:ascii="Times New Roman" w:hAnsi="Times New Roman" w:eastAsia="宋体"/>
                <w:color w:val="auto"/>
                <w:spacing w:val="-2"/>
                <w:sz w:val="24"/>
                <w:szCs w:val="24"/>
                <w:lang w:val="en-US" w:eastAsia="zh-CN"/>
              </w:rPr>
              <w:t>设需电泳</w:t>
            </w:r>
            <w:r>
              <w:rPr>
                <w:rFonts w:ascii="Times New Roman" w:hAnsi="Times New Roman" w:eastAsia="宋体"/>
                <w:color w:val="auto"/>
                <w:spacing w:val="-2"/>
                <w:sz w:val="24"/>
                <w:szCs w:val="24"/>
              </w:rPr>
              <w:t>产品为</w:t>
            </w:r>
            <w:r>
              <w:rPr>
                <w:rFonts w:hint="eastAsia" w:ascii="Times New Roman" w:hAnsi="Times New Roman" w:eastAsia="宋体" w:cs="Times New Roman"/>
                <w:color w:val="auto"/>
                <w:spacing w:val="-2"/>
                <w:sz w:val="24"/>
                <w:szCs w:val="24"/>
                <w:lang w:val="en-US" w:eastAsia="zh-CN"/>
              </w:rPr>
              <w:t>9</w:t>
            </w:r>
            <w:r>
              <w:rPr>
                <w:rFonts w:ascii="Times New Roman" w:hAnsi="Times New Roman" w:eastAsia="宋体"/>
                <w:color w:val="auto"/>
                <w:spacing w:val="-2"/>
                <w:sz w:val="24"/>
                <w:szCs w:val="24"/>
              </w:rPr>
              <w:t>万套</w:t>
            </w:r>
            <w:r>
              <w:rPr>
                <w:rFonts w:ascii="Times New Roman" w:hAnsi="Times New Roman" w:eastAsia="宋体" w:cs="Times New Roman"/>
                <w:color w:val="auto"/>
                <w:spacing w:val="-2"/>
                <w:sz w:val="24"/>
                <w:szCs w:val="24"/>
              </w:rPr>
              <w:t>/a</w:t>
            </w:r>
            <w:r>
              <w:rPr>
                <w:rFonts w:ascii="Times New Roman" w:hAnsi="Times New Roman" w:eastAsia="宋体"/>
                <w:color w:val="auto"/>
                <w:spacing w:val="-2"/>
                <w:sz w:val="24"/>
                <w:szCs w:val="24"/>
              </w:rPr>
              <w:t>，</w:t>
            </w:r>
            <w:r>
              <w:rPr>
                <w:rFonts w:ascii="Times New Roman" w:hAnsi="Times New Roman" w:eastAsia="宋体"/>
                <w:color w:val="auto"/>
                <w:spacing w:val="-3"/>
                <w:sz w:val="24"/>
                <w:szCs w:val="24"/>
              </w:rPr>
              <w:t>电泳漆调配工艺为乳液：黑浆：</w:t>
            </w:r>
            <w:r>
              <w:rPr>
                <w:rFonts w:ascii="Times New Roman" w:hAnsi="Times New Roman" w:eastAsia="宋体"/>
                <w:color w:val="auto"/>
                <w:spacing w:val="-5"/>
                <w:sz w:val="24"/>
                <w:szCs w:val="24"/>
              </w:rPr>
              <w:t>助剂：中和剂</w:t>
            </w:r>
            <w:r>
              <w:rPr>
                <w:rFonts w:ascii="Times New Roman" w:hAnsi="Times New Roman" w:eastAsia="宋体" w:cs="Times New Roman"/>
                <w:color w:val="auto"/>
                <w:spacing w:val="-5"/>
                <w:sz w:val="24"/>
                <w:szCs w:val="24"/>
              </w:rPr>
              <w:t>=112.5</w:t>
            </w:r>
            <w:r>
              <w:rPr>
                <w:rFonts w:hint="eastAsia" w:ascii="Times New Roman" w:hAnsi="Times New Roman" w:cs="Times New Roman"/>
                <w:color w:val="auto"/>
                <w:spacing w:val="-5"/>
                <w:sz w:val="24"/>
                <w:szCs w:val="24"/>
                <w:lang w:eastAsia="zh-CN"/>
              </w:rPr>
              <w:t>:</w:t>
            </w:r>
            <w:r>
              <w:rPr>
                <w:rFonts w:ascii="Times New Roman" w:hAnsi="Times New Roman" w:eastAsia="宋体" w:cs="Times New Roman"/>
                <w:color w:val="auto"/>
                <w:spacing w:val="-5"/>
                <w:sz w:val="24"/>
                <w:szCs w:val="24"/>
              </w:rPr>
              <w:t>17.5</w:t>
            </w:r>
            <w:r>
              <w:rPr>
                <w:rFonts w:hint="eastAsia" w:ascii="Times New Roman" w:hAnsi="Times New Roman" w:cs="Times New Roman"/>
                <w:color w:val="auto"/>
                <w:spacing w:val="-5"/>
                <w:sz w:val="24"/>
                <w:szCs w:val="24"/>
                <w:lang w:eastAsia="zh-CN"/>
              </w:rPr>
              <w:t>:</w:t>
            </w:r>
            <w:r>
              <w:rPr>
                <w:rFonts w:ascii="Times New Roman" w:hAnsi="Times New Roman" w:eastAsia="宋体" w:cs="Times New Roman"/>
                <w:color w:val="auto"/>
                <w:spacing w:val="-5"/>
                <w:sz w:val="24"/>
                <w:szCs w:val="24"/>
              </w:rPr>
              <w:t>1.5</w:t>
            </w:r>
            <w:r>
              <w:rPr>
                <w:rFonts w:hint="eastAsia" w:ascii="Times New Roman" w:hAnsi="Times New Roman" w:cs="Times New Roman"/>
                <w:color w:val="auto"/>
                <w:spacing w:val="-5"/>
                <w:sz w:val="24"/>
                <w:szCs w:val="24"/>
                <w:lang w:eastAsia="zh-CN"/>
              </w:rPr>
              <w:t>:</w:t>
            </w:r>
            <w:r>
              <w:rPr>
                <w:rFonts w:ascii="Times New Roman" w:hAnsi="Times New Roman" w:eastAsia="宋体" w:cs="Times New Roman"/>
                <w:color w:val="auto"/>
                <w:spacing w:val="-5"/>
                <w:sz w:val="24"/>
                <w:szCs w:val="24"/>
              </w:rPr>
              <w:t>1</w:t>
            </w:r>
            <w:r>
              <w:rPr>
                <w:rFonts w:ascii="Times New Roman" w:hAnsi="Times New Roman" w:eastAsia="宋体"/>
                <w:color w:val="auto"/>
                <w:spacing w:val="-5"/>
                <w:sz w:val="24"/>
                <w:szCs w:val="24"/>
              </w:rPr>
              <w:t>。</w:t>
            </w:r>
          </w:p>
          <w:p w14:paraId="28FB1F6B">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根据项目喷粉方案，粉末每层厚度约</w:t>
            </w:r>
            <w:r>
              <w:rPr>
                <w:rFonts w:hint="default" w:ascii="Times New Roman" w:hAnsi="Times New Roman" w:eastAsia="宋体" w:cs="Times New Roman"/>
                <w:color w:val="auto"/>
                <w:spacing w:val="-2"/>
                <w:sz w:val="24"/>
                <w:szCs w:val="24"/>
                <w:lang w:val="en-US" w:eastAsia="zh-CN"/>
              </w:rPr>
              <w:t>60</w:t>
            </w:r>
            <w:r>
              <w:rPr>
                <w:rFonts w:hint="default" w:ascii="Times New Roman" w:hAnsi="Times New Roman" w:eastAsia="宋体" w:cs="Times New Roman"/>
                <w:color w:val="auto"/>
                <w:spacing w:val="-2"/>
                <w:sz w:val="24"/>
                <w:szCs w:val="24"/>
              </w:rPr>
              <w:t>μm</w:t>
            </w:r>
            <w:r>
              <w:rPr>
                <w:rFonts w:ascii="Times New Roman" w:hAnsi="Times New Roman" w:eastAsia="宋体" w:cs="宋体"/>
                <w:color w:val="auto"/>
                <w:spacing w:val="-2"/>
                <w:sz w:val="24"/>
                <w:szCs w:val="24"/>
              </w:rPr>
              <w:t>，</w:t>
            </w:r>
            <w:r>
              <w:rPr>
                <w:rFonts w:ascii="Times New Roman" w:hAnsi="Times New Roman" w:eastAsia="宋体" w:cs="Times New Roman"/>
                <w:color w:val="auto"/>
                <w:spacing w:val="-2"/>
                <w:sz w:val="24"/>
                <w:szCs w:val="24"/>
              </w:rPr>
              <w:t>电</w:t>
            </w:r>
            <w:r>
              <w:rPr>
                <w:rFonts w:ascii="Times New Roman" w:hAnsi="Times New Roman" w:eastAsia="宋体" w:cs="宋体"/>
                <w:color w:val="auto"/>
                <w:spacing w:val="-2"/>
                <w:sz w:val="24"/>
                <w:szCs w:val="24"/>
              </w:rPr>
              <w:t>泳面积为</w:t>
            </w:r>
            <w:r>
              <w:rPr>
                <w:rFonts w:hint="eastAsia" w:ascii="Times New Roman" w:hAnsi="Times New Roman" w:eastAsia="宋体" w:cs="Times New Roman"/>
                <w:color w:val="auto"/>
                <w:spacing w:val="-2"/>
                <w:sz w:val="24"/>
                <w:szCs w:val="24"/>
                <w:lang w:val="en-US" w:eastAsia="zh-CN"/>
              </w:rPr>
              <w:t>3.3</w:t>
            </w:r>
            <w:r>
              <w:rPr>
                <w:rFonts w:ascii="Times New Roman" w:hAnsi="Times New Roman" w:eastAsia="宋体" w:cs="Times New Roman"/>
                <w:color w:val="auto"/>
                <w:spacing w:val="-2"/>
                <w:sz w:val="24"/>
                <w:szCs w:val="24"/>
              </w:rPr>
              <w:t>m</w:t>
            </w:r>
            <w:r>
              <w:rPr>
                <w:rFonts w:ascii="Times New Roman" w:hAnsi="Times New Roman" w:eastAsia="宋体" w:cs="Times New Roman"/>
                <w:color w:val="auto"/>
                <w:spacing w:val="-2"/>
                <w:position w:val="8"/>
                <w:sz w:val="15"/>
                <w:szCs w:val="15"/>
              </w:rPr>
              <w:t>2</w:t>
            </w:r>
            <w:r>
              <w:rPr>
                <w:rFonts w:ascii="Times New Roman" w:hAnsi="Times New Roman" w:eastAsia="宋体" w:cs="宋体"/>
                <w:color w:val="auto"/>
                <w:spacing w:val="-2"/>
                <w:sz w:val="24"/>
                <w:szCs w:val="24"/>
              </w:rPr>
              <w:t>/套，</w:t>
            </w:r>
            <w:r>
              <w:rPr>
                <w:rFonts w:hint="eastAsia" w:ascii="Times New Roman" w:hAnsi="Times New Roman" w:eastAsia="宋体" w:cs="宋体"/>
                <w:color w:val="auto"/>
                <w:spacing w:val="-2"/>
                <w:sz w:val="24"/>
                <w:szCs w:val="24"/>
                <w:lang w:val="en-US" w:eastAsia="zh-CN"/>
              </w:rPr>
              <w:t>本项目设计年加工12万套汽车座椅骨架生产规模</w:t>
            </w: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设需电泳</w:t>
            </w:r>
            <w:r>
              <w:rPr>
                <w:rFonts w:ascii="Times New Roman" w:hAnsi="Times New Roman" w:eastAsia="宋体" w:cs="宋体"/>
                <w:color w:val="auto"/>
                <w:spacing w:val="-2"/>
                <w:sz w:val="24"/>
                <w:szCs w:val="24"/>
              </w:rPr>
              <w:t>产品为</w:t>
            </w:r>
            <w:r>
              <w:rPr>
                <w:rFonts w:hint="default" w:ascii="Times New Roman" w:hAnsi="Times New Roman" w:eastAsia="宋体" w:cs="Times New Roman"/>
                <w:color w:val="auto"/>
                <w:spacing w:val="-2"/>
                <w:sz w:val="24"/>
                <w:szCs w:val="24"/>
                <w:lang w:val="en-US" w:eastAsia="zh-CN"/>
              </w:rPr>
              <w:t>1.5</w:t>
            </w:r>
            <w:r>
              <w:rPr>
                <w:rFonts w:ascii="Times New Roman" w:hAnsi="Times New Roman" w:eastAsia="宋体" w:cs="宋体"/>
                <w:color w:val="auto"/>
                <w:spacing w:val="-2"/>
                <w:sz w:val="24"/>
                <w:szCs w:val="24"/>
              </w:rPr>
              <w:t>万套/a</w:t>
            </w:r>
            <w:r>
              <w:rPr>
                <w:rFonts w:hint="eastAsia" w:ascii="Times New Roman" w:hAnsi="Times New Roman" w:eastAsia="宋体" w:cs="宋体"/>
                <w:color w:val="auto"/>
                <w:spacing w:val="-2"/>
                <w:sz w:val="24"/>
                <w:szCs w:val="24"/>
                <w:lang w:val="en-US" w:eastAsia="zh-CN"/>
              </w:rPr>
              <w:t>。</w:t>
            </w:r>
          </w:p>
          <w:p w14:paraId="5B304484">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根据项目喷漆方案，水性涂料每层厚度约</w:t>
            </w:r>
            <w:r>
              <w:rPr>
                <w:rFonts w:hint="eastAsia" w:ascii="Times New Roman" w:hAnsi="Times New Roman" w:eastAsia="宋体" w:cs="Times New Roman"/>
                <w:color w:val="auto"/>
                <w:spacing w:val="-2"/>
                <w:sz w:val="24"/>
                <w:szCs w:val="24"/>
                <w:lang w:val="en-US" w:eastAsia="zh-CN"/>
              </w:rPr>
              <w:t>30</w:t>
            </w:r>
            <w:r>
              <w:rPr>
                <w:rFonts w:hint="default" w:ascii="Times New Roman" w:hAnsi="Times New Roman" w:eastAsia="宋体" w:cs="Times New Roman"/>
                <w:color w:val="auto"/>
                <w:spacing w:val="-2"/>
                <w:sz w:val="24"/>
                <w:szCs w:val="24"/>
              </w:rPr>
              <w:t>μm</w:t>
            </w:r>
            <w:r>
              <w:rPr>
                <w:rFonts w:ascii="Times New Roman" w:hAnsi="Times New Roman" w:eastAsia="宋体" w:cs="宋体"/>
                <w:color w:val="auto"/>
                <w:spacing w:val="-2"/>
                <w:sz w:val="24"/>
                <w:szCs w:val="24"/>
              </w:rPr>
              <w:t>，</w:t>
            </w:r>
            <w:r>
              <w:rPr>
                <w:rFonts w:ascii="Times New Roman" w:hAnsi="Times New Roman" w:eastAsia="宋体" w:cs="Times New Roman"/>
                <w:color w:val="auto"/>
                <w:spacing w:val="-2"/>
                <w:sz w:val="24"/>
                <w:szCs w:val="24"/>
              </w:rPr>
              <w:t>电</w:t>
            </w:r>
            <w:r>
              <w:rPr>
                <w:rFonts w:ascii="Times New Roman" w:hAnsi="Times New Roman" w:eastAsia="宋体" w:cs="宋体"/>
                <w:color w:val="auto"/>
                <w:spacing w:val="-2"/>
                <w:sz w:val="24"/>
                <w:szCs w:val="24"/>
              </w:rPr>
              <w:t>泳面积为</w:t>
            </w:r>
            <w:r>
              <w:rPr>
                <w:rFonts w:hint="eastAsia" w:ascii="Times New Roman" w:hAnsi="Times New Roman" w:eastAsia="宋体" w:cs="Times New Roman"/>
                <w:color w:val="auto"/>
                <w:spacing w:val="-2"/>
                <w:sz w:val="24"/>
                <w:szCs w:val="24"/>
                <w:lang w:val="en-US" w:eastAsia="zh-CN"/>
              </w:rPr>
              <w:t>3.3</w:t>
            </w:r>
            <w:r>
              <w:rPr>
                <w:rFonts w:ascii="Times New Roman" w:hAnsi="Times New Roman" w:eastAsia="宋体" w:cs="Times New Roman"/>
                <w:color w:val="auto"/>
                <w:spacing w:val="-2"/>
                <w:sz w:val="24"/>
                <w:szCs w:val="24"/>
              </w:rPr>
              <w:t>m</w:t>
            </w:r>
            <w:r>
              <w:rPr>
                <w:rFonts w:ascii="Times New Roman" w:hAnsi="Times New Roman" w:eastAsia="宋体" w:cs="Times New Roman"/>
                <w:color w:val="auto"/>
                <w:spacing w:val="-2"/>
                <w:position w:val="8"/>
                <w:sz w:val="15"/>
                <w:szCs w:val="15"/>
              </w:rPr>
              <w:t>2</w:t>
            </w:r>
            <w:r>
              <w:rPr>
                <w:rFonts w:ascii="Times New Roman" w:hAnsi="Times New Roman" w:eastAsia="宋体" w:cs="宋体"/>
                <w:color w:val="auto"/>
                <w:spacing w:val="-2"/>
                <w:sz w:val="24"/>
                <w:szCs w:val="24"/>
              </w:rPr>
              <w:t>/套，</w:t>
            </w:r>
            <w:r>
              <w:rPr>
                <w:rFonts w:hint="eastAsia" w:ascii="Times New Roman" w:hAnsi="Times New Roman" w:eastAsia="宋体" w:cs="宋体"/>
                <w:color w:val="auto"/>
                <w:spacing w:val="-2"/>
                <w:sz w:val="24"/>
                <w:szCs w:val="24"/>
                <w:lang w:val="en-US" w:eastAsia="zh-CN"/>
              </w:rPr>
              <w:t>本项目设计年加工12万套汽车座椅骨架生产规模</w:t>
            </w:r>
            <w:r>
              <w:rPr>
                <w:rFonts w:hint="eastAsia" w:ascii="Times New Roman" w:hAnsi="Times New Roman" w:eastAsia="宋体" w:cs="宋体"/>
                <w:color w:val="auto"/>
                <w:spacing w:val="-2"/>
                <w:sz w:val="24"/>
                <w:szCs w:val="24"/>
                <w:lang w:eastAsia="zh-CN"/>
              </w:rPr>
              <w:t>，</w:t>
            </w:r>
            <w:r>
              <w:rPr>
                <w:rFonts w:hint="eastAsia" w:ascii="Times New Roman" w:hAnsi="Times New Roman" w:eastAsia="宋体" w:cs="宋体"/>
                <w:color w:val="auto"/>
                <w:spacing w:val="-2"/>
                <w:sz w:val="24"/>
                <w:szCs w:val="24"/>
                <w:lang w:val="en-US" w:eastAsia="zh-CN"/>
              </w:rPr>
              <w:t>设需喷漆</w:t>
            </w:r>
            <w:r>
              <w:rPr>
                <w:rFonts w:ascii="Times New Roman" w:hAnsi="Times New Roman" w:eastAsia="宋体" w:cs="宋体"/>
                <w:color w:val="auto"/>
                <w:spacing w:val="-2"/>
                <w:sz w:val="24"/>
                <w:szCs w:val="24"/>
              </w:rPr>
              <w:t>产品为</w:t>
            </w:r>
            <w:r>
              <w:rPr>
                <w:rFonts w:hint="default" w:ascii="Times New Roman" w:hAnsi="Times New Roman" w:eastAsia="宋体" w:cs="Times New Roman"/>
                <w:color w:val="auto"/>
                <w:spacing w:val="-2"/>
                <w:sz w:val="24"/>
                <w:szCs w:val="24"/>
                <w:lang w:val="en-US" w:eastAsia="zh-CN"/>
              </w:rPr>
              <w:t>1.5</w:t>
            </w:r>
            <w:r>
              <w:rPr>
                <w:rFonts w:ascii="Times New Roman" w:hAnsi="Times New Roman" w:eastAsia="宋体" w:cs="宋体"/>
                <w:color w:val="auto"/>
                <w:spacing w:val="-2"/>
                <w:sz w:val="24"/>
                <w:szCs w:val="24"/>
              </w:rPr>
              <w:t>万套/a</w:t>
            </w:r>
            <w:r>
              <w:rPr>
                <w:rFonts w:hint="eastAsia" w:ascii="Times New Roman" w:hAnsi="Times New Roman" w:eastAsia="宋体" w:cs="宋体"/>
                <w:color w:val="auto"/>
                <w:spacing w:val="-2"/>
                <w:sz w:val="24"/>
                <w:szCs w:val="24"/>
                <w:lang w:val="en-US" w:eastAsia="zh-CN"/>
              </w:rPr>
              <w:t>。</w:t>
            </w:r>
          </w:p>
          <w:p w14:paraId="6F4FA265">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color w:val="auto"/>
                <w:sz w:val="24"/>
                <w:szCs w:val="24"/>
              </w:rPr>
            </w:pPr>
            <w:r>
              <w:rPr>
                <w:rFonts w:hint="eastAsia"/>
                <w:color w:val="auto"/>
                <w:spacing w:val="-3"/>
                <w:sz w:val="24"/>
                <w:szCs w:val="24"/>
                <w:lang w:val="en-US" w:eastAsia="zh-CN"/>
              </w:rPr>
              <w:t>涂装材料</w:t>
            </w:r>
            <w:r>
              <w:rPr>
                <w:color w:val="auto"/>
                <w:spacing w:val="-3"/>
                <w:sz w:val="24"/>
                <w:szCs w:val="24"/>
              </w:rPr>
              <w:t>用量采用以下公式计算。</w:t>
            </w:r>
          </w:p>
          <w:p w14:paraId="15E5BCF9">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textAlignment w:val="auto"/>
              <w:rPr>
                <w:color w:val="auto"/>
              </w:rPr>
            </w:pPr>
            <w:r>
              <w:rPr>
                <w:color w:val="auto"/>
                <w:position w:val="-11"/>
              </w:rPr>
              <w:drawing>
                <wp:inline distT="0" distB="0" distL="0" distR="0">
                  <wp:extent cx="1040765" cy="347345"/>
                  <wp:effectExtent l="0" t="0" r="6985" b="14605"/>
                  <wp:docPr id="237" name="IM 2"/>
                  <wp:cNvGraphicFramePr/>
                  <a:graphic xmlns:a="http://schemas.openxmlformats.org/drawingml/2006/main">
                    <a:graphicData uri="http://schemas.openxmlformats.org/drawingml/2006/picture">
                      <pic:pic xmlns:pic="http://schemas.openxmlformats.org/drawingml/2006/picture">
                        <pic:nvPicPr>
                          <pic:cNvPr id="237" name="IM 2"/>
                          <pic:cNvPicPr/>
                        </pic:nvPicPr>
                        <pic:blipFill>
                          <a:blip r:embed="rId12"/>
                          <a:stretch>
                            <a:fillRect/>
                          </a:stretch>
                        </pic:blipFill>
                        <pic:spPr>
                          <a:xfrm>
                            <a:off x="0" y="0"/>
                            <a:ext cx="1041196" cy="347713"/>
                          </a:xfrm>
                          <a:prstGeom prst="rect">
                            <a:avLst/>
                          </a:prstGeom>
                        </pic:spPr>
                      </pic:pic>
                    </a:graphicData>
                  </a:graphic>
                </wp:inline>
              </w:drawing>
            </w:r>
          </w:p>
          <w:p w14:paraId="7252C92D">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color w:val="auto"/>
                <w:spacing w:val="-1"/>
                <w:sz w:val="24"/>
                <w:szCs w:val="24"/>
              </w:rPr>
              <w:t>其中：</w:t>
            </w:r>
            <w:r>
              <w:rPr>
                <w:rFonts w:ascii="Times New Roman" w:hAnsi="Times New Roman" w:eastAsia="Times New Roman" w:cs="Times New Roman"/>
                <w:color w:val="auto"/>
                <w:spacing w:val="-1"/>
                <w:sz w:val="24"/>
                <w:szCs w:val="24"/>
              </w:rPr>
              <w:t>m——</w:t>
            </w:r>
            <w:r>
              <w:rPr>
                <w:color w:val="auto"/>
                <w:spacing w:val="-1"/>
                <w:sz w:val="24"/>
                <w:szCs w:val="24"/>
              </w:rPr>
              <w:t>总用量（</w:t>
            </w:r>
            <w:r>
              <w:rPr>
                <w:rFonts w:ascii="Times New Roman" w:hAnsi="Times New Roman" w:eastAsia="Times New Roman" w:cs="Times New Roman"/>
                <w:color w:val="auto"/>
                <w:spacing w:val="-1"/>
                <w:sz w:val="24"/>
                <w:szCs w:val="24"/>
              </w:rPr>
              <w:t>t/a</w:t>
            </w:r>
            <w:r>
              <w:rPr>
                <w:color w:val="auto"/>
                <w:spacing w:val="1"/>
                <w:sz w:val="24"/>
                <w:szCs w:val="24"/>
              </w:rPr>
              <w:t>）；</w:t>
            </w:r>
          </w:p>
          <w:p w14:paraId="3222F6D5">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rFonts w:ascii="Times New Roman" w:hAnsi="Times New Roman" w:eastAsia="Times New Roman" w:cs="Times New Roman"/>
                <w:color w:val="auto"/>
                <w:spacing w:val="-1"/>
                <w:sz w:val="24"/>
                <w:szCs w:val="24"/>
              </w:rPr>
              <w:t>ρ——</w:t>
            </w:r>
            <w:r>
              <w:rPr>
                <w:color w:val="auto"/>
                <w:spacing w:val="-1"/>
                <w:sz w:val="24"/>
                <w:szCs w:val="24"/>
              </w:rPr>
              <w:t>密度（</w:t>
            </w:r>
            <w:r>
              <w:rPr>
                <w:rFonts w:ascii="Times New Roman" w:hAnsi="Times New Roman" w:eastAsia="Times New Roman" w:cs="Times New Roman"/>
                <w:color w:val="auto"/>
                <w:spacing w:val="-1"/>
                <w:sz w:val="24"/>
                <w:szCs w:val="24"/>
              </w:rPr>
              <w:t>g/cm</w:t>
            </w:r>
            <w:r>
              <w:rPr>
                <w:rFonts w:ascii="Times New Roman" w:hAnsi="Times New Roman" w:eastAsia="Times New Roman" w:cs="Times New Roman"/>
                <w:color w:val="auto"/>
                <w:spacing w:val="-1"/>
                <w:position w:val="7"/>
                <w:sz w:val="15"/>
                <w:szCs w:val="15"/>
              </w:rPr>
              <w:t>3</w:t>
            </w:r>
            <w:r>
              <w:rPr>
                <w:color w:val="auto"/>
                <w:spacing w:val="-17"/>
                <w:sz w:val="24"/>
                <w:szCs w:val="24"/>
              </w:rPr>
              <w:t>）；</w:t>
            </w:r>
          </w:p>
          <w:p w14:paraId="2C2BD308">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rFonts w:ascii="Times New Roman" w:hAnsi="Times New Roman" w:eastAsia="Times New Roman" w:cs="Times New Roman"/>
                <w:color w:val="auto"/>
                <w:spacing w:val="-1"/>
                <w:sz w:val="24"/>
                <w:szCs w:val="24"/>
              </w:rPr>
              <w:t>δ——</w:t>
            </w:r>
            <w:r>
              <w:rPr>
                <w:color w:val="auto"/>
                <w:spacing w:val="-1"/>
                <w:sz w:val="24"/>
                <w:szCs w:val="24"/>
              </w:rPr>
              <w:t>涂层厚度</w:t>
            </w:r>
            <w:r>
              <w:rPr>
                <w:rFonts w:hint="eastAsia"/>
                <w:color w:val="auto"/>
                <w:spacing w:val="-1"/>
                <w:sz w:val="24"/>
                <w:szCs w:val="24"/>
                <w:lang w:eastAsia="zh-CN"/>
              </w:rPr>
              <w:t>（</w:t>
            </w:r>
            <w:r>
              <w:rPr>
                <w:rFonts w:ascii="Times New Roman" w:hAnsi="Times New Roman" w:eastAsia="Times New Roman" w:cs="Times New Roman"/>
                <w:color w:val="auto"/>
                <w:spacing w:val="-1"/>
                <w:sz w:val="24"/>
                <w:szCs w:val="24"/>
              </w:rPr>
              <w:t>μm</w:t>
            </w:r>
            <w:r>
              <w:rPr>
                <w:color w:val="auto"/>
                <w:sz w:val="24"/>
                <w:szCs w:val="24"/>
              </w:rPr>
              <w:t>）；</w:t>
            </w:r>
          </w:p>
          <w:p w14:paraId="65C6FBE5">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color w:val="auto"/>
                <w:sz w:val="24"/>
                <w:szCs w:val="24"/>
              </w:rPr>
            </w:pPr>
            <w:r>
              <w:rPr>
                <w:rFonts w:ascii="Times New Roman" w:hAnsi="Times New Roman" w:eastAsia="Times New Roman" w:cs="Times New Roman"/>
                <w:color w:val="auto"/>
                <w:spacing w:val="-1"/>
                <w:sz w:val="24"/>
                <w:szCs w:val="24"/>
              </w:rPr>
              <w:t>s——</w:t>
            </w:r>
            <w:r>
              <w:rPr>
                <w:color w:val="auto"/>
                <w:spacing w:val="-1"/>
                <w:sz w:val="24"/>
                <w:szCs w:val="24"/>
              </w:rPr>
              <w:t>涂层总面积（</w:t>
            </w:r>
            <w:r>
              <w:rPr>
                <w:rFonts w:ascii="Times New Roman" w:hAnsi="Times New Roman" w:eastAsia="Times New Roman" w:cs="Times New Roman"/>
                <w:color w:val="auto"/>
                <w:spacing w:val="-1"/>
                <w:sz w:val="24"/>
                <w:szCs w:val="24"/>
              </w:rPr>
              <w:t>m</w:t>
            </w:r>
            <w:r>
              <w:rPr>
                <w:rFonts w:ascii="Times New Roman" w:hAnsi="Times New Roman" w:eastAsia="Times New Roman" w:cs="Times New Roman"/>
                <w:color w:val="auto"/>
                <w:spacing w:val="-1"/>
                <w:position w:val="7"/>
                <w:sz w:val="15"/>
                <w:szCs w:val="15"/>
              </w:rPr>
              <w:t>2</w:t>
            </w:r>
            <w:r>
              <w:rPr>
                <w:rFonts w:ascii="Times New Roman" w:hAnsi="Times New Roman" w:eastAsia="Times New Roman" w:cs="Times New Roman"/>
                <w:color w:val="auto"/>
                <w:spacing w:val="-1"/>
                <w:sz w:val="24"/>
                <w:szCs w:val="24"/>
              </w:rPr>
              <w:t>/a</w:t>
            </w:r>
            <w:r>
              <w:rPr>
                <w:color w:val="auto"/>
                <w:spacing w:val="1"/>
                <w:sz w:val="24"/>
                <w:szCs w:val="24"/>
              </w:rPr>
              <w:t>）；</w:t>
            </w:r>
          </w:p>
          <w:p w14:paraId="09C991EA">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z w:val="24"/>
                <w:szCs w:val="24"/>
              </w:rPr>
            </w:pPr>
            <w:r>
              <w:rPr>
                <w:rFonts w:ascii="Times New Roman" w:hAnsi="Times New Roman" w:eastAsia="Times New Roman" w:cs="Times New Roman"/>
                <w:color w:val="auto"/>
                <w:sz w:val="24"/>
                <w:szCs w:val="24"/>
              </w:rPr>
              <w:t>NV——</w:t>
            </w:r>
            <w:r>
              <w:rPr>
                <w:color w:val="auto"/>
                <w:sz w:val="24"/>
                <w:szCs w:val="24"/>
              </w:rPr>
              <w:t>漆料中的体积固体份；</w:t>
            </w:r>
          </w:p>
          <w:p w14:paraId="7751A4ED">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color w:val="auto"/>
                <w:sz w:val="24"/>
                <w:szCs w:val="24"/>
              </w:rPr>
            </w:pPr>
            <w:r>
              <w:rPr>
                <w:rFonts w:ascii="Times New Roman" w:hAnsi="Times New Roman" w:eastAsia="Times New Roman" w:cs="Times New Roman"/>
                <w:color w:val="auto"/>
                <w:spacing w:val="-2"/>
                <w:sz w:val="24"/>
                <w:szCs w:val="24"/>
              </w:rPr>
              <w:t>ε——</w:t>
            </w:r>
            <w:r>
              <w:rPr>
                <w:color w:val="auto"/>
                <w:spacing w:val="-2"/>
                <w:sz w:val="24"/>
                <w:szCs w:val="24"/>
              </w:rPr>
              <w:t>上漆率</w:t>
            </w:r>
            <w:r>
              <w:rPr>
                <w:rFonts w:hint="eastAsia"/>
                <w:b w:val="0"/>
                <w:bCs w:val="0"/>
                <w:color w:val="auto"/>
                <w:spacing w:val="3"/>
                <w:sz w:val="21"/>
                <w:szCs w:val="21"/>
                <w:lang w:val="en-US" w:eastAsia="zh-CN"/>
              </w:rPr>
              <w:t>/</w:t>
            </w:r>
            <w:r>
              <w:rPr>
                <w:rFonts w:hint="eastAsia" w:ascii="宋体" w:hAnsi="宋体" w:eastAsia="宋体" w:cs="宋体"/>
                <w:color w:val="auto"/>
                <w:spacing w:val="-2"/>
                <w:sz w:val="24"/>
                <w:szCs w:val="24"/>
                <w:lang w:val="en-US" w:eastAsia="zh-CN"/>
              </w:rPr>
              <w:t>上粉率</w:t>
            </w:r>
            <w:r>
              <w:rPr>
                <w:color w:val="auto"/>
                <w:spacing w:val="-2"/>
                <w:sz w:val="24"/>
                <w:szCs w:val="24"/>
              </w:rPr>
              <w:t>。</w:t>
            </w:r>
          </w:p>
          <w:p w14:paraId="4FBB4F6F">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color w:val="auto"/>
                <w:spacing w:val="-1"/>
                <w:sz w:val="24"/>
                <w:szCs w:val="24"/>
              </w:rPr>
            </w:pPr>
            <w:r>
              <w:rPr>
                <w:color w:val="auto"/>
                <w:spacing w:val="-1"/>
                <w:sz w:val="24"/>
                <w:szCs w:val="24"/>
              </w:rPr>
              <w:t>本项目涂料使用计算参数见下表。</w:t>
            </w:r>
          </w:p>
          <w:p w14:paraId="4E5894D5">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color w:val="auto"/>
                <w:sz w:val="24"/>
                <w:szCs w:val="24"/>
              </w:rPr>
            </w:pPr>
            <w:r>
              <w:rPr>
                <w:rFonts w:hint="eastAsia" w:cs="Times New Roman"/>
                <w:color w:val="auto"/>
                <w:highlight w:val="none"/>
                <w:lang w:val="en-US" w:eastAsia="zh-CN"/>
              </w:rPr>
              <w:t>涂装材料</w:t>
            </w:r>
            <w:r>
              <w:rPr>
                <w:rFonts w:hint="eastAsia" w:ascii="Times New Roman" w:hAnsi="Times New Roman" w:eastAsia="宋体" w:cs="Times New Roman"/>
                <w:color w:val="auto"/>
                <w:highlight w:val="none"/>
              </w:rPr>
              <w:t>用量计算参数一览表</w:t>
            </w:r>
          </w:p>
          <w:tbl>
            <w:tblPr>
              <w:tblStyle w:val="86"/>
              <w:tblW w:w="4994"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40"/>
              <w:gridCol w:w="923"/>
              <w:gridCol w:w="885"/>
              <w:gridCol w:w="2"/>
              <w:gridCol w:w="81"/>
              <w:gridCol w:w="777"/>
              <w:gridCol w:w="24"/>
              <w:gridCol w:w="3"/>
              <w:gridCol w:w="881"/>
              <w:gridCol w:w="5"/>
              <w:gridCol w:w="16"/>
              <w:gridCol w:w="809"/>
              <w:gridCol w:w="55"/>
              <w:gridCol w:w="7"/>
              <w:gridCol w:w="890"/>
              <w:gridCol w:w="847"/>
              <w:gridCol w:w="841"/>
              <w:gridCol w:w="847"/>
            </w:tblGrid>
            <w:tr w14:paraId="616B32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429" w:type="pct"/>
                  <w:tcBorders>
                    <w:bottom w:val="single" w:color="000000" w:sz="12" w:space="0"/>
                  </w:tcBorders>
                  <w:vAlign w:val="center"/>
                </w:tcPr>
                <w:p w14:paraId="0D9708D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b w:val="0"/>
                      <w:bCs w:val="0"/>
                      <w:color w:val="auto"/>
                      <w:spacing w:val="3"/>
                      <w:sz w:val="21"/>
                      <w:szCs w:val="21"/>
                      <w:lang w:val="en-US" w:eastAsia="zh-CN"/>
                    </w:rPr>
                  </w:pPr>
                  <w:r>
                    <w:rPr>
                      <w:rFonts w:hint="eastAsia"/>
                      <w:b w:val="0"/>
                      <w:bCs w:val="0"/>
                      <w:color w:val="auto"/>
                      <w:spacing w:val="3"/>
                      <w:sz w:val="21"/>
                      <w:szCs w:val="21"/>
                      <w:lang w:val="en-US" w:eastAsia="zh-CN"/>
                    </w:rPr>
                    <w:t>工序</w:t>
                  </w:r>
                </w:p>
              </w:tc>
              <w:tc>
                <w:tcPr>
                  <w:tcW w:w="534" w:type="pct"/>
                  <w:tcBorders>
                    <w:bottom w:val="single" w:color="000000" w:sz="12" w:space="0"/>
                  </w:tcBorders>
                  <w:vAlign w:val="center"/>
                </w:tcPr>
                <w:p w14:paraId="07C8B0D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3"/>
                      <w:sz w:val="21"/>
                      <w:szCs w:val="21"/>
                    </w:rPr>
                    <w:t>类型</w:t>
                  </w:r>
                </w:p>
              </w:tc>
              <w:tc>
                <w:tcPr>
                  <w:tcW w:w="560" w:type="pct"/>
                  <w:gridSpan w:val="3"/>
                  <w:tcBorders>
                    <w:bottom w:val="single" w:color="000000" w:sz="12" w:space="0"/>
                  </w:tcBorders>
                  <w:vAlign w:val="center"/>
                </w:tcPr>
                <w:p w14:paraId="4A54E3F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3"/>
                      <w:sz w:val="21"/>
                      <w:szCs w:val="21"/>
                    </w:rPr>
                    <w:t>密度</w:t>
                  </w:r>
                </w:p>
                <w:p w14:paraId="7C70AA5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ascii="Times New Roman" w:hAnsi="Times New Roman" w:eastAsia="宋体" w:cs="Times New Roman"/>
                      <w:b w:val="0"/>
                      <w:bCs w:val="0"/>
                      <w:color w:val="auto"/>
                      <w:spacing w:val="4"/>
                      <w:sz w:val="21"/>
                      <w:szCs w:val="21"/>
                    </w:rPr>
                    <w:t>ρ(g/</w:t>
                  </w:r>
                  <w:r>
                    <w:rPr>
                      <w:rFonts w:ascii="Times New Roman" w:hAnsi="Times New Roman" w:eastAsia="宋体" w:cs="Times New Roman"/>
                      <w:b w:val="0"/>
                      <w:bCs w:val="0"/>
                      <w:color w:val="auto"/>
                      <w:sz w:val="21"/>
                      <w:szCs w:val="21"/>
                    </w:rPr>
                    <w:t>cm</w:t>
                  </w:r>
                  <w:r>
                    <w:rPr>
                      <w:rFonts w:hint="eastAsia" w:cs="Times New Roman"/>
                      <w:b w:val="0"/>
                      <w:bCs w:val="0"/>
                      <w:color w:val="auto"/>
                      <w:sz w:val="21"/>
                      <w:szCs w:val="21"/>
                      <w:vertAlign w:val="superscript"/>
                      <w:lang w:val="en-US" w:eastAsia="zh-CN"/>
                    </w:rPr>
                    <w:t>3</w:t>
                  </w:r>
                  <w:r>
                    <w:rPr>
                      <w:rFonts w:ascii="Times New Roman" w:hAnsi="Times New Roman" w:eastAsia="宋体" w:cs="Times New Roman"/>
                      <w:b w:val="0"/>
                      <w:bCs w:val="0"/>
                      <w:color w:val="auto"/>
                      <w:spacing w:val="4"/>
                      <w:sz w:val="21"/>
                      <w:szCs w:val="21"/>
                    </w:rPr>
                    <w:t>)</w:t>
                  </w:r>
                </w:p>
              </w:tc>
              <w:tc>
                <w:tcPr>
                  <w:tcW w:w="450" w:type="pct"/>
                  <w:tcBorders>
                    <w:bottom w:val="single" w:color="000000" w:sz="12" w:space="0"/>
                  </w:tcBorders>
                  <w:vAlign w:val="center"/>
                </w:tcPr>
                <w:p w14:paraId="46EAA1F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eastAsia="宋体"/>
                      <w:b w:val="0"/>
                      <w:bCs w:val="0"/>
                      <w:color w:val="auto"/>
                      <w:spacing w:val="2"/>
                      <w:sz w:val="21"/>
                      <w:szCs w:val="21"/>
                    </w:rPr>
                    <w:t>涂层</w:t>
                  </w:r>
                  <w:r>
                    <w:rPr>
                      <w:rFonts w:eastAsia="宋体"/>
                      <w:b w:val="0"/>
                      <w:bCs w:val="0"/>
                      <w:color w:val="auto"/>
                      <w:spacing w:val="1"/>
                      <w:sz w:val="21"/>
                      <w:szCs w:val="21"/>
                    </w:rPr>
                    <w:t>厚度</w:t>
                  </w:r>
                  <w:r>
                    <w:rPr>
                      <w:rFonts w:ascii="Times New Roman" w:hAnsi="Times New Roman" w:eastAsia="宋体" w:cs="Times New Roman"/>
                      <w:b w:val="0"/>
                      <w:bCs w:val="0"/>
                      <w:color w:val="auto"/>
                      <w:spacing w:val="5"/>
                      <w:sz w:val="21"/>
                      <w:szCs w:val="21"/>
                    </w:rPr>
                    <w:t>δ(</w:t>
                  </w:r>
                  <w:r>
                    <w:rPr>
                      <w:rFonts w:ascii="Times New Roman" w:hAnsi="Times New Roman" w:eastAsia="Times New Roman" w:cs="Times New Roman"/>
                      <w:color w:val="auto"/>
                      <w:spacing w:val="-1"/>
                      <w:sz w:val="24"/>
                      <w:szCs w:val="24"/>
                    </w:rPr>
                    <w:t>μ</w:t>
                  </w:r>
                  <w:r>
                    <w:rPr>
                      <w:rFonts w:ascii="Times New Roman" w:hAnsi="Times New Roman" w:eastAsia="宋体" w:cs="Times New Roman"/>
                      <w:b w:val="0"/>
                      <w:bCs w:val="0"/>
                      <w:color w:val="auto"/>
                      <w:sz w:val="21"/>
                      <w:szCs w:val="21"/>
                    </w:rPr>
                    <w:t>m</w:t>
                  </w:r>
                  <w:r>
                    <w:rPr>
                      <w:rFonts w:ascii="Times New Roman" w:hAnsi="Times New Roman" w:eastAsia="宋体" w:cs="Times New Roman"/>
                      <w:b w:val="0"/>
                      <w:bCs w:val="0"/>
                      <w:color w:val="auto"/>
                      <w:spacing w:val="5"/>
                      <w:sz w:val="21"/>
                      <w:szCs w:val="21"/>
                    </w:rPr>
                    <w:t>)</w:t>
                  </w:r>
                </w:p>
              </w:tc>
              <w:tc>
                <w:tcPr>
                  <w:tcW w:w="538" w:type="pct"/>
                  <w:gridSpan w:val="5"/>
                  <w:tcBorders>
                    <w:bottom w:val="single" w:color="000000" w:sz="12" w:space="0"/>
                  </w:tcBorders>
                  <w:vAlign w:val="center"/>
                </w:tcPr>
                <w:p w14:paraId="773BE86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eastAsia="宋体"/>
                      <w:b w:val="0"/>
                      <w:bCs w:val="0"/>
                      <w:color w:val="auto"/>
                      <w:spacing w:val="-1"/>
                      <w:sz w:val="21"/>
                      <w:szCs w:val="21"/>
                    </w:rPr>
                    <w:t>固</w:t>
                  </w:r>
                  <w:r>
                    <w:rPr>
                      <w:rFonts w:eastAsia="宋体"/>
                      <w:b w:val="0"/>
                      <w:bCs w:val="0"/>
                      <w:color w:val="auto"/>
                      <w:spacing w:val="28"/>
                      <w:sz w:val="21"/>
                      <w:szCs w:val="21"/>
                    </w:rPr>
                    <w:t>体份</w:t>
                  </w:r>
                  <w:r>
                    <w:rPr>
                      <w:rFonts w:ascii="Times New Roman" w:hAnsi="Times New Roman" w:eastAsia="宋体" w:cs="Times New Roman"/>
                      <w:b w:val="0"/>
                      <w:bCs w:val="0"/>
                      <w:color w:val="auto"/>
                      <w:sz w:val="21"/>
                      <w:szCs w:val="21"/>
                    </w:rPr>
                    <w:t>NV</w:t>
                  </w:r>
                  <w:r>
                    <w:rPr>
                      <w:rFonts w:ascii="Times New Roman" w:hAnsi="Times New Roman" w:eastAsia="宋体" w:cs="Times New Roman"/>
                      <w:b w:val="0"/>
                      <w:bCs w:val="0"/>
                      <w:color w:val="auto"/>
                      <w:spacing w:val="19"/>
                      <w:sz w:val="21"/>
                      <w:szCs w:val="21"/>
                    </w:rPr>
                    <w:t>%</w:t>
                  </w:r>
                </w:p>
              </w:tc>
              <w:tc>
                <w:tcPr>
                  <w:tcW w:w="468" w:type="pct"/>
                  <w:tcBorders>
                    <w:bottom w:val="single" w:color="000000" w:sz="12" w:space="0"/>
                  </w:tcBorders>
                  <w:vAlign w:val="center"/>
                </w:tcPr>
                <w:p w14:paraId="2B71740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eastAsia="宋体"/>
                      <w:b w:val="0"/>
                      <w:bCs w:val="0"/>
                      <w:color w:val="auto"/>
                      <w:spacing w:val="3"/>
                      <w:sz w:val="21"/>
                      <w:szCs w:val="21"/>
                    </w:rPr>
                    <w:t>上漆率</w:t>
                  </w:r>
                  <w:r>
                    <w:rPr>
                      <w:rFonts w:hint="eastAsia"/>
                      <w:b w:val="0"/>
                      <w:bCs w:val="0"/>
                      <w:color w:val="auto"/>
                      <w:spacing w:val="3"/>
                      <w:sz w:val="21"/>
                      <w:szCs w:val="21"/>
                      <w:lang w:val="en-US" w:eastAsia="zh-CN"/>
                    </w:rPr>
                    <w:t>/上粉率</w:t>
                  </w:r>
                  <w:r>
                    <w:rPr>
                      <w:rFonts w:ascii="Times New Roman" w:hAnsi="Times New Roman" w:eastAsia="宋体" w:cs="Times New Roman"/>
                      <w:b w:val="0"/>
                      <w:bCs w:val="0"/>
                      <w:color w:val="auto"/>
                      <w:spacing w:val="3"/>
                      <w:sz w:val="21"/>
                      <w:szCs w:val="21"/>
                    </w:rPr>
                    <w:t>ε%</w:t>
                  </w:r>
                </w:p>
              </w:tc>
              <w:tc>
                <w:tcPr>
                  <w:tcW w:w="550" w:type="pct"/>
                  <w:gridSpan w:val="3"/>
                  <w:tcBorders>
                    <w:bottom w:val="single" w:color="000000" w:sz="12" w:space="0"/>
                  </w:tcBorders>
                  <w:vAlign w:val="center"/>
                </w:tcPr>
                <w:p w14:paraId="01210C2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val="0"/>
                      <w:bCs w:val="0"/>
                      <w:color w:val="auto"/>
                      <w:sz w:val="21"/>
                      <w:szCs w:val="21"/>
                    </w:rPr>
                  </w:pPr>
                  <w:r>
                    <w:rPr>
                      <w:rFonts w:hint="eastAsia"/>
                      <w:b w:val="0"/>
                      <w:bCs w:val="0"/>
                      <w:color w:val="auto"/>
                      <w:spacing w:val="-3"/>
                      <w:sz w:val="21"/>
                      <w:szCs w:val="21"/>
                      <w:lang w:val="en-US" w:eastAsia="zh-CN"/>
                    </w:rPr>
                    <w:t>涂装</w:t>
                  </w:r>
                  <w:r>
                    <w:rPr>
                      <w:rFonts w:eastAsia="宋体"/>
                      <w:b w:val="0"/>
                      <w:bCs w:val="0"/>
                      <w:color w:val="auto"/>
                      <w:spacing w:val="-3"/>
                      <w:sz w:val="21"/>
                      <w:szCs w:val="21"/>
                    </w:rPr>
                    <w:t>面</w:t>
                  </w:r>
                  <w:r>
                    <w:rPr>
                      <w:rFonts w:eastAsia="宋体"/>
                      <w:b w:val="0"/>
                      <w:bCs w:val="0"/>
                      <w:color w:val="auto"/>
                      <w:spacing w:val="8"/>
                      <w:sz w:val="21"/>
                      <w:szCs w:val="21"/>
                    </w:rPr>
                    <w:t>积</w:t>
                  </w:r>
                  <w:r>
                    <w:rPr>
                      <w:rFonts w:ascii="Times New Roman" w:hAnsi="Times New Roman" w:eastAsia="宋体" w:cs="Times New Roman"/>
                      <w:b w:val="0"/>
                      <w:bCs w:val="0"/>
                      <w:color w:val="auto"/>
                      <w:spacing w:val="8"/>
                      <w:sz w:val="21"/>
                      <w:szCs w:val="21"/>
                    </w:rPr>
                    <w:t>S(m</w:t>
                  </w:r>
                  <w:r>
                    <w:rPr>
                      <w:rFonts w:hint="eastAsia" w:ascii="Times New Roman" w:hAnsi="Times New Roman" w:eastAsia="宋体" w:cs="Times New Roman"/>
                      <w:b w:val="0"/>
                      <w:bCs w:val="0"/>
                      <w:color w:val="auto"/>
                      <w:spacing w:val="8"/>
                      <w:sz w:val="21"/>
                      <w:szCs w:val="21"/>
                      <w:vertAlign w:val="superscript"/>
                      <w:lang w:val="en-US" w:eastAsia="zh-CN"/>
                    </w:rPr>
                    <w:t>2</w:t>
                  </w:r>
                  <w:r>
                    <w:rPr>
                      <w:rFonts w:ascii="Times New Roman" w:hAnsi="Times New Roman" w:eastAsia="宋体" w:cs="Times New Roman"/>
                      <w:b w:val="0"/>
                      <w:bCs w:val="0"/>
                      <w:color w:val="auto"/>
                      <w:spacing w:val="8"/>
                      <w:sz w:val="21"/>
                      <w:szCs w:val="21"/>
                    </w:rPr>
                    <w:t>)</w:t>
                  </w:r>
                </w:p>
              </w:tc>
              <w:tc>
                <w:tcPr>
                  <w:tcW w:w="490" w:type="pct"/>
                  <w:tcBorders>
                    <w:bottom w:val="single" w:color="000000" w:sz="12" w:space="0"/>
                  </w:tcBorders>
                  <w:vAlign w:val="center"/>
                </w:tcPr>
                <w:p w14:paraId="70FDA5C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4"/>
                      <w:sz w:val="21"/>
                      <w:szCs w:val="21"/>
                    </w:rPr>
                    <w:t>理论计</w:t>
                  </w:r>
                </w:p>
                <w:p w14:paraId="706C780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5"/>
                      <w:sz w:val="21"/>
                      <w:szCs w:val="21"/>
                    </w:rPr>
                    <w:t>算用量</w:t>
                  </w:r>
                </w:p>
                <w:p w14:paraId="097EED3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hint="eastAsia"/>
                      <w:b w:val="0"/>
                      <w:bCs w:val="0"/>
                      <w:color w:val="auto"/>
                      <w:spacing w:val="-1"/>
                      <w:sz w:val="21"/>
                      <w:szCs w:val="21"/>
                      <w:lang w:eastAsia="zh-CN"/>
                    </w:rPr>
                    <w:t>(</w:t>
                  </w:r>
                  <w:r>
                    <w:rPr>
                      <w:rFonts w:ascii="Times New Roman" w:hAnsi="Times New Roman" w:eastAsia="宋体" w:cs="Times New Roman"/>
                      <w:b w:val="0"/>
                      <w:bCs w:val="0"/>
                      <w:color w:val="auto"/>
                      <w:spacing w:val="-1"/>
                      <w:sz w:val="21"/>
                      <w:szCs w:val="21"/>
                    </w:rPr>
                    <w:t>t/a</w:t>
                  </w:r>
                  <w:r>
                    <w:rPr>
                      <w:rFonts w:hint="eastAsia" w:ascii="Times New Roman" w:hAnsi="Times New Roman" w:cs="Times New Roman"/>
                      <w:b w:val="0"/>
                      <w:bCs w:val="0"/>
                      <w:color w:val="auto"/>
                      <w:spacing w:val="-1"/>
                      <w:sz w:val="21"/>
                      <w:szCs w:val="21"/>
                      <w:lang w:eastAsia="zh-CN"/>
                    </w:rPr>
                    <w:t>)</w:t>
                  </w:r>
                </w:p>
              </w:tc>
              <w:tc>
                <w:tcPr>
                  <w:tcW w:w="487" w:type="pct"/>
                  <w:tcBorders>
                    <w:bottom w:val="single" w:color="000000" w:sz="12" w:space="0"/>
                  </w:tcBorders>
                  <w:vAlign w:val="center"/>
                </w:tcPr>
                <w:p w14:paraId="29DA50F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4"/>
                      <w:sz w:val="21"/>
                      <w:szCs w:val="21"/>
                    </w:rPr>
                    <w:t>设计用</w:t>
                  </w:r>
                </w:p>
                <w:p w14:paraId="0603350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2"/>
                      <w:sz w:val="21"/>
                      <w:szCs w:val="21"/>
                    </w:rPr>
                    <w:t>量</w:t>
                  </w:r>
                </w:p>
                <w:p w14:paraId="3C1ECA7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hint="eastAsia"/>
                      <w:b w:val="0"/>
                      <w:bCs w:val="0"/>
                      <w:color w:val="auto"/>
                      <w:spacing w:val="-1"/>
                      <w:sz w:val="21"/>
                      <w:szCs w:val="21"/>
                      <w:lang w:eastAsia="zh-CN"/>
                    </w:rPr>
                    <w:t>(</w:t>
                  </w:r>
                  <w:r>
                    <w:rPr>
                      <w:rFonts w:ascii="Times New Roman" w:hAnsi="Times New Roman" w:eastAsia="宋体" w:cs="Times New Roman"/>
                      <w:b w:val="0"/>
                      <w:bCs w:val="0"/>
                      <w:color w:val="auto"/>
                      <w:spacing w:val="-1"/>
                      <w:sz w:val="21"/>
                      <w:szCs w:val="21"/>
                    </w:rPr>
                    <w:t>t/a</w:t>
                  </w:r>
                  <w:r>
                    <w:rPr>
                      <w:rFonts w:hint="eastAsia" w:ascii="Times New Roman" w:hAnsi="Times New Roman" w:cs="Times New Roman"/>
                      <w:b w:val="0"/>
                      <w:bCs w:val="0"/>
                      <w:color w:val="auto"/>
                      <w:spacing w:val="-1"/>
                      <w:sz w:val="21"/>
                      <w:szCs w:val="21"/>
                      <w:lang w:eastAsia="zh-CN"/>
                    </w:rPr>
                    <w:t>)</w:t>
                  </w:r>
                </w:p>
              </w:tc>
              <w:tc>
                <w:tcPr>
                  <w:tcW w:w="490" w:type="pct"/>
                  <w:tcBorders>
                    <w:bottom w:val="single" w:color="000000" w:sz="12" w:space="0"/>
                  </w:tcBorders>
                  <w:vAlign w:val="center"/>
                </w:tcPr>
                <w:p w14:paraId="1F4B971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b w:val="0"/>
                      <w:bCs w:val="0"/>
                      <w:color w:val="auto"/>
                      <w:sz w:val="21"/>
                      <w:szCs w:val="21"/>
                    </w:rPr>
                  </w:pPr>
                  <w:r>
                    <w:rPr>
                      <w:rFonts w:eastAsia="宋体"/>
                      <w:b w:val="0"/>
                      <w:bCs w:val="0"/>
                      <w:color w:val="auto"/>
                      <w:spacing w:val="2"/>
                      <w:sz w:val="21"/>
                      <w:szCs w:val="21"/>
                    </w:rPr>
                    <w:t>匹配情</w:t>
                  </w:r>
                  <w:r>
                    <w:rPr>
                      <w:rFonts w:eastAsia="宋体"/>
                      <w:b w:val="0"/>
                      <w:bCs w:val="0"/>
                      <w:color w:val="auto"/>
                      <w:spacing w:val="-3"/>
                      <w:sz w:val="21"/>
                      <w:szCs w:val="21"/>
                    </w:rPr>
                    <w:t>况</w:t>
                  </w:r>
                </w:p>
              </w:tc>
            </w:tr>
            <w:tr w14:paraId="1868EA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29" w:type="pct"/>
                  <w:vMerge w:val="restart"/>
                  <w:tcBorders>
                    <w:top w:val="single" w:color="000000" w:sz="12" w:space="0"/>
                    <w:tl2br w:val="nil"/>
                    <w:tr2bl w:val="nil"/>
                  </w:tcBorders>
                  <w:vAlign w:val="center"/>
                </w:tcPr>
                <w:p w14:paraId="24490CD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pacing w:val="3"/>
                      <w:sz w:val="21"/>
                      <w:szCs w:val="21"/>
                      <w:lang w:val="en-US" w:eastAsia="zh-CN"/>
                    </w:rPr>
                  </w:pPr>
                  <w:r>
                    <w:rPr>
                      <w:rFonts w:hint="eastAsia"/>
                      <w:color w:val="auto"/>
                      <w:spacing w:val="3"/>
                      <w:sz w:val="21"/>
                      <w:szCs w:val="21"/>
                      <w:lang w:val="en-US" w:eastAsia="zh-CN"/>
                    </w:rPr>
                    <w:t>电泳</w:t>
                  </w:r>
                </w:p>
              </w:tc>
              <w:tc>
                <w:tcPr>
                  <w:tcW w:w="534" w:type="pct"/>
                  <w:tcBorders>
                    <w:top w:val="single" w:color="000000" w:sz="12" w:space="0"/>
                    <w:tl2br w:val="nil"/>
                    <w:tr2bl w:val="nil"/>
                  </w:tcBorders>
                  <w:vAlign w:val="center"/>
                </w:tcPr>
                <w:p w14:paraId="3D8D73B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3"/>
                      <w:sz w:val="21"/>
                      <w:szCs w:val="21"/>
                    </w:rPr>
                    <w:t>乳液</w:t>
                  </w:r>
                </w:p>
              </w:tc>
              <w:tc>
                <w:tcPr>
                  <w:tcW w:w="560" w:type="pct"/>
                  <w:gridSpan w:val="3"/>
                  <w:tcBorders>
                    <w:top w:val="single" w:color="000000" w:sz="12" w:space="0"/>
                    <w:tl2br w:val="nil"/>
                    <w:tr2bl w:val="nil"/>
                  </w:tcBorders>
                  <w:vAlign w:val="center"/>
                </w:tcPr>
                <w:p w14:paraId="325E31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450" w:type="pct"/>
                  <w:tcBorders>
                    <w:top w:val="single" w:color="000000" w:sz="12" w:space="0"/>
                    <w:tl2br w:val="nil"/>
                    <w:tr2bl w:val="nil"/>
                  </w:tcBorders>
                  <w:vAlign w:val="center"/>
                </w:tcPr>
                <w:p w14:paraId="6B98FC1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538" w:type="pct"/>
                  <w:gridSpan w:val="5"/>
                  <w:tcBorders>
                    <w:top w:val="single" w:color="000000" w:sz="12" w:space="0"/>
                    <w:tl2br w:val="nil"/>
                    <w:tr2bl w:val="nil"/>
                  </w:tcBorders>
                  <w:vAlign w:val="center"/>
                </w:tcPr>
                <w:p w14:paraId="1DC6AA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468" w:type="pct"/>
                  <w:tcBorders>
                    <w:top w:val="single" w:color="000000" w:sz="12" w:space="0"/>
                    <w:tl2br w:val="nil"/>
                    <w:tr2bl w:val="nil"/>
                  </w:tcBorders>
                  <w:vAlign w:val="center"/>
                </w:tcPr>
                <w:p w14:paraId="0B24A6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550" w:type="pct"/>
                  <w:gridSpan w:val="3"/>
                  <w:tcBorders>
                    <w:top w:val="single" w:color="000000" w:sz="12" w:space="0"/>
                    <w:tl2br w:val="nil"/>
                    <w:tr2bl w:val="nil"/>
                  </w:tcBorders>
                  <w:vAlign w:val="center"/>
                </w:tcPr>
                <w:p w14:paraId="60B285D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1"/>
                    </w:rPr>
                  </w:pPr>
                </w:p>
              </w:tc>
              <w:tc>
                <w:tcPr>
                  <w:tcW w:w="490" w:type="pct"/>
                  <w:tcBorders>
                    <w:top w:val="single" w:color="000000" w:sz="12" w:space="0"/>
                    <w:tl2br w:val="nil"/>
                    <w:tr2bl w:val="nil"/>
                  </w:tcBorders>
                  <w:vAlign w:val="center"/>
                </w:tcPr>
                <w:p w14:paraId="2B94AE9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487" w:type="pct"/>
                  <w:tcBorders>
                    <w:top w:val="single" w:color="000000" w:sz="12" w:space="0"/>
                    <w:tl2br w:val="nil"/>
                    <w:tr2bl w:val="nil"/>
                  </w:tcBorders>
                  <w:vAlign w:val="center"/>
                </w:tcPr>
                <w:p w14:paraId="623D5B0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Times New Roman" w:cs="Times New Roman"/>
                      <w:color w:val="auto"/>
                      <w:spacing w:val="-2"/>
                      <w:sz w:val="21"/>
                      <w:szCs w:val="21"/>
                    </w:rPr>
                    <w:t>13.5</w:t>
                  </w:r>
                </w:p>
              </w:tc>
              <w:tc>
                <w:tcPr>
                  <w:tcW w:w="490" w:type="pct"/>
                  <w:vMerge w:val="restart"/>
                  <w:tcBorders>
                    <w:top w:val="single" w:color="000000" w:sz="12" w:space="0"/>
                    <w:tl2br w:val="nil"/>
                    <w:tr2bl w:val="nil"/>
                  </w:tcBorders>
                  <w:vAlign w:val="center"/>
                </w:tcPr>
                <w:p w14:paraId="5BC7B42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6"/>
                      <w:sz w:val="21"/>
                      <w:szCs w:val="21"/>
                    </w:rPr>
                    <w:t>基本匹</w:t>
                  </w:r>
                </w:p>
                <w:p w14:paraId="1D45F3A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z w:val="21"/>
                      <w:szCs w:val="21"/>
                    </w:rPr>
                    <w:t>配</w:t>
                  </w:r>
                </w:p>
              </w:tc>
            </w:tr>
            <w:tr w14:paraId="3EFC9F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429" w:type="pct"/>
                  <w:vMerge w:val="continue"/>
                  <w:tcBorders>
                    <w:tl2br w:val="nil"/>
                    <w:tr2bl w:val="nil"/>
                  </w:tcBorders>
                  <w:vAlign w:val="center"/>
                </w:tcPr>
                <w:p w14:paraId="76BEB38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pacing w:val="2"/>
                      <w:sz w:val="21"/>
                      <w:szCs w:val="21"/>
                    </w:rPr>
                  </w:pPr>
                </w:p>
              </w:tc>
              <w:tc>
                <w:tcPr>
                  <w:tcW w:w="534" w:type="pct"/>
                  <w:tcBorders>
                    <w:tl2br w:val="nil"/>
                    <w:tr2bl w:val="nil"/>
                  </w:tcBorders>
                  <w:vAlign w:val="center"/>
                </w:tcPr>
                <w:p w14:paraId="6C5FD29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2"/>
                      <w:sz w:val="21"/>
                      <w:szCs w:val="21"/>
                    </w:rPr>
                    <w:t>黑浆</w:t>
                  </w:r>
                </w:p>
              </w:tc>
              <w:tc>
                <w:tcPr>
                  <w:tcW w:w="2567" w:type="pct"/>
                  <w:gridSpan w:val="13"/>
                  <w:tcBorders>
                    <w:tl2br w:val="nil"/>
                    <w:tr2bl w:val="nil"/>
                  </w:tcBorders>
                  <w:vAlign w:val="center"/>
                </w:tcPr>
                <w:p w14:paraId="5147C63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p>
              </w:tc>
              <w:tc>
                <w:tcPr>
                  <w:tcW w:w="490" w:type="pct"/>
                  <w:tcBorders>
                    <w:tl2br w:val="nil"/>
                    <w:tr2bl w:val="nil"/>
                  </w:tcBorders>
                  <w:vAlign w:val="center"/>
                </w:tcPr>
                <w:p w14:paraId="1950E8A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487" w:type="pct"/>
                  <w:tcBorders>
                    <w:tl2br w:val="nil"/>
                    <w:tr2bl w:val="nil"/>
                  </w:tcBorders>
                  <w:vAlign w:val="center"/>
                </w:tcPr>
                <w:p w14:paraId="6894128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Times New Roman" w:cs="Times New Roman"/>
                      <w:color w:val="auto"/>
                      <w:spacing w:val="1"/>
                      <w:sz w:val="21"/>
                      <w:szCs w:val="21"/>
                    </w:rPr>
                    <w:t>2.1</w:t>
                  </w:r>
                </w:p>
              </w:tc>
              <w:tc>
                <w:tcPr>
                  <w:tcW w:w="490" w:type="pct"/>
                  <w:vMerge w:val="continue"/>
                  <w:tcBorders>
                    <w:tl2br w:val="nil"/>
                    <w:tr2bl w:val="nil"/>
                  </w:tcBorders>
                  <w:vAlign w:val="center"/>
                </w:tcPr>
                <w:p w14:paraId="19A1936F">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eastAsia="宋体"/>
                      <w:color w:val="auto"/>
                      <w:sz w:val="21"/>
                      <w:szCs w:val="21"/>
                    </w:rPr>
                  </w:pPr>
                </w:p>
              </w:tc>
            </w:tr>
            <w:tr w14:paraId="4569C10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429" w:type="pct"/>
                  <w:vMerge w:val="continue"/>
                  <w:tcBorders>
                    <w:tl2br w:val="nil"/>
                    <w:tr2bl w:val="nil"/>
                  </w:tcBorders>
                  <w:vAlign w:val="center"/>
                </w:tcPr>
                <w:p w14:paraId="2D10065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pacing w:val="4"/>
                      <w:sz w:val="21"/>
                      <w:szCs w:val="21"/>
                    </w:rPr>
                  </w:pPr>
                </w:p>
              </w:tc>
              <w:tc>
                <w:tcPr>
                  <w:tcW w:w="534" w:type="pct"/>
                  <w:tcBorders>
                    <w:tl2br w:val="nil"/>
                    <w:tr2bl w:val="nil"/>
                  </w:tcBorders>
                  <w:vAlign w:val="center"/>
                </w:tcPr>
                <w:p w14:paraId="773EF34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4"/>
                      <w:sz w:val="21"/>
                      <w:szCs w:val="21"/>
                    </w:rPr>
                    <w:t>助剂</w:t>
                  </w:r>
                </w:p>
              </w:tc>
              <w:tc>
                <w:tcPr>
                  <w:tcW w:w="2567" w:type="pct"/>
                  <w:gridSpan w:val="13"/>
                  <w:tcBorders>
                    <w:tl2br w:val="nil"/>
                    <w:tr2bl w:val="nil"/>
                  </w:tcBorders>
                  <w:vAlign w:val="center"/>
                </w:tcPr>
                <w:p w14:paraId="1CD8443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p>
              </w:tc>
              <w:tc>
                <w:tcPr>
                  <w:tcW w:w="490" w:type="pct"/>
                  <w:tcBorders>
                    <w:tl2br w:val="nil"/>
                    <w:tr2bl w:val="nil"/>
                  </w:tcBorders>
                  <w:vAlign w:val="center"/>
                </w:tcPr>
                <w:p w14:paraId="16FBEBE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487" w:type="pct"/>
                  <w:tcBorders>
                    <w:tl2br w:val="nil"/>
                    <w:tr2bl w:val="nil"/>
                  </w:tcBorders>
                  <w:vAlign w:val="center"/>
                </w:tcPr>
                <w:p w14:paraId="5482F44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Times New Roman" w:cs="Times New Roman"/>
                      <w:color w:val="auto"/>
                      <w:spacing w:val="2"/>
                      <w:sz w:val="21"/>
                      <w:szCs w:val="21"/>
                    </w:rPr>
                    <w:t>0.18</w:t>
                  </w:r>
                </w:p>
              </w:tc>
              <w:tc>
                <w:tcPr>
                  <w:tcW w:w="490" w:type="pct"/>
                  <w:vMerge w:val="continue"/>
                  <w:tcBorders>
                    <w:tl2br w:val="nil"/>
                    <w:tr2bl w:val="nil"/>
                  </w:tcBorders>
                  <w:vAlign w:val="center"/>
                </w:tcPr>
                <w:p w14:paraId="4BEDBB3D">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eastAsia="宋体"/>
                      <w:color w:val="auto"/>
                      <w:sz w:val="21"/>
                      <w:szCs w:val="21"/>
                    </w:rPr>
                  </w:pPr>
                </w:p>
              </w:tc>
            </w:tr>
            <w:tr w14:paraId="4235409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429" w:type="pct"/>
                  <w:vMerge w:val="continue"/>
                  <w:tcBorders>
                    <w:tl2br w:val="nil"/>
                    <w:tr2bl w:val="nil"/>
                  </w:tcBorders>
                  <w:vAlign w:val="center"/>
                </w:tcPr>
                <w:p w14:paraId="7F87CAC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p>
              </w:tc>
              <w:tc>
                <w:tcPr>
                  <w:tcW w:w="534" w:type="pct"/>
                  <w:tcBorders>
                    <w:tl2br w:val="nil"/>
                    <w:tr2bl w:val="nil"/>
                  </w:tcBorders>
                  <w:vAlign w:val="center"/>
                </w:tcPr>
                <w:p w14:paraId="42FE7A5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z w:val="21"/>
                      <w:szCs w:val="21"/>
                    </w:rPr>
                    <w:t>中和剂</w:t>
                  </w:r>
                </w:p>
              </w:tc>
              <w:tc>
                <w:tcPr>
                  <w:tcW w:w="2567" w:type="pct"/>
                  <w:gridSpan w:val="13"/>
                  <w:tcBorders>
                    <w:tl2br w:val="nil"/>
                    <w:tr2bl w:val="nil"/>
                  </w:tcBorders>
                  <w:vAlign w:val="center"/>
                </w:tcPr>
                <w:p w14:paraId="17CE5E9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p>
              </w:tc>
              <w:tc>
                <w:tcPr>
                  <w:tcW w:w="490" w:type="pct"/>
                  <w:tcBorders>
                    <w:tl2br w:val="nil"/>
                    <w:tr2bl w:val="nil"/>
                  </w:tcBorders>
                  <w:vAlign w:val="center"/>
                </w:tcPr>
                <w:p w14:paraId="0F86C6F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p>
              </w:tc>
              <w:tc>
                <w:tcPr>
                  <w:tcW w:w="487" w:type="pct"/>
                  <w:tcBorders>
                    <w:tl2br w:val="nil"/>
                    <w:tr2bl w:val="nil"/>
                  </w:tcBorders>
                  <w:vAlign w:val="center"/>
                </w:tcPr>
                <w:p w14:paraId="3ED6AC3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ascii="Times New Roman" w:hAnsi="Times New Roman" w:eastAsia="Times New Roman" w:cs="Times New Roman"/>
                      <w:color w:val="auto"/>
                      <w:spacing w:val="-4"/>
                      <w:sz w:val="21"/>
                      <w:szCs w:val="21"/>
                    </w:rPr>
                    <w:t>0.12</w:t>
                  </w:r>
                </w:p>
              </w:tc>
              <w:tc>
                <w:tcPr>
                  <w:tcW w:w="490" w:type="pct"/>
                  <w:vMerge w:val="continue"/>
                  <w:tcBorders>
                    <w:tl2br w:val="nil"/>
                    <w:tr2bl w:val="nil"/>
                  </w:tcBorders>
                  <w:vAlign w:val="center"/>
                </w:tcPr>
                <w:p w14:paraId="4014207E">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Arial" w:eastAsia="宋体"/>
                      <w:color w:val="auto"/>
                      <w:sz w:val="21"/>
                      <w:szCs w:val="21"/>
                    </w:rPr>
                  </w:pPr>
                </w:p>
              </w:tc>
            </w:tr>
            <w:tr w14:paraId="3D0F3D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429" w:type="pct"/>
                  <w:tcBorders>
                    <w:tl2br w:val="nil"/>
                    <w:tr2bl w:val="nil"/>
                  </w:tcBorders>
                  <w:vAlign w:val="center"/>
                </w:tcPr>
                <w:p w14:paraId="0BB06C1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喷粉</w:t>
                  </w:r>
                </w:p>
              </w:tc>
              <w:tc>
                <w:tcPr>
                  <w:tcW w:w="534" w:type="pct"/>
                  <w:tcBorders>
                    <w:tl2br w:val="nil"/>
                    <w:tr2bl w:val="nil"/>
                  </w:tcBorders>
                  <w:vAlign w:val="center"/>
                </w:tcPr>
                <w:p w14:paraId="76E4C50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color w:val="auto"/>
                      <w:sz w:val="21"/>
                      <w:szCs w:val="21"/>
                      <w:lang w:val="en-US" w:eastAsia="zh-CN"/>
                    </w:rPr>
                  </w:pPr>
                  <w:r>
                    <w:rPr>
                      <w:rFonts w:hint="eastAsia"/>
                      <w:color w:val="auto"/>
                      <w:sz w:val="21"/>
                      <w:szCs w:val="21"/>
                      <w:lang w:val="en-US" w:eastAsia="zh-CN"/>
                    </w:rPr>
                    <w:t>粉末涂料</w:t>
                  </w:r>
                </w:p>
              </w:tc>
              <w:tc>
                <w:tcPr>
                  <w:tcW w:w="512" w:type="pct"/>
                  <w:tcBorders>
                    <w:tl2br w:val="nil"/>
                    <w:tr2bl w:val="nil"/>
                  </w:tcBorders>
                  <w:vAlign w:val="center"/>
                </w:tcPr>
                <w:p w14:paraId="1DA1B8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512" w:type="pct"/>
                  <w:gridSpan w:val="4"/>
                  <w:tcBorders>
                    <w:tl2br w:val="nil"/>
                    <w:tr2bl w:val="nil"/>
                  </w:tcBorders>
                  <w:vAlign w:val="center"/>
                </w:tcPr>
                <w:p w14:paraId="676B76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512" w:type="pct"/>
                  <w:gridSpan w:val="2"/>
                  <w:tcBorders>
                    <w:tl2br w:val="nil"/>
                    <w:tr2bl w:val="nil"/>
                  </w:tcBorders>
                  <w:vAlign w:val="center"/>
                </w:tcPr>
                <w:p w14:paraId="73047F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512" w:type="pct"/>
                  <w:gridSpan w:val="4"/>
                  <w:tcBorders>
                    <w:tl2br w:val="nil"/>
                    <w:tr2bl w:val="nil"/>
                  </w:tcBorders>
                  <w:vAlign w:val="center"/>
                </w:tcPr>
                <w:p w14:paraId="19A9498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518" w:type="pct"/>
                  <w:gridSpan w:val="2"/>
                  <w:tcBorders>
                    <w:tl2br w:val="nil"/>
                    <w:tr2bl w:val="nil"/>
                  </w:tcBorders>
                  <w:vAlign w:val="center"/>
                </w:tcPr>
                <w:p w14:paraId="384F758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490" w:type="pct"/>
                  <w:tcBorders>
                    <w:tl2br w:val="nil"/>
                    <w:tr2bl w:val="nil"/>
                  </w:tcBorders>
                  <w:vAlign w:val="center"/>
                </w:tcPr>
                <w:p w14:paraId="3507CD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487" w:type="pct"/>
                  <w:tcBorders>
                    <w:tl2br w:val="nil"/>
                    <w:tr2bl w:val="nil"/>
                  </w:tcBorders>
                  <w:vAlign w:val="center"/>
                </w:tcPr>
                <w:p w14:paraId="695FEED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5.0</w:t>
                  </w:r>
                </w:p>
              </w:tc>
              <w:tc>
                <w:tcPr>
                  <w:tcW w:w="490" w:type="pct"/>
                  <w:tcBorders>
                    <w:tl2br w:val="nil"/>
                    <w:tr2bl w:val="nil"/>
                  </w:tcBorders>
                  <w:vAlign w:val="center"/>
                </w:tcPr>
                <w:p w14:paraId="4E77C23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6"/>
                      <w:sz w:val="21"/>
                      <w:szCs w:val="21"/>
                    </w:rPr>
                    <w:t>基本匹</w:t>
                  </w:r>
                </w:p>
                <w:p w14:paraId="6364AB4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6"/>
                      <w:sz w:val="21"/>
                      <w:szCs w:val="21"/>
                    </w:rPr>
                  </w:pPr>
                  <w:r>
                    <w:rPr>
                      <w:rFonts w:eastAsia="宋体"/>
                      <w:color w:val="auto"/>
                      <w:sz w:val="21"/>
                      <w:szCs w:val="21"/>
                    </w:rPr>
                    <w:t>配</w:t>
                  </w:r>
                </w:p>
              </w:tc>
            </w:tr>
            <w:tr w14:paraId="78577B2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429" w:type="pct"/>
                  <w:tcBorders>
                    <w:tl2br w:val="nil"/>
                    <w:tr2bl w:val="nil"/>
                  </w:tcBorders>
                  <w:vAlign w:val="center"/>
                </w:tcPr>
                <w:p w14:paraId="7EAB506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喷漆</w:t>
                  </w:r>
                </w:p>
              </w:tc>
              <w:tc>
                <w:tcPr>
                  <w:tcW w:w="534" w:type="pct"/>
                  <w:tcBorders>
                    <w:tl2br w:val="nil"/>
                    <w:tr2bl w:val="nil"/>
                  </w:tcBorders>
                  <w:vAlign w:val="center"/>
                </w:tcPr>
                <w:p w14:paraId="48EE637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eastAsia="宋体"/>
                      <w:color w:val="auto"/>
                      <w:sz w:val="21"/>
                      <w:szCs w:val="21"/>
                      <w:lang w:val="en-US" w:eastAsia="zh-CN"/>
                    </w:rPr>
                  </w:pPr>
                  <w:r>
                    <w:rPr>
                      <w:rFonts w:hint="eastAsia"/>
                      <w:color w:val="auto"/>
                      <w:sz w:val="21"/>
                      <w:szCs w:val="21"/>
                      <w:lang w:val="en-US" w:eastAsia="zh-CN"/>
                    </w:rPr>
                    <w:t>水性涂料</w:t>
                  </w:r>
                </w:p>
              </w:tc>
              <w:tc>
                <w:tcPr>
                  <w:tcW w:w="513" w:type="pct"/>
                  <w:gridSpan w:val="2"/>
                  <w:tcBorders>
                    <w:tl2br w:val="nil"/>
                    <w:tr2bl w:val="nil"/>
                  </w:tcBorders>
                  <w:vAlign w:val="center"/>
                </w:tcPr>
                <w:p w14:paraId="03C503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513" w:type="pct"/>
                  <w:gridSpan w:val="4"/>
                  <w:tcBorders>
                    <w:tl2br w:val="nil"/>
                    <w:tr2bl w:val="nil"/>
                  </w:tcBorders>
                  <w:vAlign w:val="center"/>
                </w:tcPr>
                <w:p w14:paraId="606BA2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513" w:type="pct"/>
                  <w:gridSpan w:val="2"/>
                  <w:tcBorders>
                    <w:tl2br w:val="nil"/>
                    <w:tr2bl w:val="nil"/>
                  </w:tcBorders>
                  <w:vAlign w:val="center"/>
                </w:tcPr>
                <w:p w14:paraId="04E5AB3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513" w:type="pct"/>
                  <w:gridSpan w:val="4"/>
                  <w:tcBorders>
                    <w:tl2br w:val="nil"/>
                    <w:tr2bl w:val="nil"/>
                  </w:tcBorders>
                  <w:vAlign w:val="center"/>
                </w:tcPr>
                <w:p w14:paraId="2DD26A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513" w:type="pct"/>
                  <w:tcBorders>
                    <w:tl2br w:val="nil"/>
                    <w:tr2bl w:val="nil"/>
                  </w:tcBorders>
                  <w:vAlign w:val="center"/>
                </w:tcPr>
                <w:p w14:paraId="19D0205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490" w:type="pct"/>
                  <w:tcBorders>
                    <w:tl2br w:val="nil"/>
                    <w:tr2bl w:val="nil"/>
                  </w:tcBorders>
                  <w:vAlign w:val="center"/>
                </w:tcPr>
                <w:p w14:paraId="0AAA1A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p>
              </w:tc>
              <w:tc>
                <w:tcPr>
                  <w:tcW w:w="487" w:type="pct"/>
                  <w:tcBorders>
                    <w:tl2br w:val="nil"/>
                    <w:tr2bl w:val="nil"/>
                  </w:tcBorders>
                  <w:vAlign w:val="center"/>
                </w:tcPr>
                <w:p w14:paraId="7D346E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8.0</w:t>
                  </w:r>
                </w:p>
              </w:tc>
              <w:tc>
                <w:tcPr>
                  <w:tcW w:w="490" w:type="pct"/>
                  <w:tcBorders>
                    <w:tl2br w:val="nil"/>
                    <w:tr2bl w:val="nil"/>
                  </w:tcBorders>
                  <w:vAlign w:val="center"/>
                </w:tcPr>
                <w:p w14:paraId="1BA3244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eastAsia="宋体"/>
                      <w:color w:val="auto"/>
                      <w:sz w:val="21"/>
                      <w:szCs w:val="21"/>
                    </w:rPr>
                  </w:pPr>
                  <w:r>
                    <w:rPr>
                      <w:rFonts w:eastAsia="宋体"/>
                      <w:color w:val="auto"/>
                      <w:spacing w:val="6"/>
                      <w:sz w:val="21"/>
                      <w:szCs w:val="21"/>
                    </w:rPr>
                    <w:t>基本匹</w:t>
                  </w:r>
                </w:p>
                <w:p w14:paraId="732613F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6"/>
                      <w:sz w:val="21"/>
                      <w:szCs w:val="21"/>
                    </w:rPr>
                  </w:pPr>
                  <w:r>
                    <w:rPr>
                      <w:rFonts w:eastAsia="宋体"/>
                      <w:color w:val="auto"/>
                      <w:sz w:val="21"/>
                      <w:szCs w:val="21"/>
                    </w:rPr>
                    <w:t>配</w:t>
                  </w:r>
                </w:p>
              </w:tc>
            </w:tr>
          </w:tbl>
          <w:p w14:paraId="73AA4AFA">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注：</w:t>
            </w:r>
          </w:p>
          <w:p w14:paraId="5FA9DD84">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涂装面积核算：</w:t>
            </w:r>
          </w:p>
          <w:p w14:paraId="3F0E7088">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电泳：9万套×3.33m²/套≈300000m²/a</w:t>
            </w:r>
          </w:p>
          <w:p w14:paraId="3432A80A">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喷粉/喷漆：1.5万套×3.3m²/套=49500m²/a</w:t>
            </w:r>
          </w:p>
          <w:p w14:paraId="1023E115">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粉末涂料上粉率：</w:t>
            </w:r>
          </w:p>
          <w:p w14:paraId="566905C4">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单次喷涂沉积效率按60%（常规自动+手动混合线），滤芯回收率90%，新粉综合利用率约93.75%（计算公式：0.6/(0.6+0.4×0.1)=93.75%）。新粉补充量按干膜需求量÷综合利用率核算为4.75t/a。</w:t>
            </w:r>
          </w:p>
          <w:p w14:paraId="3832EE3E">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水性涂料上漆率：</w:t>
            </w:r>
          </w:p>
          <w:p w14:paraId="10D921B0">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ascii="Times New Roman" w:hAnsi="Times New Roman" w:eastAsia="宋体" w:cs="宋体"/>
                <w:color w:val="auto"/>
                <w:kern w:val="0"/>
                <w:sz w:val="24"/>
                <w:szCs w:val="20"/>
                <w:lang w:val="en-US" w:eastAsia="zh-CN" w:bidi="ar-SA"/>
              </w:rPr>
              <w:t>水帘喷漆台常规传递效率取50%。涂料按漆</w:t>
            </w:r>
            <w:r>
              <w:rPr>
                <w:rFonts w:hint="eastAsia" w:cs="宋体"/>
                <w:color w:val="auto"/>
                <w:kern w:val="0"/>
                <w:sz w:val="24"/>
                <w:szCs w:val="20"/>
                <w:lang w:val="en-US" w:eastAsia="zh-CN" w:bidi="ar-SA"/>
              </w:rPr>
              <w:t>：</w:t>
            </w:r>
            <w:r>
              <w:rPr>
                <w:rFonts w:hint="eastAsia" w:ascii="Times New Roman" w:hAnsi="Times New Roman" w:eastAsia="宋体" w:cs="宋体"/>
                <w:color w:val="auto"/>
                <w:kern w:val="0"/>
                <w:sz w:val="24"/>
                <w:szCs w:val="20"/>
                <w:lang w:val="en-US" w:eastAsia="zh-CN" w:bidi="ar-SA"/>
              </w:rPr>
              <w:t>水=10:1稀释后施工，计算值为原漆消耗量（不含稀释水）。体积固体份45%，根据MSDS固体分（树脂+颜填料约50-70%）扣减挥发分后估算得。</w:t>
            </w:r>
          </w:p>
          <w:p w14:paraId="287A1BFA">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auto"/>
                <w:kern w:val="0"/>
                <w:sz w:val="24"/>
                <w:szCs w:val="20"/>
                <w:lang w:val="zh-CN" w:eastAsia="zh-CN" w:bidi="ar-SA"/>
              </w:rPr>
            </w:pPr>
            <w:r>
              <w:rPr>
                <w:rFonts w:ascii="Times New Roman" w:hAnsi="Times New Roman" w:eastAsia="宋体" w:cs="宋体"/>
                <w:color w:val="auto"/>
                <w:kern w:val="0"/>
                <w:sz w:val="24"/>
                <w:szCs w:val="20"/>
                <w:lang w:val="zh-CN" w:eastAsia="zh-CN" w:bidi="ar-SA"/>
              </w:rPr>
              <w:t>②低VOC含量涂料分析</w:t>
            </w:r>
          </w:p>
          <w:p w14:paraId="3B3FC07C">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default" w:cs="宋体"/>
                <w:color w:val="auto"/>
                <w:kern w:val="0"/>
                <w:sz w:val="24"/>
                <w:szCs w:val="20"/>
                <w:lang w:val="en-US" w:eastAsia="zh-CN" w:bidi="ar-SA"/>
              </w:rPr>
            </w:pPr>
            <w:r>
              <w:rPr>
                <w:rFonts w:hint="eastAsia" w:cs="宋体"/>
                <w:color w:val="auto"/>
                <w:kern w:val="0"/>
                <w:sz w:val="24"/>
                <w:szCs w:val="20"/>
                <w:lang w:val="en-US" w:eastAsia="zh-CN" w:bidi="ar-SA"/>
              </w:rPr>
              <w:t>1）电泳涂料</w:t>
            </w:r>
            <w:r>
              <w:rPr>
                <w:rFonts w:ascii="Times New Roman" w:hAnsi="Times New Roman" w:eastAsia="宋体" w:cs="宋体"/>
                <w:color w:val="auto"/>
                <w:kern w:val="0"/>
                <w:sz w:val="24"/>
                <w:szCs w:val="20"/>
                <w:lang w:val="zh-CN" w:eastAsia="zh-CN" w:bidi="ar-SA"/>
              </w:rPr>
              <w:t>低VOC含量涂料分析</w:t>
            </w:r>
          </w:p>
          <w:p w14:paraId="3775F7CE">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zh-CN" w:eastAsia="zh-CN" w:bidi="ar-SA"/>
              </w:rPr>
            </w:pPr>
            <w:r>
              <w:rPr>
                <w:rFonts w:hint="eastAsia" w:cs="宋体"/>
                <w:color w:val="auto"/>
                <w:kern w:val="0"/>
                <w:sz w:val="24"/>
                <w:szCs w:val="20"/>
                <w:lang w:val="zh-CN" w:eastAsia="zh-CN" w:bidi="ar-SA"/>
              </w:rPr>
              <w:t>使用</w:t>
            </w:r>
            <w:r>
              <w:rPr>
                <w:rFonts w:hint="eastAsia" w:ascii="Times New Roman" w:hAnsi="Times New Roman" w:eastAsia="宋体" w:cs="宋体"/>
                <w:color w:val="auto"/>
                <w:kern w:val="0"/>
                <w:sz w:val="24"/>
                <w:szCs w:val="20"/>
                <w:lang w:val="zh-CN" w:eastAsia="zh-CN" w:bidi="ar-SA"/>
              </w:rPr>
              <w:t>状态下电泳漆中VOCs含量计算过程如下：</w:t>
            </w:r>
          </w:p>
          <w:p w14:paraId="56F798E4">
            <w:pPr>
              <w:pStyle w:val="11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both"/>
              <w:textAlignment w:val="auto"/>
              <w:rPr>
                <w:color w:val="auto"/>
                <w:sz w:val="24"/>
                <w:szCs w:val="24"/>
              </w:rPr>
            </w:pPr>
            <w:r>
              <w:rPr>
                <w:color w:val="auto"/>
                <w:spacing w:val="-6"/>
                <w:sz w:val="24"/>
                <w:szCs w:val="24"/>
              </w:rPr>
              <w:t>乳液总量为</w:t>
            </w:r>
            <w:r>
              <w:rPr>
                <w:rFonts w:ascii="Times New Roman" w:hAnsi="Times New Roman" w:eastAsia="Times New Roman" w:cs="Times New Roman"/>
                <w:color w:val="auto"/>
                <w:spacing w:val="-6"/>
                <w:sz w:val="24"/>
                <w:szCs w:val="24"/>
              </w:rPr>
              <w:t>13.5t/a</w:t>
            </w:r>
            <w:r>
              <w:rPr>
                <w:color w:val="auto"/>
                <w:spacing w:val="-6"/>
                <w:sz w:val="24"/>
                <w:szCs w:val="24"/>
              </w:rPr>
              <w:t>，需要加入黑浆</w:t>
            </w:r>
            <w:r>
              <w:rPr>
                <w:rFonts w:ascii="Times New Roman" w:hAnsi="Times New Roman" w:eastAsia="Times New Roman" w:cs="Times New Roman"/>
                <w:color w:val="auto"/>
                <w:spacing w:val="-6"/>
                <w:sz w:val="24"/>
                <w:szCs w:val="24"/>
              </w:rPr>
              <w:t>2.1t/a</w:t>
            </w:r>
            <w:r>
              <w:rPr>
                <w:color w:val="auto"/>
                <w:spacing w:val="-6"/>
                <w:sz w:val="24"/>
                <w:szCs w:val="24"/>
              </w:rPr>
              <w:t>，助剂</w:t>
            </w:r>
            <w:r>
              <w:rPr>
                <w:rFonts w:ascii="Times New Roman" w:hAnsi="Times New Roman" w:eastAsia="Times New Roman" w:cs="Times New Roman"/>
                <w:color w:val="auto"/>
                <w:spacing w:val="-6"/>
                <w:sz w:val="24"/>
                <w:szCs w:val="24"/>
              </w:rPr>
              <w:t>0.18t/a</w:t>
            </w:r>
            <w:r>
              <w:rPr>
                <w:color w:val="auto"/>
                <w:spacing w:val="-6"/>
                <w:sz w:val="24"/>
                <w:szCs w:val="24"/>
              </w:rPr>
              <w:t>，中和剂</w:t>
            </w:r>
            <w:r>
              <w:rPr>
                <w:rFonts w:ascii="Times New Roman" w:hAnsi="Times New Roman" w:eastAsia="Times New Roman" w:cs="Times New Roman"/>
                <w:color w:val="auto"/>
                <w:spacing w:val="-6"/>
                <w:sz w:val="24"/>
                <w:szCs w:val="24"/>
              </w:rPr>
              <w:t>0.12t/a</w:t>
            </w:r>
            <w:r>
              <w:rPr>
                <w:color w:val="auto"/>
                <w:spacing w:val="-6"/>
                <w:sz w:val="24"/>
                <w:szCs w:val="24"/>
              </w:rPr>
              <w:t>。乳液密度为</w:t>
            </w:r>
            <w:r>
              <w:rPr>
                <w:rFonts w:ascii="Times New Roman" w:hAnsi="Times New Roman" w:eastAsia="Times New Roman" w:cs="Times New Roman"/>
                <w:color w:val="auto"/>
                <w:spacing w:val="-6"/>
                <w:sz w:val="24"/>
                <w:szCs w:val="24"/>
              </w:rPr>
              <w:t>1.1g/cm</w:t>
            </w:r>
            <w:r>
              <w:rPr>
                <w:rFonts w:ascii="Times New Roman" w:hAnsi="Times New Roman" w:eastAsia="Times New Roman" w:cs="Times New Roman"/>
                <w:color w:val="auto"/>
                <w:spacing w:val="-6"/>
                <w:position w:val="7"/>
                <w:sz w:val="15"/>
                <w:szCs w:val="15"/>
              </w:rPr>
              <w:t>3</w:t>
            </w:r>
            <w:r>
              <w:rPr>
                <w:color w:val="auto"/>
                <w:spacing w:val="-6"/>
                <w:sz w:val="24"/>
                <w:szCs w:val="24"/>
              </w:rPr>
              <w:t>，黑浆密度为</w:t>
            </w:r>
            <w:r>
              <w:rPr>
                <w:rFonts w:ascii="Times New Roman" w:hAnsi="Times New Roman" w:eastAsia="Times New Roman" w:cs="Times New Roman"/>
                <w:color w:val="auto"/>
                <w:spacing w:val="-6"/>
                <w:sz w:val="24"/>
                <w:szCs w:val="24"/>
              </w:rPr>
              <w:t>1.2g/cm</w:t>
            </w:r>
            <w:r>
              <w:rPr>
                <w:rFonts w:ascii="Times New Roman" w:hAnsi="Times New Roman" w:eastAsia="Times New Roman" w:cs="Times New Roman"/>
                <w:color w:val="auto"/>
                <w:spacing w:val="-6"/>
                <w:position w:val="7"/>
                <w:sz w:val="15"/>
                <w:szCs w:val="15"/>
              </w:rPr>
              <w:t>3</w:t>
            </w:r>
            <w:r>
              <w:rPr>
                <w:color w:val="auto"/>
                <w:spacing w:val="-6"/>
                <w:sz w:val="24"/>
                <w:szCs w:val="24"/>
              </w:rPr>
              <w:t>，助剂密度为</w:t>
            </w:r>
            <w:r>
              <w:rPr>
                <w:rFonts w:ascii="Times New Roman" w:hAnsi="Times New Roman" w:eastAsia="Times New Roman" w:cs="Times New Roman"/>
                <w:color w:val="auto"/>
                <w:spacing w:val="-6"/>
                <w:sz w:val="24"/>
                <w:szCs w:val="24"/>
              </w:rPr>
              <w:t>1.1g/cm</w:t>
            </w:r>
            <w:r>
              <w:rPr>
                <w:rFonts w:ascii="Times New Roman" w:hAnsi="Times New Roman" w:eastAsia="Times New Roman" w:cs="Times New Roman"/>
                <w:color w:val="auto"/>
                <w:spacing w:val="-6"/>
                <w:position w:val="7"/>
                <w:sz w:val="15"/>
                <w:szCs w:val="15"/>
              </w:rPr>
              <w:t>3</w:t>
            </w:r>
            <w:r>
              <w:rPr>
                <w:color w:val="auto"/>
                <w:spacing w:val="-6"/>
                <w:sz w:val="24"/>
                <w:szCs w:val="24"/>
              </w:rPr>
              <w:t>，中和剂密</w:t>
            </w:r>
            <w:r>
              <w:rPr>
                <w:color w:val="auto"/>
                <w:spacing w:val="-5"/>
                <w:sz w:val="24"/>
                <w:szCs w:val="24"/>
              </w:rPr>
              <w:t>度为</w:t>
            </w:r>
            <w:r>
              <w:rPr>
                <w:rFonts w:ascii="Times New Roman" w:hAnsi="Times New Roman" w:eastAsia="Times New Roman" w:cs="Times New Roman"/>
                <w:color w:val="auto"/>
                <w:spacing w:val="-5"/>
                <w:sz w:val="24"/>
                <w:szCs w:val="24"/>
              </w:rPr>
              <w:t>1.1g/cm</w:t>
            </w:r>
            <w:r>
              <w:rPr>
                <w:rFonts w:ascii="Times New Roman" w:hAnsi="Times New Roman" w:eastAsia="Times New Roman" w:cs="Times New Roman"/>
                <w:color w:val="auto"/>
                <w:spacing w:val="-5"/>
                <w:position w:val="7"/>
                <w:sz w:val="15"/>
                <w:szCs w:val="15"/>
              </w:rPr>
              <w:t>3</w:t>
            </w:r>
            <w:r>
              <w:rPr>
                <w:color w:val="auto"/>
                <w:spacing w:val="-5"/>
                <w:sz w:val="24"/>
                <w:szCs w:val="24"/>
              </w:rPr>
              <w:t>，则乳液体积为</w:t>
            </w:r>
            <w:r>
              <w:rPr>
                <w:rFonts w:ascii="Times New Roman" w:hAnsi="Times New Roman" w:eastAsia="Times New Roman" w:cs="Times New Roman"/>
                <w:color w:val="auto"/>
                <w:spacing w:val="-5"/>
                <w:sz w:val="24"/>
                <w:szCs w:val="24"/>
              </w:rPr>
              <w:t>12272.7L</w:t>
            </w:r>
            <w:r>
              <w:rPr>
                <w:color w:val="auto"/>
                <w:spacing w:val="-5"/>
                <w:sz w:val="24"/>
                <w:szCs w:val="24"/>
              </w:rPr>
              <w:t>，黑浆体积为</w:t>
            </w:r>
            <w:r>
              <w:rPr>
                <w:rFonts w:ascii="Times New Roman" w:hAnsi="Times New Roman" w:eastAsia="Times New Roman" w:cs="Times New Roman"/>
                <w:color w:val="auto"/>
                <w:spacing w:val="-5"/>
                <w:sz w:val="24"/>
                <w:szCs w:val="24"/>
              </w:rPr>
              <w:t>1750L</w:t>
            </w:r>
            <w:r>
              <w:rPr>
                <w:color w:val="auto"/>
                <w:spacing w:val="-5"/>
                <w:sz w:val="24"/>
                <w:szCs w:val="24"/>
              </w:rPr>
              <w:t>，助剂体积为</w:t>
            </w:r>
            <w:r>
              <w:rPr>
                <w:rFonts w:ascii="Times New Roman" w:hAnsi="Times New Roman" w:eastAsia="Times New Roman" w:cs="Times New Roman"/>
                <w:color w:val="auto"/>
                <w:spacing w:val="-4"/>
                <w:sz w:val="24"/>
                <w:szCs w:val="24"/>
              </w:rPr>
              <w:t>163.63L</w:t>
            </w:r>
            <w:r>
              <w:rPr>
                <w:color w:val="auto"/>
                <w:spacing w:val="-4"/>
                <w:sz w:val="24"/>
                <w:szCs w:val="24"/>
              </w:rPr>
              <w:t>，中和剂体积为</w:t>
            </w:r>
            <w:r>
              <w:rPr>
                <w:rFonts w:ascii="Times New Roman" w:hAnsi="Times New Roman" w:eastAsia="Times New Roman" w:cs="Times New Roman"/>
                <w:color w:val="auto"/>
                <w:spacing w:val="-4"/>
                <w:sz w:val="24"/>
                <w:szCs w:val="24"/>
              </w:rPr>
              <w:t>109.09L</w:t>
            </w:r>
            <w:r>
              <w:rPr>
                <w:color w:val="auto"/>
                <w:spacing w:val="-4"/>
                <w:sz w:val="24"/>
                <w:szCs w:val="24"/>
              </w:rPr>
              <w:t>。挥发性有机物量为</w:t>
            </w:r>
            <w:r>
              <w:rPr>
                <w:rFonts w:ascii="Times New Roman" w:hAnsi="Times New Roman" w:eastAsia="Times New Roman" w:cs="Times New Roman"/>
                <w:color w:val="auto"/>
                <w:spacing w:val="-1"/>
                <w:sz w:val="24"/>
                <w:szCs w:val="24"/>
              </w:rPr>
              <w:t>621kg+189kg+95.4kg+36kg=941.4kg</w:t>
            </w:r>
            <w:r>
              <w:rPr>
                <w:color w:val="auto"/>
                <w:spacing w:val="-1"/>
                <w:sz w:val="24"/>
                <w:szCs w:val="24"/>
              </w:rPr>
              <w:t>；则施用状态，电泳漆挥发性有机物含量</w:t>
            </w:r>
            <w:r>
              <w:rPr>
                <w:color w:val="auto"/>
                <w:spacing w:val="-3"/>
                <w:sz w:val="24"/>
                <w:szCs w:val="24"/>
              </w:rPr>
              <w:t>为</w:t>
            </w:r>
            <w:r>
              <w:rPr>
                <w:rFonts w:ascii="Times New Roman" w:hAnsi="Times New Roman" w:eastAsia="Times New Roman" w:cs="Times New Roman"/>
                <w:color w:val="auto"/>
                <w:spacing w:val="-3"/>
                <w:sz w:val="24"/>
                <w:szCs w:val="24"/>
              </w:rPr>
              <w:t>65.85g/L</w:t>
            </w:r>
            <w:r>
              <w:rPr>
                <w:color w:val="auto"/>
                <w:spacing w:val="-3"/>
                <w:sz w:val="24"/>
                <w:szCs w:val="24"/>
              </w:rPr>
              <w:t>。</w:t>
            </w:r>
          </w:p>
          <w:p w14:paraId="5A195892">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项目使用的涂料中VOCs含量判定</w:t>
            </w:r>
          </w:p>
          <w:p w14:paraId="12BBF5BD">
            <w:pPr>
              <w:spacing w:line="146" w:lineRule="exact"/>
              <w:rPr>
                <w:color w:val="auto"/>
              </w:rPr>
            </w:pPr>
          </w:p>
          <w:tbl>
            <w:tblPr>
              <w:tblStyle w:val="8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549"/>
              <w:gridCol w:w="1308"/>
              <w:gridCol w:w="1706"/>
              <w:gridCol w:w="1788"/>
              <w:gridCol w:w="840"/>
              <w:gridCol w:w="2449"/>
            </w:tblGrid>
            <w:tr w14:paraId="736F1243">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318" w:type="pct"/>
                  <w:tcBorders>
                    <w:bottom w:val="single" w:color="000000" w:sz="12" w:space="0"/>
                  </w:tcBorders>
                  <w:vAlign w:val="center"/>
                </w:tcPr>
                <w:p w14:paraId="74B3716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757" w:type="pct"/>
                  <w:tcBorders>
                    <w:bottom w:val="single" w:color="000000" w:sz="12" w:space="0"/>
                  </w:tcBorders>
                  <w:vAlign w:val="center"/>
                </w:tcPr>
                <w:p w14:paraId="2871CBBF">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含VOCs物料</w:t>
                  </w:r>
                </w:p>
              </w:tc>
              <w:tc>
                <w:tcPr>
                  <w:tcW w:w="987" w:type="pct"/>
                  <w:tcBorders>
                    <w:bottom w:val="single" w:color="000000" w:sz="12" w:space="0"/>
                  </w:tcBorders>
                  <w:vAlign w:val="center"/>
                </w:tcPr>
                <w:p w14:paraId="029CE1E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本项目生产状态</w:t>
                  </w:r>
                </w:p>
                <w:p w14:paraId="15287562">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下电泳涂料中</w:t>
                  </w:r>
                </w:p>
                <w:p w14:paraId="0EF09FA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VOCs含量</w:t>
                  </w:r>
                </w:p>
              </w:tc>
              <w:tc>
                <w:tcPr>
                  <w:tcW w:w="1035" w:type="pct"/>
                  <w:tcBorders>
                    <w:bottom w:val="single" w:color="000000" w:sz="12" w:space="0"/>
                  </w:tcBorders>
                  <w:vAlign w:val="center"/>
                </w:tcPr>
                <w:p w14:paraId="026256D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涂料中VOCs含量限值</w:t>
                  </w:r>
                </w:p>
              </w:tc>
              <w:tc>
                <w:tcPr>
                  <w:tcW w:w="486" w:type="pct"/>
                  <w:tcBorders>
                    <w:bottom w:val="single" w:color="000000" w:sz="12" w:space="0"/>
                  </w:tcBorders>
                  <w:vAlign w:val="center"/>
                </w:tcPr>
                <w:p w14:paraId="446F3A8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符合性分析</w:t>
                  </w:r>
                </w:p>
              </w:tc>
              <w:tc>
                <w:tcPr>
                  <w:tcW w:w="1414" w:type="pct"/>
                  <w:tcBorders>
                    <w:bottom w:val="single" w:color="000000" w:sz="12" w:space="0"/>
                  </w:tcBorders>
                  <w:vAlign w:val="center"/>
                </w:tcPr>
                <w:p w14:paraId="54F497AD">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标准来源</w:t>
                  </w:r>
                </w:p>
              </w:tc>
            </w:tr>
            <w:tr w14:paraId="00994A5C">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318" w:type="pct"/>
                  <w:tcBorders>
                    <w:top w:val="single" w:color="000000" w:sz="12" w:space="0"/>
                    <w:tl2br w:val="nil"/>
                    <w:tr2bl w:val="nil"/>
                  </w:tcBorders>
                  <w:vAlign w:val="center"/>
                </w:tcPr>
                <w:p w14:paraId="1628AEE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757" w:type="pct"/>
                  <w:tcBorders>
                    <w:top w:val="single" w:color="000000" w:sz="12" w:space="0"/>
                    <w:tl2br w:val="nil"/>
                    <w:tr2bl w:val="nil"/>
                  </w:tcBorders>
                  <w:vAlign w:val="center"/>
                </w:tcPr>
                <w:p w14:paraId="68BF2B7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电泳涂料</w:t>
                  </w:r>
                </w:p>
              </w:tc>
              <w:tc>
                <w:tcPr>
                  <w:tcW w:w="987" w:type="pct"/>
                  <w:tcBorders>
                    <w:top w:val="single" w:color="000000" w:sz="12" w:space="0"/>
                    <w:tl2br w:val="nil"/>
                    <w:tr2bl w:val="nil"/>
                  </w:tcBorders>
                  <w:vAlign w:val="center"/>
                </w:tcPr>
                <w:p w14:paraId="76907D19">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65.85</w:t>
                  </w:r>
                  <w:r>
                    <w:rPr>
                      <w:rFonts w:hint="eastAsia" w:ascii="Times New Roman" w:hAnsi="Times New Roman" w:eastAsia="宋体" w:cs="Times New Roman"/>
                      <w:color w:val="auto"/>
                      <w:sz w:val="21"/>
                      <w:szCs w:val="21"/>
                      <w:lang w:val="en-US" w:eastAsia="zh-CN"/>
                    </w:rPr>
                    <w:t>g/L</w:t>
                  </w:r>
                </w:p>
              </w:tc>
              <w:tc>
                <w:tcPr>
                  <w:tcW w:w="1035" w:type="pct"/>
                  <w:tcBorders>
                    <w:top w:val="single" w:color="000000" w:sz="12" w:space="0"/>
                    <w:tl2br w:val="nil"/>
                    <w:tr2bl w:val="nil"/>
                  </w:tcBorders>
                  <w:vAlign w:val="center"/>
                </w:tcPr>
                <w:p w14:paraId="0C8F2E01">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≤200g/L</w:t>
                  </w:r>
                </w:p>
              </w:tc>
              <w:tc>
                <w:tcPr>
                  <w:tcW w:w="486" w:type="pct"/>
                  <w:tcBorders>
                    <w:top w:val="single" w:color="000000" w:sz="12" w:space="0"/>
                    <w:tl2br w:val="nil"/>
                    <w:tr2bl w:val="nil"/>
                  </w:tcBorders>
                  <w:vAlign w:val="center"/>
                </w:tcPr>
                <w:p w14:paraId="05EAEE23">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c>
                <w:tcPr>
                  <w:tcW w:w="1414" w:type="pct"/>
                  <w:tcBorders>
                    <w:top w:val="single" w:color="000000" w:sz="12" w:space="0"/>
                    <w:tl2br w:val="nil"/>
                    <w:tr2bl w:val="nil"/>
                  </w:tcBorders>
                  <w:vAlign w:val="center"/>
                </w:tcPr>
                <w:p w14:paraId="29338E8B">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《低挥发性有机化合物含量涂料产品技术要求》GB/T38597-2020</w:t>
                  </w:r>
                </w:p>
              </w:tc>
            </w:tr>
            <w:tr w14:paraId="6E15081A">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 w:hRule="atLeast"/>
              </w:trPr>
              <w:tc>
                <w:tcPr>
                  <w:tcW w:w="5000" w:type="pct"/>
                  <w:gridSpan w:val="6"/>
                  <w:tcBorders>
                    <w:tl2br w:val="nil"/>
                    <w:tr2bl w:val="nil"/>
                  </w:tcBorders>
                  <w:vAlign w:val="center"/>
                </w:tcPr>
                <w:p w14:paraId="55681B06">
                  <w:pPr>
                    <w:pStyle w:val="48"/>
                    <w:keepNext w:val="0"/>
                    <w:keepLines w:val="0"/>
                    <w:pageBreakBefore w:val="0"/>
                    <w:widowControl w:val="0"/>
                    <w:suppressLineNumbers w:val="0"/>
                    <w:tabs>
                      <w:tab w:val="left" w:pos="0"/>
                    </w:tabs>
                    <w:kinsoku/>
                    <w:wordWrap/>
                    <w:overflowPunct/>
                    <w:topLinePunct w:val="0"/>
                    <w:autoSpaceDE/>
                    <w:autoSpaceDN/>
                    <w:bidi w:val="0"/>
                    <w:adjustRightInd/>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注：根据《低挥发性有机化合物含量涂料产品技术要求》（GB/T 38597-2020），低挥发性有机化合物含量涂料产品是指施工状态下涂料产品中存在的挥发性有机化合物的质量符合本标准相应产品的挥发性有机化合物含量限量要求的涂料产品；水性涂料不考虑水的稀释比例。因此，本项目使用的电泳涂料（属水性涂料）在进行低VOC含量涂料判定时，取施工状态下（即生产状态下），电泳涂料组分加入电泳槽后槽液中VOCs的含量（需扣除水分）。</w:t>
                  </w:r>
                </w:p>
              </w:tc>
            </w:tr>
          </w:tbl>
          <w:p w14:paraId="341EE98C">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auto"/>
                <w:kern w:val="0"/>
                <w:sz w:val="24"/>
                <w:szCs w:val="20"/>
                <w:lang w:val="zh-CN" w:eastAsia="zh-CN" w:bidi="ar-SA"/>
              </w:rPr>
            </w:pPr>
            <w:r>
              <w:rPr>
                <w:rFonts w:ascii="Times New Roman" w:hAnsi="Times New Roman" w:eastAsia="宋体" w:cs="宋体"/>
                <w:color w:val="auto"/>
                <w:kern w:val="0"/>
                <w:sz w:val="24"/>
                <w:szCs w:val="20"/>
                <w:lang w:val="zh-CN" w:eastAsia="zh-CN" w:bidi="ar-SA"/>
              </w:rPr>
              <w:t>项目使用的电泳涂料中的挥发分占比满足《低挥发性有机化合物含量涂料产品技术要求》（GB/T 38597-2020）中的限值要求，本项目使用的电泳涂料属于低VOC含量涂料。</w:t>
            </w:r>
          </w:p>
          <w:p w14:paraId="6C1F4385">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auto"/>
                <w:kern w:val="0"/>
                <w:sz w:val="24"/>
                <w:szCs w:val="20"/>
                <w:lang w:val="zh-CN" w:eastAsia="zh-CN" w:bidi="ar-SA"/>
              </w:rPr>
            </w:pPr>
            <w:r>
              <w:rPr>
                <w:rFonts w:hint="eastAsia" w:cs="宋体"/>
                <w:color w:val="auto"/>
                <w:kern w:val="0"/>
                <w:sz w:val="24"/>
                <w:szCs w:val="20"/>
                <w:lang w:val="en-US" w:eastAsia="zh-CN" w:bidi="ar-SA"/>
              </w:rPr>
              <w:t>2）水性涂料</w:t>
            </w:r>
            <w:r>
              <w:rPr>
                <w:rFonts w:ascii="Times New Roman" w:hAnsi="Times New Roman" w:eastAsia="宋体" w:cs="宋体"/>
                <w:color w:val="auto"/>
                <w:kern w:val="0"/>
                <w:sz w:val="24"/>
                <w:szCs w:val="20"/>
                <w:lang w:val="zh-CN" w:eastAsia="zh-CN" w:bidi="ar-SA"/>
              </w:rPr>
              <w:t>低VOC含量涂料分析</w:t>
            </w:r>
          </w:p>
          <w:p w14:paraId="650E69C6">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default" w:ascii="Times New Roman" w:hAnsi="Times New Roman" w:eastAsia="宋体" w:cs="宋体"/>
                <w:color w:val="auto"/>
                <w:kern w:val="0"/>
                <w:sz w:val="24"/>
                <w:szCs w:val="20"/>
                <w:lang w:val="en-US" w:eastAsia="zh-CN" w:bidi="ar-SA"/>
              </w:rPr>
              <w:t>本项目使用的水性环氧酯涂料为单组分成品涂料。根据国恒信（常州）检测认证技术有限公司出具的检验报告（报告编号：TW221336W2）</w:t>
            </w:r>
            <w:r>
              <w:rPr>
                <w:rFonts w:hint="eastAsia" w:ascii="Times New Roman" w:hAnsi="Times New Roman" w:eastAsia="宋体" w:cs="宋体"/>
                <w:color w:val="auto"/>
                <w:kern w:val="0"/>
                <w:sz w:val="24"/>
                <w:szCs w:val="20"/>
                <w:lang w:val="en-US" w:eastAsia="zh-CN" w:bidi="ar-SA"/>
              </w:rPr>
              <w:t>（检测报告见附件15）</w:t>
            </w:r>
            <w:r>
              <w:rPr>
                <w:rFonts w:hint="default" w:ascii="Times New Roman" w:hAnsi="Times New Roman" w:eastAsia="宋体" w:cs="宋体"/>
                <w:color w:val="auto"/>
                <w:kern w:val="0"/>
                <w:sz w:val="24"/>
                <w:szCs w:val="20"/>
                <w:lang w:val="en-US" w:eastAsia="zh-CN" w:bidi="ar-SA"/>
              </w:rPr>
              <w:t>，该涂料VOC含量检测结果：158g/L</w:t>
            </w:r>
            <w:r>
              <w:rPr>
                <w:rFonts w:hint="eastAsia" w:ascii="Times New Roman" w:hAnsi="Times New Roman" w:eastAsia="宋体" w:cs="宋体"/>
                <w:color w:val="auto"/>
                <w:kern w:val="0"/>
                <w:sz w:val="24"/>
                <w:szCs w:val="20"/>
                <w:lang w:val="en-US" w:eastAsia="zh-CN" w:bidi="ar-SA"/>
              </w:rPr>
              <w:t>，故该涂料符合《低挥发性有机化合物含量涂料产品技术要求》（GB/T 38597-2020）中的限值要求，本项目喷漆使用的水性涂料属于低VOC含量涂料。</w:t>
            </w:r>
          </w:p>
          <w:p w14:paraId="7D05D0E6">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ascii="Times New Roman" w:hAnsi="Times New Roman" w:eastAsia="宋体" w:cs="宋体"/>
                <w:color w:val="auto"/>
                <w:kern w:val="0"/>
                <w:sz w:val="24"/>
                <w:szCs w:val="20"/>
                <w:lang w:val="zh-CN" w:eastAsia="zh-CN" w:bidi="ar-SA"/>
              </w:rPr>
            </w:pPr>
            <w:r>
              <w:rPr>
                <w:rFonts w:hint="eastAsia" w:ascii="Times New Roman" w:hAnsi="Times New Roman" w:eastAsia="宋体" w:cs="宋体"/>
                <w:color w:val="auto"/>
                <w:kern w:val="0"/>
                <w:sz w:val="24"/>
                <w:szCs w:val="20"/>
                <w:lang w:val="en-US" w:eastAsia="zh-CN" w:bidi="ar-SA"/>
              </w:rPr>
              <w:t>3）粉末涂料</w:t>
            </w:r>
            <w:r>
              <w:rPr>
                <w:rFonts w:ascii="Times New Roman" w:hAnsi="Times New Roman" w:eastAsia="宋体" w:cs="宋体"/>
                <w:color w:val="auto"/>
                <w:kern w:val="0"/>
                <w:sz w:val="24"/>
                <w:szCs w:val="20"/>
                <w:lang w:val="zh-CN" w:eastAsia="zh-CN" w:bidi="ar-SA"/>
              </w:rPr>
              <w:t>低VOC含量涂料分析</w:t>
            </w:r>
          </w:p>
          <w:p w14:paraId="2D5E80C8">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rFonts w:hint="eastAsia" w:ascii="Times New Roman" w:hAnsi="Times New Roman" w:eastAsia="宋体" w:cs="宋体"/>
                <w:color w:val="auto"/>
                <w:kern w:val="0"/>
                <w:sz w:val="24"/>
                <w:szCs w:val="20"/>
                <w:lang w:val="en-US" w:eastAsia="zh-CN" w:bidi="ar-SA"/>
              </w:rPr>
            </w:pPr>
            <w:r>
              <w:rPr>
                <w:rFonts w:hint="eastAsia" w:cs="宋体"/>
                <w:color w:val="auto"/>
                <w:kern w:val="0"/>
                <w:sz w:val="24"/>
                <w:szCs w:val="20"/>
                <w:lang w:val="en-US" w:eastAsia="zh-CN" w:bidi="ar-SA"/>
              </w:rPr>
              <w:t>本项目使用的粉末涂料为塑料粉末，根据厂家提供的检测报告，由常州检验检测标准认证研究院出具的检测报告（报告编号：（2021）CJ-WT-H0740）（检测报告见附件19），该涂料VOC含量检查结果为6g/L，故该涂料符合</w:t>
            </w:r>
            <w:r>
              <w:rPr>
                <w:rFonts w:hint="eastAsia" w:ascii="Times New Roman" w:hAnsi="Times New Roman" w:eastAsia="宋体" w:cs="宋体"/>
                <w:color w:val="auto"/>
                <w:kern w:val="0"/>
                <w:sz w:val="24"/>
                <w:szCs w:val="20"/>
                <w:lang w:val="en-US" w:eastAsia="zh-CN" w:bidi="ar-SA"/>
              </w:rPr>
              <w:t>《低挥发性有机化合物含量涂料产品技术要求》（GB/T 38597-2020）中的限值要求</w:t>
            </w:r>
            <w:r>
              <w:rPr>
                <w:rFonts w:hint="eastAsia" w:cs="宋体"/>
                <w:color w:val="auto"/>
                <w:kern w:val="0"/>
                <w:sz w:val="24"/>
                <w:szCs w:val="20"/>
                <w:lang w:val="en-US" w:eastAsia="zh-CN" w:bidi="ar-SA"/>
              </w:rPr>
              <w:t>，</w:t>
            </w:r>
            <w:r>
              <w:rPr>
                <w:rFonts w:hint="eastAsia" w:ascii="Times New Roman" w:hAnsi="Times New Roman" w:eastAsia="宋体" w:cs="宋体"/>
                <w:color w:val="auto"/>
                <w:kern w:val="0"/>
                <w:sz w:val="24"/>
                <w:szCs w:val="20"/>
                <w:lang w:val="en-US" w:eastAsia="zh-CN" w:bidi="ar-SA"/>
              </w:rPr>
              <w:t>本项目喷</w:t>
            </w:r>
            <w:r>
              <w:rPr>
                <w:rFonts w:hint="eastAsia" w:cs="宋体"/>
                <w:color w:val="auto"/>
                <w:kern w:val="0"/>
                <w:sz w:val="24"/>
                <w:szCs w:val="20"/>
                <w:lang w:val="en-US" w:eastAsia="zh-CN" w:bidi="ar-SA"/>
              </w:rPr>
              <w:t>粉</w:t>
            </w:r>
            <w:r>
              <w:rPr>
                <w:rFonts w:hint="eastAsia" w:ascii="Times New Roman" w:hAnsi="Times New Roman" w:eastAsia="宋体" w:cs="宋体"/>
                <w:color w:val="auto"/>
                <w:kern w:val="0"/>
                <w:sz w:val="24"/>
                <w:szCs w:val="20"/>
                <w:lang w:val="en-US" w:eastAsia="zh-CN" w:bidi="ar-SA"/>
              </w:rPr>
              <w:t>使用的</w:t>
            </w:r>
            <w:r>
              <w:rPr>
                <w:rFonts w:hint="eastAsia" w:cs="宋体"/>
                <w:color w:val="auto"/>
                <w:kern w:val="0"/>
                <w:sz w:val="24"/>
                <w:szCs w:val="20"/>
                <w:lang w:val="en-US" w:eastAsia="zh-CN" w:bidi="ar-SA"/>
              </w:rPr>
              <w:t>粉末</w:t>
            </w:r>
            <w:r>
              <w:rPr>
                <w:rFonts w:hint="eastAsia" w:ascii="Times New Roman" w:hAnsi="Times New Roman" w:eastAsia="宋体" w:cs="宋体"/>
                <w:color w:val="auto"/>
                <w:kern w:val="0"/>
                <w:sz w:val="24"/>
                <w:szCs w:val="20"/>
                <w:lang w:val="en-US" w:eastAsia="zh-CN" w:bidi="ar-SA"/>
              </w:rPr>
              <w:t>涂料属于低VOC含量涂料。</w:t>
            </w:r>
          </w:p>
          <w:p w14:paraId="09FB009C">
            <w:pPr>
              <w:pStyle w:val="46"/>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）主要能耗</w:t>
            </w:r>
          </w:p>
          <w:p w14:paraId="76984D0F">
            <w:pPr>
              <w:pStyle w:val="46"/>
              <w:keepNext w:val="0"/>
              <w:keepLines w:val="0"/>
              <w:pageBreakBefore w:val="0"/>
              <w:widowControl w:val="0"/>
              <w:kinsoku/>
              <w:wordWrap/>
              <w:overflowPunct/>
              <w:topLinePunct w:val="0"/>
              <w:bidi w:val="0"/>
              <w:adjustRightInd/>
              <w:snapToGrid/>
              <w:spacing w:line="360" w:lineRule="auto"/>
              <w:ind w:left="0" w:right="0" w:firstLine="480" w:firstLineChars="200"/>
              <w:textAlignment w:val="auto"/>
              <w:rPr>
                <w:rFonts w:hint="eastAsia"/>
                <w:color w:val="auto"/>
                <w:highlight w:val="none"/>
              </w:rPr>
            </w:pPr>
            <w:r>
              <w:rPr>
                <w:rFonts w:hint="eastAsia"/>
                <w:color w:val="auto"/>
                <w:highlight w:val="none"/>
              </w:rPr>
              <w:t>项目主要能源消耗情况见下表。</w:t>
            </w:r>
          </w:p>
          <w:p w14:paraId="7A736C27">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shd w:val="clear"/>
              </w:rPr>
            </w:pPr>
            <w:r>
              <w:rPr>
                <w:rFonts w:hint="eastAsia" w:ascii="Times New Roman" w:hAnsi="Times New Roman" w:eastAsia="宋体"/>
                <w:color w:val="auto"/>
                <w:highlight w:val="none"/>
              </w:rPr>
              <w:t>项目主</w:t>
            </w:r>
            <w:r>
              <w:rPr>
                <w:rFonts w:hint="eastAsia" w:ascii="Times New Roman" w:hAnsi="Times New Roman" w:eastAsia="宋体"/>
                <w:color w:val="auto"/>
                <w:highlight w:val="none"/>
                <w:shd w:val="clear"/>
              </w:rPr>
              <w:t>要能耗一览表</w:t>
            </w:r>
          </w:p>
          <w:tbl>
            <w:tblPr>
              <w:tblStyle w:val="34"/>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98"/>
              <w:gridCol w:w="2040"/>
              <w:gridCol w:w="2282"/>
              <w:gridCol w:w="2821"/>
            </w:tblGrid>
            <w:tr w14:paraId="25D7D2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867" w:type="pct"/>
                  <w:vMerge w:val="restart"/>
                  <w:tcBorders>
                    <w:bottom w:val="single" w:color="000000" w:sz="12" w:space="0"/>
                  </w:tcBorders>
                  <w:shd w:val="clear" w:color="auto" w:fill="auto"/>
                  <w:vAlign w:val="center"/>
                </w:tcPr>
                <w:p w14:paraId="7BD95B5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序号</w:t>
                  </w:r>
                </w:p>
              </w:tc>
              <w:tc>
                <w:tcPr>
                  <w:tcW w:w="1180" w:type="pct"/>
                  <w:vMerge w:val="restart"/>
                  <w:tcBorders>
                    <w:bottom w:val="single" w:color="000000" w:sz="12" w:space="0"/>
                  </w:tcBorders>
                  <w:shd w:val="clear" w:color="auto" w:fill="auto"/>
                  <w:vAlign w:val="center"/>
                </w:tcPr>
                <w:p w14:paraId="5350B20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名称</w:t>
                  </w:r>
                </w:p>
              </w:tc>
              <w:tc>
                <w:tcPr>
                  <w:tcW w:w="1320" w:type="pct"/>
                  <w:vMerge w:val="restart"/>
                  <w:tcBorders>
                    <w:bottom w:val="single" w:color="000000" w:sz="12" w:space="0"/>
                  </w:tcBorders>
                  <w:shd w:val="clear" w:color="auto" w:fill="auto"/>
                  <w:vAlign w:val="center"/>
                </w:tcPr>
                <w:p w14:paraId="5397ADB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单位</w:t>
                  </w:r>
                </w:p>
              </w:tc>
              <w:tc>
                <w:tcPr>
                  <w:tcW w:w="1632" w:type="pct"/>
                  <w:vMerge w:val="restart"/>
                  <w:tcBorders>
                    <w:bottom w:val="single" w:color="000000" w:sz="12" w:space="0"/>
                  </w:tcBorders>
                  <w:shd w:val="clear" w:color="auto" w:fill="auto"/>
                  <w:vAlign w:val="center"/>
                </w:tcPr>
                <w:p w14:paraId="33DAE4D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年用量</w:t>
                  </w:r>
                </w:p>
              </w:tc>
            </w:tr>
            <w:tr w14:paraId="6C8216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tblHeader/>
                <w:jc w:val="center"/>
              </w:trPr>
              <w:tc>
                <w:tcPr>
                  <w:tcW w:w="867" w:type="pct"/>
                  <w:vMerge w:val="continue"/>
                  <w:tcBorders>
                    <w:top w:val="single" w:color="000000" w:sz="12" w:space="0"/>
                    <w:bottom w:val="single" w:color="000000" w:sz="12" w:space="0"/>
                    <w:tl2br w:val="nil"/>
                    <w:tr2bl w:val="nil"/>
                  </w:tcBorders>
                  <w:shd w:val="clear" w:color="auto" w:fill="auto"/>
                  <w:vAlign w:val="center"/>
                </w:tcPr>
                <w:p w14:paraId="119C1115">
                  <w:pPr>
                    <w:pStyle w:val="30"/>
                    <w:widowControl w:val="0"/>
                    <w:spacing w:before="0" w:beforeAutospacing="0" w:after="0" w:afterAutospacing="0" w:line="240" w:lineRule="auto"/>
                    <w:jc w:val="center"/>
                    <w:rPr>
                      <w:rFonts w:ascii="Times New Roman" w:hAnsi="Times New Roman"/>
                      <w:color w:val="auto"/>
                      <w:sz w:val="21"/>
                      <w:szCs w:val="21"/>
                      <w:highlight w:val="none"/>
                    </w:rPr>
                  </w:pPr>
                </w:p>
              </w:tc>
              <w:tc>
                <w:tcPr>
                  <w:tcW w:w="1180" w:type="pct"/>
                  <w:vMerge w:val="continue"/>
                  <w:tcBorders>
                    <w:top w:val="single" w:color="000000" w:sz="12" w:space="0"/>
                    <w:bottom w:val="single" w:color="000000" w:sz="12" w:space="0"/>
                    <w:tl2br w:val="nil"/>
                    <w:tr2bl w:val="nil"/>
                  </w:tcBorders>
                  <w:shd w:val="clear" w:color="auto" w:fill="auto"/>
                  <w:vAlign w:val="center"/>
                </w:tcPr>
                <w:p w14:paraId="250CDFE2">
                  <w:pPr>
                    <w:pStyle w:val="30"/>
                    <w:widowControl w:val="0"/>
                    <w:spacing w:before="0" w:beforeAutospacing="0" w:after="0" w:afterAutospacing="0" w:line="240" w:lineRule="auto"/>
                    <w:jc w:val="center"/>
                    <w:rPr>
                      <w:rFonts w:ascii="Times New Roman" w:hAnsi="Times New Roman"/>
                      <w:color w:val="auto"/>
                      <w:sz w:val="21"/>
                      <w:szCs w:val="21"/>
                      <w:highlight w:val="none"/>
                    </w:rPr>
                  </w:pPr>
                </w:p>
              </w:tc>
              <w:tc>
                <w:tcPr>
                  <w:tcW w:w="1320" w:type="pct"/>
                  <w:vMerge w:val="continue"/>
                  <w:tcBorders>
                    <w:top w:val="single" w:color="000000" w:sz="12" w:space="0"/>
                    <w:bottom w:val="single" w:color="000000" w:sz="12" w:space="0"/>
                    <w:tl2br w:val="nil"/>
                    <w:tr2bl w:val="nil"/>
                  </w:tcBorders>
                  <w:shd w:val="clear" w:color="auto" w:fill="auto"/>
                  <w:vAlign w:val="center"/>
                </w:tcPr>
                <w:p w14:paraId="14412CED">
                  <w:pPr>
                    <w:pStyle w:val="30"/>
                    <w:widowControl w:val="0"/>
                    <w:spacing w:before="0" w:beforeAutospacing="0" w:after="0" w:afterAutospacing="0" w:line="240" w:lineRule="auto"/>
                    <w:jc w:val="center"/>
                    <w:rPr>
                      <w:rFonts w:ascii="Times New Roman" w:hAnsi="Times New Roman"/>
                      <w:color w:val="auto"/>
                      <w:sz w:val="21"/>
                      <w:szCs w:val="21"/>
                      <w:highlight w:val="none"/>
                    </w:rPr>
                  </w:pPr>
                </w:p>
              </w:tc>
              <w:tc>
                <w:tcPr>
                  <w:tcW w:w="1632" w:type="pct"/>
                  <w:vMerge w:val="continue"/>
                  <w:tcBorders>
                    <w:top w:val="single" w:color="000000" w:sz="12" w:space="0"/>
                    <w:bottom w:val="single" w:color="000000" w:sz="12" w:space="0"/>
                    <w:tl2br w:val="nil"/>
                    <w:tr2bl w:val="nil"/>
                  </w:tcBorders>
                  <w:shd w:val="clear" w:color="auto" w:fill="auto"/>
                  <w:vAlign w:val="center"/>
                </w:tcPr>
                <w:p w14:paraId="0F019C58">
                  <w:pPr>
                    <w:pStyle w:val="30"/>
                    <w:widowControl w:val="0"/>
                    <w:spacing w:before="0" w:beforeAutospacing="0" w:after="0" w:afterAutospacing="0" w:line="240" w:lineRule="auto"/>
                    <w:jc w:val="center"/>
                    <w:rPr>
                      <w:rFonts w:ascii="Times New Roman" w:hAnsi="Times New Roman"/>
                      <w:color w:val="auto"/>
                      <w:sz w:val="21"/>
                      <w:szCs w:val="21"/>
                      <w:highlight w:val="none"/>
                    </w:rPr>
                  </w:pPr>
                </w:p>
              </w:tc>
            </w:tr>
            <w:tr w14:paraId="79587A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867" w:type="pct"/>
                  <w:tcBorders>
                    <w:top w:val="single" w:color="000000" w:sz="12" w:space="0"/>
                    <w:tl2br w:val="nil"/>
                    <w:tr2bl w:val="nil"/>
                  </w:tcBorders>
                  <w:shd w:val="clear" w:color="auto" w:fill="auto"/>
                  <w:vAlign w:val="center"/>
                </w:tcPr>
                <w:p w14:paraId="1D55735A">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180" w:type="pct"/>
                  <w:tcBorders>
                    <w:top w:val="single" w:color="000000" w:sz="12" w:space="0"/>
                    <w:tl2br w:val="nil"/>
                    <w:tr2bl w:val="nil"/>
                  </w:tcBorders>
                  <w:shd w:val="clear" w:color="auto" w:fill="auto"/>
                  <w:vAlign w:val="center"/>
                </w:tcPr>
                <w:p w14:paraId="550BCCB1">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shd w:val="clear"/>
                    </w:rPr>
                    <w:t>新鲜水</w:t>
                  </w:r>
                </w:p>
              </w:tc>
              <w:tc>
                <w:tcPr>
                  <w:tcW w:w="1320" w:type="pct"/>
                  <w:tcBorders>
                    <w:top w:val="single" w:color="000000" w:sz="12" w:space="0"/>
                    <w:tl2br w:val="nil"/>
                    <w:tr2bl w:val="nil"/>
                  </w:tcBorders>
                  <w:shd w:val="clear" w:color="auto" w:fill="auto"/>
                  <w:vAlign w:val="center"/>
                </w:tcPr>
                <w:p w14:paraId="539E7083">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t/a</w:t>
                  </w:r>
                </w:p>
              </w:tc>
              <w:tc>
                <w:tcPr>
                  <w:tcW w:w="1632" w:type="pct"/>
                  <w:tcBorders>
                    <w:top w:val="single" w:color="000000" w:sz="12" w:space="0"/>
                    <w:tl2br w:val="nil"/>
                    <w:tr2bl w:val="nil"/>
                  </w:tcBorders>
                  <w:shd w:val="clear" w:color="auto" w:fill="auto"/>
                  <w:vAlign w:val="center"/>
                </w:tcPr>
                <w:p w14:paraId="6189D97E">
                  <w:pPr>
                    <w:widowControl/>
                    <w:spacing w:line="240" w:lineRule="auto"/>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1454.31</w:t>
                  </w:r>
                </w:p>
              </w:tc>
            </w:tr>
            <w:tr w14:paraId="02C832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867" w:type="pct"/>
                  <w:tcBorders>
                    <w:tl2br w:val="nil"/>
                    <w:tr2bl w:val="nil"/>
                  </w:tcBorders>
                  <w:shd w:val="clear" w:color="auto" w:fill="auto"/>
                  <w:vAlign w:val="center"/>
                </w:tcPr>
                <w:p w14:paraId="529FB859">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1180" w:type="pct"/>
                  <w:tcBorders>
                    <w:tl2br w:val="nil"/>
                    <w:tr2bl w:val="nil"/>
                  </w:tcBorders>
                  <w:shd w:val="clear" w:color="auto" w:fill="auto"/>
                  <w:vAlign w:val="center"/>
                </w:tcPr>
                <w:p w14:paraId="2B8D1EA6">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电</w:t>
                  </w:r>
                </w:p>
              </w:tc>
              <w:tc>
                <w:tcPr>
                  <w:tcW w:w="1320" w:type="pct"/>
                  <w:tcBorders>
                    <w:tl2br w:val="nil"/>
                    <w:tr2bl w:val="nil"/>
                  </w:tcBorders>
                  <w:shd w:val="clear" w:color="auto" w:fill="auto"/>
                  <w:vAlign w:val="center"/>
                </w:tcPr>
                <w:p w14:paraId="0ACB083F">
                  <w:pPr>
                    <w:pStyle w:val="30"/>
                    <w:widowControl w:val="0"/>
                    <w:spacing w:before="0" w:beforeAutospacing="0" w:after="0" w:afterAutospacing="0" w:line="240" w:lineRule="auto"/>
                    <w:jc w:val="center"/>
                    <w:rPr>
                      <w:rFonts w:ascii="Times New Roman" w:hAnsi="Times New Roman"/>
                      <w:color w:val="auto"/>
                      <w:sz w:val="21"/>
                      <w:szCs w:val="21"/>
                      <w:highlight w:val="none"/>
                    </w:rPr>
                  </w:pPr>
                  <w:r>
                    <w:rPr>
                      <w:rFonts w:ascii="Times New Roman" w:hAnsi="Times New Roman"/>
                      <w:color w:val="auto"/>
                      <w:sz w:val="21"/>
                      <w:szCs w:val="21"/>
                      <w:highlight w:val="none"/>
                    </w:rPr>
                    <w:t>万kwh/a</w:t>
                  </w:r>
                </w:p>
              </w:tc>
              <w:tc>
                <w:tcPr>
                  <w:tcW w:w="1632" w:type="pct"/>
                  <w:tcBorders>
                    <w:tl2br w:val="nil"/>
                    <w:tr2bl w:val="nil"/>
                  </w:tcBorders>
                  <w:shd w:val="clear" w:color="auto" w:fill="auto"/>
                  <w:vAlign w:val="center"/>
                </w:tcPr>
                <w:p w14:paraId="4D075084">
                  <w:pPr>
                    <w:widowControl/>
                    <w:spacing w:line="240" w:lineRule="auto"/>
                    <w:jc w:val="center"/>
                    <w:textAlignment w:val="center"/>
                    <w:rPr>
                      <w:rFonts w:hint="default" w:eastAsia="宋体"/>
                      <w:color w:val="auto"/>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2</w:t>
                  </w:r>
                  <w:r>
                    <w:rPr>
                      <w:rFonts w:hint="eastAsia" w:cs="Times New Roman"/>
                      <w:color w:val="auto"/>
                      <w:spacing w:val="2"/>
                      <w:sz w:val="21"/>
                      <w:szCs w:val="21"/>
                      <w:highlight w:val="none"/>
                      <w:lang w:val="en-US" w:eastAsia="zh-CN"/>
                    </w:rPr>
                    <w:t>00</w:t>
                  </w:r>
                </w:p>
              </w:tc>
            </w:tr>
            <w:tr w14:paraId="2443DC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exact"/>
                <w:jc w:val="center"/>
              </w:trPr>
              <w:tc>
                <w:tcPr>
                  <w:tcW w:w="867" w:type="pct"/>
                  <w:tcBorders>
                    <w:tl2br w:val="nil"/>
                    <w:tr2bl w:val="nil"/>
                  </w:tcBorders>
                  <w:shd w:val="clear" w:color="auto" w:fill="auto"/>
                  <w:vAlign w:val="center"/>
                </w:tcPr>
                <w:p w14:paraId="70D2B37A">
                  <w:pPr>
                    <w:pStyle w:val="30"/>
                    <w:widowControl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w:t>
                  </w:r>
                </w:p>
              </w:tc>
              <w:tc>
                <w:tcPr>
                  <w:tcW w:w="1180" w:type="pct"/>
                  <w:tcBorders>
                    <w:tl2br w:val="nil"/>
                    <w:tr2bl w:val="nil"/>
                  </w:tcBorders>
                  <w:shd w:val="clear" w:color="auto" w:fill="auto"/>
                  <w:vAlign w:val="center"/>
                </w:tcPr>
                <w:p w14:paraId="2970597A">
                  <w:pPr>
                    <w:pStyle w:val="30"/>
                    <w:widowControl w:val="0"/>
                    <w:spacing w:before="0" w:beforeAutospacing="0" w:after="0" w:afterAutospacing="0" w:line="240" w:lineRule="auto"/>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天然气</w:t>
                  </w:r>
                </w:p>
              </w:tc>
              <w:tc>
                <w:tcPr>
                  <w:tcW w:w="1320" w:type="pct"/>
                  <w:tcBorders>
                    <w:tl2br w:val="nil"/>
                    <w:tr2bl w:val="nil"/>
                  </w:tcBorders>
                  <w:shd w:val="clear" w:color="auto" w:fill="auto"/>
                  <w:vAlign w:val="center"/>
                </w:tcPr>
                <w:p w14:paraId="6957C15C">
                  <w:pPr>
                    <w:pStyle w:val="30"/>
                    <w:widowControl w:val="0"/>
                    <w:spacing w:before="0" w:beforeAutospacing="0" w:after="0" w:afterAutospacing="0" w:line="240" w:lineRule="auto"/>
                    <w:jc w:val="center"/>
                    <w:rPr>
                      <w:rFonts w:hint="default" w:ascii="Times New Roman" w:hAnsi="Times New Roman" w:eastAsia="宋体"/>
                      <w:color w:val="auto"/>
                      <w:sz w:val="21"/>
                      <w:szCs w:val="21"/>
                      <w:highlight w:val="none"/>
                      <w:vertAlign w:val="baseline"/>
                      <w:lang w:val="en-US" w:eastAsia="zh-CN"/>
                    </w:rPr>
                  </w:pPr>
                  <w:r>
                    <w:rPr>
                      <w:rFonts w:hint="eastAsia"/>
                      <w:color w:val="auto"/>
                      <w:sz w:val="21"/>
                      <w:szCs w:val="21"/>
                      <w:highlight w:val="none"/>
                      <w:lang w:val="en-US" w:eastAsia="zh-CN"/>
                    </w:rPr>
                    <w:t>万m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/a</w:t>
                  </w:r>
                </w:p>
              </w:tc>
              <w:tc>
                <w:tcPr>
                  <w:tcW w:w="1632" w:type="pct"/>
                  <w:tcBorders>
                    <w:tl2br w:val="nil"/>
                    <w:tr2bl w:val="nil"/>
                  </w:tcBorders>
                  <w:shd w:val="clear" w:color="auto" w:fill="auto"/>
                  <w:vAlign w:val="center"/>
                </w:tcPr>
                <w:p w14:paraId="58216CE5">
                  <w:pPr>
                    <w:widowControl/>
                    <w:spacing w:line="240" w:lineRule="auto"/>
                    <w:jc w:val="center"/>
                    <w:textAlignment w:val="center"/>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5</w:t>
                  </w:r>
                </w:p>
              </w:tc>
            </w:tr>
          </w:tbl>
          <w:p w14:paraId="5D60D5C4">
            <w:pPr>
              <w:pStyle w:val="3"/>
              <w:bidi w:val="0"/>
              <w:ind w:left="0" w:leftChars="0" w:firstLine="0" w:firstLineChars="0"/>
              <w:rPr>
                <w:rFonts w:hint="eastAsia"/>
                <w:color w:val="auto"/>
                <w:highlight w:val="none"/>
              </w:rPr>
            </w:pPr>
            <w:r>
              <w:rPr>
                <w:rFonts w:hint="eastAsia"/>
                <w:color w:val="auto"/>
                <w:highlight w:val="none"/>
                <w:lang w:val="en-US" w:eastAsia="zh-CN"/>
              </w:rPr>
              <w:t>水平衡及物料平衡</w:t>
            </w:r>
          </w:p>
          <w:p w14:paraId="74549DEC">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水平衡</w:t>
            </w:r>
          </w:p>
          <w:p w14:paraId="6843A46A">
            <w:pPr>
              <w:pStyle w:val="46"/>
              <w:keepNext w:val="0"/>
              <w:keepLines w:val="0"/>
              <w:pageBreakBefore w:val="0"/>
              <w:widowControl w:val="0"/>
              <w:numPr>
                <w:ilvl w:val="0"/>
                <w:numId w:val="0"/>
              </w:numPr>
              <w:shd w:val="clear"/>
              <w:kinsoku/>
              <w:wordWrap/>
              <w:overflowPunct/>
              <w:topLinePunct w:val="0"/>
              <w:autoSpaceDE w:val="0"/>
              <w:autoSpaceDN w:val="0"/>
              <w:bidi w:val="0"/>
              <w:adjustRightInd/>
              <w:snapToGrid/>
              <w:ind w:firstLine="480" w:firstLineChars="200"/>
              <w:textAlignment w:val="auto"/>
              <w:rPr>
                <w:color w:val="auto"/>
                <w:highlight w:val="none"/>
              </w:rPr>
            </w:pPr>
            <w:r>
              <w:rPr>
                <w:rFonts w:ascii="Times New Roman" w:hAnsi="Times New Roman" w:eastAsia="宋体" w:cs="宋体"/>
                <w:color w:val="auto"/>
                <w:kern w:val="0"/>
                <w:sz w:val="24"/>
                <w:szCs w:val="20"/>
                <w:lang w:val="zh-CN" w:eastAsia="zh-CN" w:bidi="ar-SA"/>
              </w:rPr>
              <w:t>（1）</w:t>
            </w:r>
            <w:r>
              <w:rPr>
                <w:rFonts w:hint="eastAsia"/>
                <w:color w:val="auto"/>
                <w:highlight w:val="none"/>
              </w:rPr>
              <w:t>生产用水</w:t>
            </w:r>
          </w:p>
          <w:p w14:paraId="2831554F">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default" w:eastAsia="宋体"/>
                <w:color w:val="auto"/>
                <w:highlight w:val="none"/>
                <w:lang w:val="en-US" w:eastAsia="zh-CN"/>
              </w:rPr>
            </w:pPr>
            <w:r>
              <w:rPr>
                <w:color w:val="auto"/>
                <w:highlight w:val="none"/>
              </w:rPr>
              <w:t>项目</w:t>
            </w:r>
            <w:r>
              <w:rPr>
                <w:rFonts w:hint="eastAsia"/>
                <w:color w:val="auto"/>
                <w:highlight w:val="none"/>
              </w:rPr>
              <w:t>生产用水</w:t>
            </w:r>
            <w:r>
              <w:rPr>
                <w:rFonts w:hint="eastAsia"/>
                <w:color w:val="auto"/>
                <w:highlight w:val="none"/>
                <w:lang w:val="en-US" w:eastAsia="zh-CN"/>
              </w:rPr>
              <w:t>主要</w:t>
            </w:r>
            <w:r>
              <w:rPr>
                <w:rFonts w:hint="eastAsia"/>
                <w:color w:val="auto"/>
                <w:highlight w:val="none"/>
              </w:rPr>
              <w:t>为</w:t>
            </w:r>
            <w:r>
              <w:rPr>
                <w:rFonts w:hint="eastAsia"/>
                <w:color w:val="auto"/>
                <w:highlight w:val="none"/>
                <w:lang w:val="en-US" w:eastAsia="zh-CN"/>
              </w:rPr>
              <w:t>纯</w:t>
            </w:r>
            <w:r>
              <w:rPr>
                <w:rFonts w:hint="eastAsia"/>
                <w:color w:val="auto"/>
                <w:highlight w:val="none"/>
              </w:rPr>
              <w:t>水洗废水、脱脂废水、脱脂后水洗废水、硅烷后水洗废水、纯水制备尾水</w:t>
            </w:r>
            <w:r>
              <w:rPr>
                <w:rFonts w:hint="eastAsia"/>
                <w:color w:val="auto"/>
                <w:highlight w:val="none"/>
                <w:lang w:eastAsia="zh-CN"/>
              </w:rPr>
              <w:t>、</w:t>
            </w:r>
            <w:r>
              <w:rPr>
                <w:rFonts w:hint="eastAsia"/>
                <w:color w:val="auto"/>
                <w:highlight w:val="none"/>
                <w:lang w:val="en-US" w:eastAsia="zh-CN"/>
              </w:rPr>
              <w:t>水帘喷漆废水等。</w:t>
            </w:r>
          </w:p>
          <w:p w14:paraId="0CA875C7">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①脱脂废水W</w:t>
            </w:r>
            <w:r>
              <w:rPr>
                <w:rFonts w:hint="eastAsia"/>
                <w:color w:val="auto"/>
                <w:highlight w:val="none"/>
                <w:lang w:val="en-US" w:eastAsia="zh-CN"/>
              </w:rPr>
              <w:t>1</w:t>
            </w:r>
          </w:p>
          <w:p w14:paraId="106ACFD5">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项目脱脂槽液循环使用，定期更换（约6个月更换一次（33.9m</w:t>
            </w:r>
            <w:r>
              <w:rPr>
                <w:rFonts w:hint="eastAsia"/>
                <w:color w:val="auto"/>
                <w:highlight w:val="none"/>
                <w:vertAlign w:val="superscript"/>
              </w:rPr>
              <w:t>3</w:t>
            </w:r>
            <w:r>
              <w:rPr>
                <w:rFonts w:hint="eastAsia"/>
                <w:color w:val="auto"/>
                <w:highlight w:val="none"/>
              </w:rPr>
              <w:t>/次）），产生脱脂废水W</w:t>
            </w:r>
            <w:r>
              <w:rPr>
                <w:rFonts w:hint="eastAsia"/>
                <w:color w:val="auto"/>
                <w:highlight w:val="none"/>
                <w:lang w:val="en-US" w:eastAsia="zh-CN"/>
              </w:rPr>
              <w:t>1</w:t>
            </w:r>
            <w:r>
              <w:rPr>
                <w:rFonts w:hint="eastAsia"/>
                <w:color w:val="auto"/>
                <w:highlight w:val="none"/>
              </w:rPr>
              <w:t>，产生量为57m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0.19</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、SS、石油类、LAS。</w:t>
            </w:r>
          </w:p>
          <w:p w14:paraId="7E512241">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②脱脂后水洗废水W</w:t>
            </w:r>
            <w:r>
              <w:rPr>
                <w:rFonts w:hint="eastAsia"/>
                <w:color w:val="auto"/>
                <w:highlight w:val="none"/>
                <w:lang w:val="en-US" w:eastAsia="zh-CN"/>
              </w:rPr>
              <w:t>2</w:t>
            </w:r>
            <w:r>
              <w:rPr>
                <w:rFonts w:hint="eastAsia"/>
                <w:color w:val="auto"/>
                <w:highlight w:val="none"/>
              </w:rPr>
              <w:t>、W</w:t>
            </w:r>
            <w:r>
              <w:rPr>
                <w:rFonts w:hint="eastAsia"/>
                <w:color w:val="auto"/>
                <w:highlight w:val="none"/>
                <w:lang w:val="en-US" w:eastAsia="zh-CN"/>
              </w:rPr>
              <w:t>3</w:t>
            </w:r>
          </w:p>
          <w:p w14:paraId="66602CE2">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项目脱脂后需要进行水洗，包括2道水洗，每个水洗槽每周需要排水一次（2m</w:t>
            </w:r>
            <w:r>
              <w:rPr>
                <w:rFonts w:hint="eastAsia"/>
                <w:color w:val="auto"/>
                <w:highlight w:val="none"/>
                <w:vertAlign w:val="superscript"/>
              </w:rPr>
              <w:t>3</w:t>
            </w:r>
            <w:r>
              <w:rPr>
                <w:rFonts w:hint="eastAsia"/>
                <w:color w:val="auto"/>
                <w:highlight w:val="none"/>
              </w:rPr>
              <w:t>/次）。经核算，脱脂后水洗废水产生量为171m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0.57</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、SS、石油类、LAS。</w:t>
            </w:r>
          </w:p>
          <w:p w14:paraId="2D548E96">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③硅烷后水洗废水W</w:t>
            </w:r>
            <w:r>
              <w:rPr>
                <w:rFonts w:hint="eastAsia"/>
                <w:color w:val="auto"/>
                <w:highlight w:val="none"/>
                <w:lang w:val="en-US" w:eastAsia="zh-CN"/>
              </w:rPr>
              <w:t>4</w:t>
            </w:r>
            <w:r>
              <w:rPr>
                <w:rFonts w:hint="eastAsia"/>
                <w:color w:val="auto"/>
                <w:highlight w:val="none"/>
              </w:rPr>
              <w:t>、W</w:t>
            </w:r>
            <w:r>
              <w:rPr>
                <w:rFonts w:hint="eastAsia"/>
                <w:color w:val="auto"/>
                <w:highlight w:val="none"/>
                <w:lang w:val="en-US" w:eastAsia="zh-CN"/>
              </w:rPr>
              <w:t>5</w:t>
            </w:r>
          </w:p>
          <w:p w14:paraId="2152E82C">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项目硅烷后需要进行水洗，包括1道水洗，1道纯水洗，每个水洗槽每周需要排水一次（2m</w:t>
            </w:r>
            <w:r>
              <w:rPr>
                <w:rFonts w:hint="eastAsia"/>
                <w:color w:val="auto"/>
                <w:highlight w:val="none"/>
                <w:vertAlign w:val="superscript"/>
              </w:rPr>
              <w:t>3</w:t>
            </w:r>
            <w:r>
              <w:rPr>
                <w:rFonts w:hint="eastAsia"/>
                <w:color w:val="auto"/>
                <w:highlight w:val="none"/>
              </w:rPr>
              <w:t>/次）。经核算，硅烷后水洗废水产生量为171m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0.57</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、NH</w:t>
            </w:r>
            <w:r>
              <w:rPr>
                <w:rFonts w:hint="eastAsia"/>
                <w:color w:val="auto"/>
                <w:highlight w:val="none"/>
                <w:vertAlign w:val="subscript"/>
              </w:rPr>
              <w:t>3</w:t>
            </w:r>
            <w:r>
              <w:rPr>
                <w:rFonts w:hint="eastAsia"/>
                <w:color w:val="auto"/>
                <w:highlight w:val="none"/>
              </w:rPr>
              <w:t>-N、SS、TN。</w:t>
            </w:r>
          </w:p>
          <w:p w14:paraId="6432A4BA">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④</w:t>
            </w:r>
            <w:r>
              <w:rPr>
                <w:rFonts w:hint="eastAsia"/>
                <w:color w:val="auto"/>
                <w:highlight w:val="none"/>
                <w:lang w:val="en-US" w:eastAsia="zh-CN"/>
              </w:rPr>
              <w:t>纯水洗2</w:t>
            </w:r>
            <w:r>
              <w:rPr>
                <w:rFonts w:hint="eastAsia"/>
                <w:color w:val="auto"/>
                <w:highlight w:val="none"/>
              </w:rPr>
              <w:t>废水W</w:t>
            </w:r>
            <w:r>
              <w:rPr>
                <w:rFonts w:hint="eastAsia"/>
                <w:color w:val="auto"/>
                <w:highlight w:val="none"/>
                <w:lang w:val="en-US" w:eastAsia="zh-CN"/>
              </w:rPr>
              <w:t>6</w:t>
            </w:r>
          </w:p>
          <w:p w14:paraId="458BD855">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项目水洗槽清洗水循环使用，定期更换（约1周更换一次（2.565m</w:t>
            </w:r>
            <w:r>
              <w:rPr>
                <w:rFonts w:hint="eastAsia"/>
                <w:color w:val="auto"/>
                <w:highlight w:val="none"/>
                <w:vertAlign w:val="superscript"/>
              </w:rPr>
              <w:t>3</w:t>
            </w:r>
            <w:r>
              <w:rPr>
                <w:rFonts w:hint="eastAsia"/>
                <w:color w:val="auto"/>
                <w:highlight w:val="none"/>
              </w:rPr>
              <w:t>/次）），产生</w:t>
            </w:r>
            <w:r>
              <w:rPr>
                <w:rFonts w:hint="eastAsia"/>
                <w:color w:val="auto"/>
                <w:highlight w:val="none"/>
                <w:lang w:val="en-US" w:eastAsia="zh-CN"/>
              </w:rPr>
              <w:t>纯</w:t>
            </w:r>
            <w:r>
              <w:rPr>
                <w:rFonts w:hint="eastAsia"/>
                <w:color w:val="auto"/>
                <w:highlight w:val="none"/>
              </w:rPr>
              <w:t>水洗废水W</w:t>
            </w:r>
            <w:r>
              <w:rPr>
                <w:rFonts w:hint="eastAsia"/>
                <w:color w:val="auto"/>
                <w:highlight w:val="none"/>
                <w:lang w:val="en-US" w:eastAsia="zh-CN"/>
              </w:rPr>
              <w:t>6</w:t>
            </w:r>
            <w:r>
              <w:rPr>
                <w:rFonts w:hint="eastAsia"/>
                <w:color w:val="auto"/>
                <w:highlight w:val="none"/>
              </w:rPr>
              <w:t>，产生量为111m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0.37</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、SS、石油类。</w:t>
            </w:r>
          </w:p>
          <w:p w14:paraId="28D6FD1F">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⑤纯水制备尾水W7</w:t>
            </w:r>
          </w:p>
          <w:p w14:paraId="70DD4979">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本项目纯水制备过程会有纯水制备尾水产生。根据项目设计方案，项目纯水用量为30m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0.1</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，纯水制备率约40%，则纯水制备尾水的产生量为18m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0.06</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，主要污染物为pH、CODcr、SS。纯水制备尾水回用于硅烷后水洗3工序。</w:t>
            </w:r>
          </w:p>
          <w:p w14:paraId="0D7363F4">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val="en-US" w:eastAsia="zh-CN"/>
              </w:rPr>
            </w:pPr>
            <w:r>
              <w:rPr>
                <w:rFonts w:hint="eastAsia"/>
                <w:color w:val="auto"/>
                <w:highlight w:val="none"/>
              </w:rPr>
              <w:t>⑥喷淋塔补充用水</w:t>
            </w:r>
          </w:p>
          <w:p w14:paraId="100D1A4C">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本项目废气处理设施配套设置</w:t>
            </w:r>
            <w:r>
              <w:rPr>
                <w:rFonts w:hint="eastAsia"/>
                <w:color w:val="auto"/>
                <w:highlight w:val="none"/>
                <w:lang w:val="en-US" w:eastAsia="zh-CN"/>
              </w:rPr>
              <w:t>2</w:t>
            </w:r>
            <w:r>
              <w:rPr>
                <w:rFonts w:hint="eastAsia"/>
                <w:color w:val="auto"/>
                <w:highlight w:val="none"/>
              </w:rPr>
              <w:t>套喷淋塔，喷淋塔储水量约为</w:t>
            </w:r>
            <w:r>
              <w:rPr>
                <w:rFonts w:hint="eastAsia"/>
                <w:color w:val="auto"/>
                <w:highlight w:val="none"/>
                <w:lang w:val="en-US" w:eastAsia="zh-CN"/>
              </w:rPr>
              <w:t>0.5t</w:t>
            </w:r>
            <w:r>
              <w:rPr>
                <w:rFonts w:hint="eastAsia"/>
                <w:color w:val="auto"/>
                <w:highlight w:val="none"/>
              </w:rPr>
              <w:t>，根据经验估算，预计每天补充用水量按储水量的10%计，则项目喷淋塔补充新鲜水量为</w:t>
            </w:r>
            <w:r>
              <w:rPr>
                <w:rFonts w:hint="eastAsia"/>
                <w:color w:val="auto"/>
                <w:highlight w:val="none"/>
                <w:lang w:val="en-US" w:eastAsia="zh-CN"/>
              </w:rPr>
              <w:t>30</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/a</w:t>
            </w:r>
            <w:r>
              <w:rPr>
                <w:rFonts w:hint="eastAsia"/>
                <w:color w:val="auto"/>
                <w:highlight w:val="none"/>
                <w:lang w:eastAsia="zh-CN"/>
              </w:rPr>
              <w:t>（</w:t>
            </w:r>
            <w:r>
              <w:rPr>
                <w:rFonts w:hint="eastAsia"/>
                <w:color w:val="auto"/>
                <w:highlight w:val="none"/>
                <w:lang w:val="en-US" w:eastAsia="zh-CN"/>
              </w:rPr>
              <w:t>0.1</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/d）</w:t>
            </w:r>
            <w:r>
              <w:rPr>
                <w:rFonts w:hint="eastAsia"/>
                <w:color w:val="auto"/>
                <w:highlight w:val="none"/>
              </w:rPr>
              <w:t>。喷淋塔喷淋水定期排入废水处理设施处理后循环使用不外排。</w:t>
            </w:r>
          </w:p>
          <w:p w14:paraId="6EEB447A">
            <w:pPr>
              <w:pStyle w:val="46"/>
              <w:ind w:firstLine="480"/>
              <w:rPr>
                <w:rFonts w:hint="eastAsia"/>
                <w:color w:val="000000" w:themeColor="text1"/>
                <w:highlight w:val="none"/>
                <w14:textFill>
                  <w14:solidFill>
                    <w14:schemeClr w14:val="tx1"/>
                  </w14:solidFill>
                </w14:textFill>
              </w:rPr>
            </w:pPr>
            <w:r>
              <w:rPr>
                <w:rFonts w:hint="eastAsia" w:ascii="Times New Roman" w:hAnsi="Times New Roman" w:eastAsia="宋体" w:cs="宋体"/>
                <w:color w:val="auto"/>
                <w:highlight w:val="none"/>
              </w:rPr>
              <w:t>⑦</w:t>
            </w:r>
            <w:r>
              <w:rPr>
                <w:rFonts w:hint="eastAsia"/>
                <w:color w:val="000000" w:themeColor="text1"/>
                <w:highlight w:val="none"/>
                <w14:textFill>
                  <w14:solidFill>
                    <w14:schemeClr w14:val="tx1"/>
                  </w14:solidFill>
                </w14:textFill>
              </w:rPr>
              <w:t>调漆用水</w:t>
            </w:r>
          </w:p>
          <w:p w14:paraId="7D83C43B">
            <w:pPr>
              <w:pStyle w:val="46"/>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根据建设单位提供的资料，本项目</w:t>
            </w:r>
            <w:r>
              <w:rPr>
                <w:rFonts w:hint="eastAsia"/>
                <w:color w:val="000000" w:themeColor="text1"/>
                <w:highlight w:val="none"/>
                <w:lang w:eastAsia="zh-CN"/>
                <w14:textFill>
                  <w14:solidFill>
                    <w14:schemeClr w14:val="tx1"/>
                  </w14:solidFill>
                </w14:textFill>
              </w:rPr>
              <w:t>水性环氧涂料</w:t>
            </w:r>
            <w:r>
              <w:rPr>
                <w:rFonts w:hint="eastAsia"/>
                <w:color w:val="000000" w:themeColor="text1"/>
                <w:highlight w:val="none"/>
                <w14:textFill>
                  <w14:solidFill>
                    <w14:schemeClr w14:val="tx1"/>
                  </w14:solidFill>
                </w14:textFill>
              </w:rPr>
              <w:t>采用水进行调漆，</w:t>
            </w:r>
            <w:r>
              <w:rPr>
                <w:rFonts w:hint="eastAsia"/>
                <w:color w:val="000000" w:themeColor="text1"/>
                <w:highlight w:val="none"/>
                <w:lang w:val="en-US" w:eastAsia="zh-CN"/>
                <w14:textFill>
                  <w14:solidFill>
                    <w14:schemeClr w14:val="tx1"/>
                  </w14:solidFill>
                </w14:textFill>
              </w:rPr>
              <w:t>水</w:t>
            </w:r>
            <w:r>
              <w:rPr>
                <w:rFonts w:hint="eastAsia" w:cs="宋体"/>
                <w:color w:val="auto"/>
                <w:kern w:val="0"/>
                <w:sz w:val="24"/>
                <w:szCs w:val="20"/>
                <w:highlight w:val="none"/>
                <w:lang w:val="en-US" w:eastAsia="zh-CN" w:bidi="ar-SA"/>
              </w:rPr>
              <w:t>性环氧涂料和水的调和过程中，水加入的量为6%～8%，即</w:t>
            </w:r>
            <w:r>
              <w:rPr>
                <w:rFonts w:hint="eastAsia"/>
                <w:color w:val="000000" w:themeColor="text1"/>
                <w:highlight w:val="none"/>
                <w14:textFill>
                  <w14:solidFill>
                    <w14:schemeClr w14:val="tx1"/>
                  </w14:solidFill>
                </w14:textFill>
              </w:rPr>
              <w:t>本项目所用</w:t>
            </w:r>
            <w:r>
              <w:rPr>
                <w:rFonts w:hint="eastAsia"/>
                <w:color w:val="000000" w:themeColor="text1"/>
                <w:highlight w:val="none"/>
                <w:lang w:val="en-US" w:eastAsia="zh-CN"/>
                <w14:textFill>
                  <w14:solidFill>
                    <w14:schemeClr w14:val="tx1"/>
                  </w14:solidFill>
                </w14:textFill>
              </w:rPr>
              <w:t>水性环氧涂料</w:t>
            </w:r>
            <w:r>
              <w:rPr>
                <w:rFonts w:hint="eastAsia"/>
                <w:color w:val="000000" w:themeColor="text1"/>
                <w:highlight w:val="none"/>
                <w14:textFill>
                  <w14:solidFill>
                    <w14:schemeClr w14:val="tx1"/>
                  </w14:solidFill>
                </w14:textFill>
              </w:rPr>
              <w:t>和水需按1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左右进行调漆后使用，其中</w:t>
            </w:r>
            <w:r>
              <w:rPr>
                <w:rFonts w:hint="eastAsia"/>
                <w:color w:val="000000" w:themeColor="text1"/>
                <w:highlight w:val="none"/>
                <w:lang w:val="en-US" w:eastAsia="zh-CN"/>
                <w14:textFill>
                  <w14:solidFill>
                    <w14:schemeClr w14:val="tx1"/>
                  </w14:solidFill>
                </w14:textFill>
              </w:rPr>
              <w:t>水性环氧涂料</w:t>
            </w:r>
            <w:r>
              <w:rPr>
                <w:rFonts w:hint="eastAsia"/>
                <w:color w:val="000000" w:themeColor="text1"/>
                <w:highlight w:val="none"/>
                <w14:textFill>
                  <w14:solidFill>
                    <w14:schemeClr w14:val="tx1"/>
                  </w14:solidFill>
                </w14:textFill>
              </w:rPr>
              <w:t>用量为</w:t>
            </w:r>
            <w:r>
              <w:rPr>
                <w:rFonts w:hint="eastAsia"/>
                <w:color w:val="000000" w:themeColor="text1"/>
                <w:highlight w:val="none"/>
                <w:lang w:val="en-US" w:eastAsia="zh-CN"/>
                <w14:textFill>
                  <w14:solidFill>
                    <w14:schemeClr w14:val="tx1"/>
                  </w14:solidFill>
                </w14:textFill>
              </w:rPr>
              <w:t>8</w:t>
            </w:r>
            <w:r>
              <w:rPr>
                <w:rFonts w:hint="eastAsia"/>
                <w:color w:val="auto"/>
                <w:highlight w:val="none"/>
              </w:rPr>
              <w:t>m</w:t>
            </w:r>
            <w:r>
              <w:rPr>
                <w:rFonts w:hint="eastAsia"/>
                <w:color w:val="auto"/>
                <w:highlight w:val="none"/>
                <w:vertAlign w:val="superscript"/>
              </w:rPr>
              <w:t>3</w:t>
            </w:r>
            <w:r>
              <w:rPr>
                <w:rFonts w:hint="eastAsia"/>
                <w:color w:val="000000" w:themeColor="text1"/>
                <w:highlight w:val="none"/>
                <w:lang w:val="en-US" w:eastAsia="zh-CN"/>
                <w14:textFill>
                  <w14:solidFill>
                    <w14:schemeClr w14:val="tx1"/>
                  </w14:solidFill>
                </w14:textFill>
              </w:rPr>
              <w:t>/a</w:t>
            </w:r>
            <w:r>
              <w:rPr>
                <w:rFonts w:hint="eastAsia"/>
                <w:color w:val="000000" w:themeColor="text1"/>
                <w:highlight w:val="none"/>
                <w14:textFill>
                  <w14:solidFill>
                    <w14:schemeClr w14:val="tx1"/>
                  </w14:solidFill>
                </w14:textFill>
              </w:rPr>
              <w:t>，预计年耗调漆用水量为</w:t>
            </w:r>
            <w:r>
              <w:rPr>
                <w:rFonts w:hint="eastAsia"/>
                <w:color w:val="000000" w:themeColor="text1"/>
                <w:highlight w:val="none"/>
                <w:lang w:val="en-US" w:eastAsia="zh-CN"/>
                <w14:textFill>
                  <w14:solidFill>
                    <w14:schemeClr w14:val="tx1"/>
                  </w14:solidFill>
                </w14:textFill>
              </w:rPr>
              <w:t>0.8</w:t>
            </w:r>
            <w:r>
              <w:rPr>
                <w:rFonts w:hint="eastAsia"/>
                <w:color w:val="auto"/>
                <w:highlight w:val="none"/>
              </w:rPr>
              <w:t>m</w:t>
            </w:r>
            <w:r>
              <w:rPr>
                <w:rFonts w:hint="eastAsia"/>
                <w:color w:val="auto"/>
                <w:highlight w:val="none"/>
                <w:vertAlign w:val="superscript"/>
              </w:rPr>
              <w:t>3</w:t>
            </w:r>
            <w:r>
              <w:rPr>
                <w:rFonts w:hint="eastAsia"/>
                <w:color w:val="auto"/>
                <w:highlight w:val="none"/>
                <w:lang w:val="en-US" w:eastAsia="zh-CN"/>
              </w:rPr>
              <w:t>/a</w:t>
            </w:r>
            <w:r>
              <w:rPr>
                <w:rFonts w:hint="eastAsia"/>
                <w:color w:val="000000" w:themeColor="text1"/>
                <w:highlight w:val="none"/>
                <w:lang w:val="en-US" w:eastAsia="zh-CN"/>
                <w14:textFill>
                  <w14:solidFill>
                    <w14:schemeClr w14:val="tx1"/>
                  </w14:solidFill>
                </w14:textFill>
              </w:rPr>
              <w:t>（0.0027</w:t>
            </w:r>
            <w:r>
              <w:rPr>
                <w:rFonts w:hint="eastAsia"/>
                <w:color w:val="auto"/>
                <w:highlight w:val="none"/>
              </w:rPr>
              <w:t>m</w:t>
            </w:r>
            <w:r>
              <w:rPr>
                <w:rFonts w:hint="eastAsia"/>
                <w:color w:val="auto"/>
                <w:highlight w:val="none"/>
                <w:vertAlign w:val="superscript"/>
              </w:rPr>
              <w:t>3</w:t>
            </w:r>
            <w:r>
              <w:rPr>
                <w:rFonts w:hint="eastAsia"/>
                <w:color w:val="000000" w:themeColor="text1"/>
                <w:highlight w:val="none"/>
                <w:lang w:val="en-US" w:eastAsia="zh-CN"/>
                <w14:textFill>
                  <w14:solidFill>
                    <w14:schemeClr w14:val="tx1"/>
                  </w14:solidFill>
                </w14:textFill>
              </w:rPr>
              <w:t>/d）</w:t>
            </w:r>
            <w:r>
              <w:rPr>
                <w:rFonts w:hint="eastAsia"/>
                <w:color w:val="000000" w:themeColor="text1"/>
                <w:highlight w:val="none"/>
                <w14:textFill>
                  <w14:solidFill>
                    <w14:schemeClr w14:val="tx1"/>
                  </w14:solidFill>
                </w14:textFill>
              </w:rPr>
              <w:t>。</w:t>
            </w:r>
          </w:p>
          <w:p w14:paraId="70910E8A">
            <w:pPr>
              <w:pStyle w:val="46"/>
              <w:ind w:firstLine="480"/>
              <w:rPr>
                <w:rFonts w:hint="eastAsia"/>
                <w:color w:val="000000" w:themeColor="text1"/>
                <w:highlight w:val="none"/>
                <w14:textFill>
                  <w14:solidFill>
                    <w14:schemeClr w14:val="tx1"/>
                  </w14:solidFill>
                </w14:textFill>
              </w:rPr>
            </w:pPr>
            <w:r>
              <w:rPr>
                <w:rFonts w:hint="eastAsia" w:ascii="Times New Roman" w:hAnsi="Times New Roman" w:eastAsia="宋体" w:cs="宋体"/>
                <w:color w:val="auto"/>
                <w:highlight w:val="none"/>
              </w:rPr>
              <w:t>⑧</w:t>
            </w:r>
            <w:r>
              <w:rPr>
                <w:rFonts w:hint="eastAsia"/>
                <w:color w:val="000000" w:themeColor="text1"/>
                <w:highlight w:val="none"/>
                <w14:textFill>
                  <w14:solidFill>
                    <w14:schemeClr w14:val="tx1"/>
                  </w14:solidFill>
                </w14:textFill>
              </w:rPr>
              <w:t>水帘喷漆台补充水</w:t>
            </w:r>
          </w:p>
          <w:p w14:paraId="7D1905DC">
            <w:pPr>
              <w:pStyle w:val="46"/>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根据业主提供的资料，项目设置</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个水帘喷漆台，项目水帘喷漆台水池有效容积为2m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，每个水帘喷漆台水池最大储水量按1.8m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计。则最大储水量为</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；由于废水循环使用过程中会不断损耗水量，每天补充用水量按储水量的</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%计，则项目每天平均需补充新鲜用水量</w:t>
            </w:r>
            <w:r>
              <w:rPr>
                <w:rFonts w:hint="eastAsia"/>
                <w:color w:val="000000" w:themeColor="text1"/>
                <w:highlight w:val="none"/>
                <w:lang w:val="en-US" w:eastAsia="zh-CN"/>
                <w14:textFill>
                  <w14:solidFill>
                    <w14:schemeClr w14:val="tx1"/>
                  </w14:solidFill>
                </w14:textFill>
              </w:rPr>
              <w:t>0.45</w:t>
            </w:r>
            <w:r>
              <w:rPr>
                <w:rFonts w:hint="eastAsia"/>
                <w:color w:val="auto"/>
                <w:highlight w:val="none"/>
              </w:rPr>
              <w:t>m</w:t>
            </w:r>
            <w:r>
              <w:rPr>
                <w:rFonts w:hint="eastAsia"/>
                <w:color w:val="auto"/>
                <w:highlight w:val="none"/>
                <w:vertAlign w:val="superscript"/>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135</w:t>
            </w:r>
            <w:r>
              <w:rPr>
                <w:rFonts w:hint="eastAsia"/>
                <w:color w:val="auto"/>
                <w:highlight w:val="none"/>
              </w:rPr>
              <w:t>m</w:t>
            </w:r>
            <w:r>
              <w:rPr>
                <w:rFonts w:hint="eastAsia"/>
                <w:color w:val="auto"/>
                <w:highlight w:val="none"/>
                <w:vertAlign w:val="superscript"/>
              </w:rPr>
              <w:t>3</w:t>
            </w:r>
            <w:r>
              <w:rPr>
                <w:rFonts w:hint="eastAsia"/>
                <w:color w:val="000000" w:themeColor="text1"/>
                <w:highlight w:val="none"/>
                <w:lang w:val="en-US" w:eastAsia="zh-CN"/>
                <w14:textFill>
                  <w14:solidFill>
                    <w14:schemeClr w14:val="tx1"/>
                  </w14:solidFill>
                </w14:textFill>
              </w:rPr>
              <w:t>/a）</w:t>
            </w:r>
            <w:r>
              <w:rPr>
                <w:rFonts w:hint="eastAsia"/>
                <w:color w:val="000000" w:themeColor="text1"/>
                <w:highlight w:val="none"/>
                <w14:textFill>
                  <w14:solidFill>
                    <w14:schemeClr w14:val="tx1"/>
                  </w14:solidFill>
                </w14:textFill>
              </w:rPr>
              <w:t>。</w:t>
            </w:r>
          </w:p>
          <w:p w14:paraId="37EBDD4E">
            <w:pPr>
              <w:pStyle w:val="46"/>
              <w:ind w:firstLine="48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rPr>
              <w:t>⑨</w:t>
            </w:r>
            <w:r>
              <w:rPr>
                <w:rFonts w:hint="eastAsia" w:ascii="Times New Roman" w:hAnsi="Times New Roman" w:eastAsia="宋体" w:cs="宋体"/>
                <w:color w:val="auto"/>
                <w:highlight w:val="none"/>
                <w:lang w:val="en-US" w:eastAsia="zh-CN"/>
              </w:rPr>
              <w:t>水帘喷漆废水</w:t>
            </w:r>
            <w:r>
              <w:rPr>
                <w:rFonts w:hint="eastAsia"/>
                <w:color w:val="auto"/>
                <w:highlight w:val="none"/>
              </w:rPr>
              <w:t>W</w:t>
            </w:r>
            <w:r>
              <w:rPr>
                <w:rFonts w:hint="eastAsia"/>
                <w:color w:val="auto"/>
                <w:highlight w:val="none"/>
                <w:lang w:val="en-US" w:eastAsia="zh-CN"/>
              </w:rPr>
              <w:t>9</w:t>
            </w:r>
          </w:p>
          <w:p w14:paraId="02994A56">
            <w:pPr>
              <w:pStyle w:val="46"/>
              <w:ind w:firstLine="480"/>
              <w:rPr>
                <w:rFonts w:hint="eastAsia"/>
                <w:color w:val="000000" w:themeColor="text1"/>
                <w:highlight w:val="none"/>
                <w14:textFill>
                  <w14:solidFill>
                    <w14:schemeClr w14:val="tx1"/>
                  </w14:solidFill>
                </w14:textFill>
              </w:rPr>
            </w:pPr>
            <w:r>
              <w:rPr>
                <w:rFonts w:hint="eastAsia"/>
                <w:color w:val="auto"/>
                <w:highlight w:val="none"/>
              </w:rPr>
              <w:t>由于水帘喷漆台用水对水质要求不高，其主要功能为拦截喷漆过程中产生的漆雾（颗粒物）</w:t>
            </w:r>
            <w:r>
              <w:rPr>
                <w:rFonts w:hint="eastAsia"/>
                <w:color w:val="auto"/>
                <w:highlight w:val="none"/>
                <w:lang w:eastAsia="zh-CN"/>
              </w:rPr>
              <w:t>且</w:t>
            </w:r>
            <w:r>
              <w:rPr>
                <w:rFonts w:hint="eastAsia"/>
                <w:color w:val="auto"/>
                <w:highlight w:val="none"/>
              </w:rPr>
              <w:t>该用水不与产品直接接触，故对产品质量无影响，具备循环使用条件；项目采取循环使用10天后更换的方案，可通过定期更换控制循环水中漆渣等污染物浓度、确保漆雾处理效率。项目水帘喷漆台用水循环使用10天后排入自建废水处理系统后排放</w:t>
            </w:r>
            <w:r>
              <w:rPr>
                <w:rFonts w:hint="eastAsia"/>
                <w:color w:val="auto"/>
                <w:highlight w:val="none"/>
                <w:lang w:val="en-US" w:eastAsia="zh-CN"/>
              </w:rPr>
              <w:t>至厂区污水管网，废</w:t>
            </w:r>
            <w:r>
              <w:rPr>
                <w:rFonts w:hint="eastAsia"/>
                <w:color w:val="000000" w:themeColor="text1"/>
                <w:highlight w:val="none"/>
                <w:lang w:val="en-US" w:eastAsia="zh-CN"/>
                <w14:textFill>
                  <w14:solidFill>
                    <w14:schemeClr w14:val="tx1"/>
                  </w14:solidFill>
                </w14:textFill>
              </w:rPr>
              <w:t>水纳入福清市第二污水处理厂处理</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则</w:t>
            </w:r>
            <w:r>
              <w:rPr>
                <w:rFonts w:hint="eastAsia"/>
                <w:color w:val="000000" w:themeColor="text1"/>
                <w:highlight w:val="none"/>
                <w14:textFill>
                  <w14:solidFill>
                    <w14:schemeClr w14:val="tx1"/>
                  </w14:solidFill>
                </w14:textFill>
              </w:rPr>
              <w:t>废水</w:t>
            </w:r>
            <w:r>
              <w:rPr>
                <w:rFonts w:hint="eastAsia"/>
                <w:color w:val="000000" w:themeColor="text1"/>
                <w:highlight w:val="none"/>
                <w:lang w:val="en-US" w:eastAsia="zh-CN"/>
                <w14:textFill>
                  <w14:solidFill>
                    <w14:schemeClr w14:val="tx1"/>
                  </w14:solidFill>
                </w14:textFill>
              </w:rPr>
              <w:t>排放次数为</w:t>
            </w:r>
            <w:r>
              <w:rPr>
                <w:rFonts w:hint="eastAsia"/>
                <w:color w:val="000000" w:themeColor="text1"/>
                <w:highlight w:val="none"/>
                <w14:textFill>
                  <w14:solidFill>
                    <w14:schemeClr w14:val="tx1"/>
                  </w14:solidFill>
                </w14:textFill>
              </w:rPr>
              <w:t>30次/a，则</w:t>
            </w:r>
            <w:r>
              <w:rPr>
                <w:rFonts w:hint="eastAsia"/>
                <w:color w:val="000000" w:themeColor="text1"/>
                <w:highlight w:val="none"/>
                <w:lang w:val="en-US" w:eastAsia="zh-CN"/>
                <w14:textFill>
                  <w14:solidFill>
                    <w14:schemeClr w14:val="tx1"/>
                  </w14:solidFill>
                </w14:textFill>
              </w:rPr>
              <w:t>排放</w:t>
            </w:r>
            <w:r>
              <w:rPr>
                <w:rFonts w:hint="eastAsia"/>
                <w:color w:val="000000" w:themeColor="text1"/>
                <w:highlight w:val="none"/>
                <w14:textFill>
                  <w14:solidFill>
                    <w14:schemeClr w14:val="tx1"/>
                  </w14:solidFill>
                </w14:textFill>
              </w:rPr>
              <w:t>水量为</w:t>
            </w:r>
            <w:r>
              <w:rPr>
                <w:rFonts w:hint="eastAsia"/>
                <w:color w:val="000000" w:themeColor="text1"/>
                <w:highlight w:val="none"/>
                <w:lang w:val="en-US" w:eastAsia="zh-CN"/>
                <w14:textFill>
                  <w14:solidFill>
                    <w14:schemeClr w14:val="tx1"/>
                  </w14:solidFill>
                </w14:textFill>
              </w:rPr>
              <w:t>270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（0.9</w:t>
            </w:r>
            <w:r>
              <w:rPr>
                <w:rFonts w:hint="eastAsia"/>
                <w:color w:val="auto"/>
                <w:highlight w:val="none"/>
              </w:rPr>
              <w:t>m</w:t>
            </w:r>
            <w:r>
              <w:rPr>
                <w:rFonts w:hint="eastAsia"/>
                <w:color w:val="auto"/>
                <w:highlight w:val="none"/>
                <w:vertAlign w:val="superscript"/>
              </w:rPr>
              <w:t>3</w:t>
            </w:r>
            <w:r>
              <w:rPr>
                <w:rFonts w:hint="eastAsia"/>
                <w:color w:val="000000" w:themeColor="text1"/>
                <w:highlight w:val="none"/>
                <w:lang w:val="en-US" w:eastAsia="zh-CN"/>
                <w14:textFill>
                  <w14:solidFill>
                    <w14:schemeClr w14:val="tx1"/>
                  </w14:solidFill>
                </w14:textFill>
              </w:rPr>
              <w:t>/d）</w:t>
            </w:r>
            <w:r>
              <w:rPr>
                <w:rFonts w:hint="eastAsia"/>
                <w:color w:val="000000" w:themeColor="text1"/>
                <w:highlight w:val="none"/>
                <w14:textFill>
                  <w14:solidFill>
                    <w14:schemeClr w14:val="tx1"/>
                  </w14:solidFill>
                </w14:textFill>
              </w:rPr>
              <w:t>。</w:t>
            </w:r>
          </w:p>
          <w:p w14:paraId="72085216">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生活用水W</w:t>
            </w:r>
            <w:r>
              <w:rPr>
                <w:rFonts w:hint="eastAsia"/>
                <w:color w:val="auto"/>
                <w:highlight w:val="none"/>
                <w:lang w:val="en-US" w:eastAsia="zh-CN"/>
              </w:rPr>
              <w:t>8</w:t>
            </w:r>
          </w:p>
          <w:p w14:paraId="58FC7EBF">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rFonts w:hint="eastAsia"/>
                <w:color w:val="auto"/>
                <w:highlight w:val="none"/>
              </w:rPr>
              <w:t>职工生活用水由工业园区市政给水管网直接供给，</w:t>
            </w:r>
            <w:r>
              <w:rPr>
                <w:color w:val="auto"/>
                <w:highlight w:val="none"/>
              </w:rPr>
              <w:t>根据《</w:t>
            </w:r>
            <w:r>
              <w:rPr>
                <w:rFonts w:hint="eastAsia"/>
                <w:color w:val="auto"/>
                <w:highlight w:val="none"/>
              </w:rPr>
              <w:t>建筑给水排水设计标准</w:t>
            </w:r>
            <w:r>
              <w:rPr>
                <w:color w:val="auto"/>
                <w:highlight w:val="none"/>
              </w:rPr>
              <w:t>》</w:t>
            </w:r>
            <w:r>
              <w:rPr>
                <w:rFonts w:hint="eastAsia"/>
                <w:color w:val="auto"/>
                <w:highlight w:val="none"/>
                <w:lang w:eastAsia="zh-CN"/>
              </w:rPr>
              <w:t>（</w:t>
            </w:r>
            <w:r>
              <w:rPr>
                <w:rFonts w:hint="eastAsia"/>
                <w:color w:val="auto"/>
                <w:highlight w:val="none"/>
              </w:rPr>
              <w:t>GB50015</w:t>
            </w:r>
            <w:r>
              <w:rPr>
                <w:color w:val="auto"/>
                <w:highlight w:val="none"/>
              </w:rPr>
              <w:t>-</w:t>
            </w:r>
            <w:r>
              <w:rPr>
                <w:rFonts w:hint="eastAsia"/>
                <w:color w:val="auto"/>
                <w:highlight w:val="none"/>
              </w:rPr>
              <w:t>2019</w:t>
            </w:r>
            <w:r>
              <w:rPr>
                <w:rFonts w:hint="eastAsia"/>
                <w:color w:val="auto"/>
                <w:highlight w:val="none"/>
                <w:lang w:eastAsia="zh-CN"/>
              </w:rPr>
              <w:t>）</w:t>
            </w:r>
            <w:r>
              <w:rPr>
                <w:color w:val="auto"/>
                <w:highlight w:val="none"/>
              </w:rPr>
              <w:t>，</w:t>
            </w:r>
            <w:r>
              <w:rPr>
                <w:rFonts w:hint="eastAsia"/>
                <w:color w:val="auto"/>
                <w:highlight w:val="none"/>
              </w:rPr>
              <w:t>不住厂职工生活用水量按照50L/d</w:t>
            </w:r>
            <w:r>
              <w:rPr>
                <w:rFonts w:hint="eastAsia"/>
                <w:color w:val="auto"/>
                <w:highlight w:val="none"/>
                <w:lang w:val="en-US" w:eastAsia="zh-CN"/>
              </w:rPr>
              <w:t>·</w:t>
            </w:r>
            <w:r>
              <w:rPr>
                <w:rFonts w:hint="eastAsia"/>
                <w:color w:val="auto"/>
                <w:highlight w:val="none"/>
              </w:rPr>
              <w:t>人计，</w:t>
            </w:r>
            <w:r>
              <w:rPr>
                <w:color w:val="auto"/>
                <w:highlight w:val="none"/>
              </w:rPr>
              <w:t>年工作3</w:t>
            </w:r>
            <w:r>
              <w:rPr>
                <w:rFonts w:hint="eastAsia"/>
                <w:color w:val="auto"/>
                <w:highlight w:val="none"/>
                <w:lang w:val="en-US" w:eastAsia="zh-CN"/>
              </w:rPr>
              <w:t>0</w:t>
            </w:r>
            <w:r>
              <w:rPr>
                <w:color w:val="auto"/>
                <w:highlight w:val="none"/>
              </w:rPr>
              <w:t>0天</w:t>
            </w:r>
            <w:r>
              <w:rPr>
                <w:rFonts w:hint="eastAsia"/>
                <w:color w:val="auto"/>
                <w:highlight w:val="none"/>
              </w:rPr>
              <w:t>，本项目职工定员</w:t>
            </w:r>
            <w:r>
              <w:rPr>
                <w:rFonts w:hint="eastAsia"/>
                <w:color w:val="auto"/>
                <w:highlight w:val="none"/>
                <w:lang w:val="en-US" w:eastAsia="zh-CN"/>
              </w:rPr>
              <w:t>30</w:t>
            </w:r>
            <w:r>
              <w:rPr>
                <w:rFonts w:hint="eastAsia"/>
                <w:color w:val="auto"/>
                <w:highlight w:val="none"/>
              </w:rPr>
              <w:t>人（均不住厂），则生活用水量为</w:t>
            </w:r>
            <w:r>
              <w:rPr>
                <w:rFonts w:hint="eastAsia"/>
                <w:color w:val="auto"/>
                <w:highlight w:val="none"/>
                <w:lang w:val="en-US" w:eastAsia="zh-CN"/>
              </w:rPr>
              <w:t>1.5</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450</w:t>
            </w:r>
            <w:r>
              <w:rPr>
                <w:rFonts w:hint="eastAsia"/>
                <w:color w:val="auto"/>
                <w:highlight w:val="none"/>
              </w:rPr>
              <w:t>m</w:t>
            </w:r>
            <w:r>
              <w:rPr>
                <w:rFonts w:hint="eastAsia"/>
                <w:color w:val="auto"/>
                <w:highlight w:val="none"/>
                <w:vertAlign w:val="superscript"/>
              </w:rPr>
              <w:t>3</w:t>
            </w:r>
            <w:r>
              <w:rPr>
                <w:rFonts w:hint="eastAsia"/>
                <w:color w:val="auto"/>
                <w:highlight w:val="none"/>
              </w:rPr>
              <w:t>/a），产污系数按0.8计，则生活污水产生量约为</w:t>
            </w:r>
            <w:r>
              <w:rPr>
                <w:rFonts w:hint="eastAsia"/>
                <w:color w:val="auto"/>
                <w:highlight w:val="none"/>
                <w:lang w:val="en-US" w:eastAsia="zh-CN"/>
              </w:rPr>
              <w:t>1.2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360</w:t>
            </w:r>
            <w:r>
              <w:rPr>
                <w:rFonts w:hint="eastAsia"/>
                <w:color w:val="auto"/>
                <w:highlight w:val="none"/>
              </w:rPr>
              <w:t>m</w:t>
            </w:r>
            <w:r>
              <w:rPr>
                <w:rFonts w:hint="eastAsia"/>
                <w:color w:val="auto"/>
                <w:highlight w:val="none"/>
                <w:vertAlign w:val="superscript"/>
              </w:rPr>
              <w:t>3</w:t>
            </w:r>
            <w:r>
              <w:rPr>
                <w:rFonts w:hint="eastAsia"/>
                <w:color w:val="auto"/>
                <w:highlight w:val="none"/>
              </w:rPr>
              <w:t>/a）。</w:t>
            </w:r>
          </w:p>
          <w:p w14:paraId="309D510F">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rFonts w:hint="eastAsia"/>
                <w:color w:val="auto"/>
                <w:highlight w:val="none"/>
              </w:rPr>
              <w:t>（3）项目排水</w:t>
            </w:r>
          </w:p>
          <w:p w14:paraId="13B862BA">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color w:val="auto"/>
                <w:highlight w:val="none"/>
              </w:rPr>
              <w:t>本项目所在厂区雨污分流，已建立完善的雨、污水管道。厂区雨水经雨水管道纳入市政雨水管网。本项目</w:t>
            </w:r>
            <w:r>
              <w:rPr>
                <w:rFonts w:hint="eastAsia"/>
                <w:color w:val="auto"/>
                <w:highlight w:val="none"/>
                <w:lang w:val="en-US" w:eastAsia="zh-CN"/>
              </w:rPr>
              <w:t>纯</w:t>
            </w:r>
            <w:r>
              <w:rPr>
                <w:color w:val="auto"/>
                <w:highlight w:val="none"/>
              </w:rPr>
              <w:t>水洗废水、脱脂废水、脱脂后水洗废水、硅烷后水洗废水</w:t>
            </w:r>
            <w:r>
              <w:rPr>
                <w:rFonts w:hint="eastAsia"/>
                <w:color w:val="auto"/>
                <w:highlight w:val="none"/>
                <w:lang w:eastAsia="zh-CN"/>
              </w:rPr>
              <w:t>、</w:t>
            </w:r>
            <w:r>
              <w:rPr>
                <w:rFonts w:hint="eastAsia"/>
                <w:color w:val="auto"/>
                <w:highlight w:val="none"/>
                <w:lang w:val="en-US" w:eastAsia="zh-CN"/>
              </w:rPr>
              <w:t>水帘喷漆废水</w:t>
            </w:r>
            <w:r>
              <w:rPr>
                <w:color w:val="auto"/>
                <w:highlight w:val="none"/>
              </w:rPr>
              <w:t>经收集后进入废水处理设施净化处理后，出水进入厂区污水管道，再纳入</w:t>
            </w:r>
            <w:r>
              <w:rPr>
                <w:rFonts w:hint="eastAsia"/>
                <w:color w:val="auto"/>
                <w:highlight w:val="none"/>
                <w:lang w:val="en-US" w:eastAsia="zh-CN"/>
              </w:rPr>
              <w:t>厂</w:t>
            </w:r>
            <w:r>
              <w:rPr>
                <w:color w:val="auto"/>
                <w:highlight w:val="none"/>
              </w:rPr>
              <w:t>区污水管网；生活污水单独进入厂区污水管道，再纳入</w:t>
            </w:r>
            <w:r>
              <w:rPr>
                <w:rFonts w:hint="eastAsia"/>
                <w:color w:val="auto"/>
                <w:highlight w:val="none"/>
                <w:lang w:val="en-US" w:eastAsia="zh-CN"/>
              </w:rPr>
              <w:t>厂</w:t>
            </w:r>
            <w:r>
              <w:rPr>
                <w:color w:val="auto"/>
                <w:highlight w:val="none"/>
              </w:rPr>
              <w:t>区污水管网；项目废水最终全部纳入</w:t>
            </w:r>
            <w:r>
              <w:rPr>
                <w:rFonts w:hint="eastAsia"/>
                <w:color w:val="auto"/>
                <w:highlight w:val="none"/>
                <w:lang w:eastAsia="zh-CN"/>
              </w:rPr>
              <w:t>福清市第二污水处理厂</w:t>
            </w:r>
            <w:r>
              <w:rPr>
                <w:color w:val="auto"/>
                <w:highlight w:val="none"/>
              </w:rPr>
              <w:t>集中处理。</w:t>
            </w:r>
            <w:r>
              <w:rPr>
                <w:color w:val="auto"/>
                <w:spacing w:val="-2"/>
                <w:sz w:val="24"/>
                <w:szCs w:val="24"/>
              </w:rPr>
              <w:t>项目排水情况见下表</w:t>
            </w:r>
            <w:r>
              <w:rPr>
                <w:rFonts w:hint="eastAsia"/>
                <w:color w:val="auto"/>
                <w:spacing w:val="-2"/>
                <w:sz w:val="24"/>
                <w:szCs w:val="24"/>
                <w:lang w:val="en-US" w:eastAsia="zh-CN"/>
              </w:rPr>
              <w:t>2.6-1</w:t>
            </w:r>
            <w:r>
              <w:rPr>
                <w:color w:val="auto"/>
                <w:spacing w:val="-2"/>
                <w:sz w:val="24"/>
                <w:szCs w:val="24"/>
              </w:rPr>
              <w:t>。</w:t>
            </w:r>
            <w:r>
              <w:rPr>
                <w:rFonts w:hint="eastAsia"/>
                <w:color w:val="auto"/>
                <w:highlight w:val="none"/>
              </w:rPr>
              <w:t>具体情况见</w:t>
            </w:r>
            <w:r>
              <w:rPr>
                <w:color w:val="auto"/>
                <w:highlight w:val="none"/>
              </w:rPr>
              <w:t>平衡图见</w:t>
            </w:r>
            <w:r>
              <w:rPr>
                <w:rFonts w:hint="eastAsia"/>
                <w:color w:val="auto"/>
                <w:highlight w:val="none"/>
              </w:rPr>
              <w:fldChar w:fldCharType="begin"/>
            </w:r>
            <w:r>
              <w:rPr>
                <w:rFonts w:hint="eastAsia"/>
                <w:color w:val="auto"/>
                <w:highlight w:val="none"/>
              </w:rPr>
              <w:instrText xml:space="preserve"> REF _Ref27012 \n \h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REF _Ref22741 \n \h </w:instrText>
            </w:r>
            <w:r>
              <w:rPr>
                <w:rFonts w:hint="eastAsia"/>
                <w:color w:val="auto"/>
                <w:highlight w:val="none"/>
              </w:rPr>
              <w:fldChar w:fldCharType="separate"/>
            </w:r>
            <w:r>
              <w:rPr>
                <w:rFonts w:hint="eastAsia"/>
                <w:color w:val="auto"/>
                <w:highlight w:val="none"/>
              </w:rPr>
              <w:t>图</w:t>
            </w:r>
            <w:r>
              <w:rPr>
                <w:rFonts w:hint="eastAsia"/>
                <w:color w:val="auto"/>
                <w:highlight w:val="none"/>
                <w:lang w:val="en-US" w:eastAsia="zh-CN"/>
              </w:rPr>
              <w:t>2.6-</w:t>
            </w:r>
            <w:r>
              <w:rPr>
                <w:rFonts w:hint="eastAsia"/>
                <w:color w:val="auto"/>
                <w:highlight w:val="none"/>
              </w:rPr>
              <w:t>1</w:t>
            </w:r>
            <w:r>
              <w:rPr>
                <w:rFonts w:hint="eastAsia"/>
                <w:color w:val="auto"/>
                <w:highlight w:val="none"/>
              </w:rPr>
              <w:fldChar w:fldCharType="end"/>
            </w:r>
            <w:r>
              <w:rPr>
                <w:color w:val="auto"/>
                <w:highlight w:val="none"/>
              </w:rPr>
              <w:t>。</w:t>
            </w:r>
            <w:r>
              <w:rPr>
                <w:rFonts w:hint="eastAsia"/>
                <w:color w:val="auto"/>
                <w:highlight w:val="none"/>
              </w:rPr>
              <w:fldChar w:fldCharType="end"/>
            </w:r>
          </w:p>
          <w:p w14:paraId="49F759F9">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项目用水、排水情况表</w:t>
            </w:r>
          </w:p>
          <w:tbl>
            <w:tblPr>
              <w:tblStyle w:val="8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45"/>
              <w:gridCol w:w="1121"/>
              <w:gridCol w:w="888"/>
              <w:gridCol w:w="1538"/>
              <w:gridCol w:w="1128"/>
              <w:gridCol w:w="1130"/>
              <w:gridCol w:w="1190"/>
            </w:tblGrid>
            <w:tr w14:paraId="5BC7FA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52" w:type="pct"/>
                  <w:vMerge w:val="restart"/>
                  <w:vAlign w:val="center"/>
                </w:tcPr>
                <w:p w14:paraId="696783C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6"/>
                      <w:sz w:val="21"/>
                    </w:rPr>
                    <w:t>用水单元</w:t>
                  </w:r>
                </w:p>
              </w:tc>
              <w:tc>
                <w:tcPr>
                  <w:tcW w:w="2053" w:type="pct"/>
                  <w:gridSpan w:val="3"/>
                  <w:vAlign w:val="center"/>
                </w:tcPr>
                <w:p w14:paraId="0120A4C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4"/>
                      <w:sz w:val="21"/>
                    </w:rPr>
                    <w:t>用水量（</w:t>
                  </w:r>
                  <w:r>
                    <w:rPr>
                      <w:rFonts w:ascii="Times New Roman" w:hAnsi="Times New Roman" w:eastAsia="宋体" w:cs="Times New Roman"/>
                      <w:b/>
                      <w:bCs/>
                      <w:color w:val="auto"/>
                      <w:spacing w:val="4"/>
                      <w:sz w:val="21"/>
                    </w:rPr>
                    <w:t>m</w:t>
                  </w:r>
                  <w:r>
                    <w:rPr>
                      <w:rFonts w:hint="eastAsia" w:ascii="Times New Roman" w:hAnsi="Times New Roman" w:cs="Times New Roman"/>
                      <w:b/>
                      <w:bCs/>
                      <w:color w:val="auto"/>
                      <w:spacing w:val="4"/>
                      <w:position w:val="6"/>
                      <w:sz w:val="21"/>
                      <w:szCs w:val="13"/>
                      <w:lang w:val="en-US" w:eastAsia="zh-CN"/>
                    </w:rPr>
                    <w:t>3</w:t>
                  </w:r>
                  <w:r>
                    <w:rPr>
                      <w:rFonts w:ascii="Times New Roman" w:hAnsi="Times New Roman" w:eastAsia="宋体" w:cs="Times New Roman"/>
                      <w:b/>
                      <w:bCs/>
                      <w:color w:val="auto"/>
                      <w:spacing w:val="4"/>
                      <w:sz w:val="21"/>
                    </w:rPr>
                    <w:t>/d</w:t>
                  </w:r>
                  <w:r>
                    <w:rPr>
                      <w:rFonts w:ascii="Times New Roman" w:hAnsi="Times New Roman" w:eastAsia="宋体"/>
                      <w:b/>
                      <w:bCs/>
                      <w:color w:val="auto"/>
                      <w:spacing w:val="4"/>
                      <w:sz w:val="21"/>
                    </w:rPr>
                    <w:t>）</w:t>
                  </w:r>
                </w:p>
              </w:tc>
              <w:tc>
                <w:tcPr>
                  <w:tcW w:w="1994" w:type="pct"/>
                  <w:gridSpan w:val="3"/>
                  <w:vAlign w:val="center"/>
                </w:tcPr>
                <w:p w14:paraId="180028A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4"/>
                      <w:sz w:val="21"/>
                    </w:rPr>
                    <w:t>排放量（</w:t>
                  </w:r>
                  <w:r>
                    <w:rPr>
                      <w:rFonts w:ascii="Times New Roman" w:hAnsi="Times New Roman" w:eastAsia="宋体" w:cs="Times New Roman"/>
                      <w:b/>
                      <w:bCs/>
                      <w:color w:val="auto"/>
                      <w:spacing w:val="4"/>
                      <w:sz w:val="21"/>
                    </w:rPr>
                    <w:t>m</w:t>
                  </w:r>
                  <w:r>
                    <w:rPr>
                      <w:rFonts w:ascii="Times New Roman" w:hAnsi="Times New Roman" w:eastAsia="宋体" w:cs="Times New Roman"/>
                      <w:b/>
                      <w:bCs/>
                      <w:color w:val="auto"/>
                      <w:spacing w:val="4"/>
                      <w:position w:val="6"/>
                      <w:sz w:val="21"/>
                      <w:szCs w:val="13"/>
                    </w:rPr>
                    <w:t>3</w:t>
                  </w:r>
                  <w:r>
                    <w:rPr>
                      <w:rFonts w:ascii="Times New Roman" w:hAnsi="Times New Roman" w:eastAsia="宋体" w:cs="Times New Roman"/>
                      <w:b/>
                      <w:bCs/>
                      <w:color w:val="auto"/>
                      <w:spacing w:val="4"/>
                      <w:sz w:val="21"/>
                    </w:rPr>
                    <w:t>/d</w:t>
                  </w:r>
                  <w:r>
                    <w:rPr>
                      <w:rFonts w:ascii="Times New Roman" w:hAnsi="Times New Roman" w:eastAsia="宋体"/>
                      <w:b/>
                      <w:bCs/>
                      <w:color w:val="auto"/>
                      <w:spacing w:val="4"/>
                      <w:sz w:val="21"/>
                    </w:rPr>
                    <w:t>）</w:t>
                  </w:r>
                </w:p>
              </w:tc>
            </w:tr>
            <w:tr w14:paraId="3703D1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952" w:type="pct"/>
                  <w:vMerge w:val="continue"/>
                  <w:tcBorders>
                    <w:bottom w:val="single" w:color="000000" w:sz="12" w:space="0"/>
                  </w:tcBorders>
                  <w:vAlign w:val="center"/>
                </w:tcPr>
                <w:p w14:paraId="4C05FC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p>
              </w:tc>
              <w:tc>
                <w:tcPr>
                  <w:tcW w:w="649" w:type="pct"/>
                  <w:tcBorders>
                    <w:bottom w:val="single" w:color="000000" w:sz="12" w:space="0"/>
                  </w:tcBorders>
                  <w:vAlign w:val="center"/>
                </w:tcPr>
                <w:p w14:paraId="38D0DE9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5"/>
                      <w:sz w:val="21"/>
                    </w:rPr>
                    <w:t>新鲜水</w:t>
                  </w:r>
                </w:p>
              </w:tc>
              <w:tc>
                <w:tcPr>
                  <w:tcW w:w="514" w:type="pct"/>
                  <w:tcBorders>
                    <w:bottom w:val="single" w:color="000000" w:sz="12" w:space="0"/>
                  </w:tcBorders>
                  <w:vAlign w:val="center"/>
                </w:tcPr>
                <w:p w14:paraId="35559E3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2"/>
                      <w:sz w:val="21"/>
                    </w:rPr>
                    <w:t>纯水</w:t>
                  </w:r>
                </w:p>
              </w:tc>
              <w:tc>
                <w:tcPr>
                  <w:tcW w:w="889" w:type="pct"/>
                  <w:tcBorders>
                    <w:bottom w:val="single" w:color="000000" w:sz="12" w:space="0"/>
                  </w:tcBorders>
                  <w:vAlign w:val="center"/>
                </w:tcPr>
                <w:p w14:paraId="73324F91">
                  <w:pPr>
                    <w:pStyle w:val="115"/>
                    <w:keepNext w:val="0"/>
                    <w:keepLines w:val="0"/>
                    <w:pageBreakBefore w:val="0"/>
                    <w:widowControl w:val="0"/>
                    <w:kinsoku/>
                    <w:wordWrap/>
                    <w:overflowPunct/>
                    <w:topLinePunct w:val="0"/>
                    <w:autoSpaceDE/>
                    <w:autoSpaceDN/>
                    <w:bidi w:val="0"/>
                    <w:adjustRightInd/>
                    <w:snapToGrid/>
                    <w:spacing w:line="240" w:lineRule="auto"/>
                    <w:ind w:left="0" w:right="117" w:hanging="206"/>
                    <w:jc w:val="right"/>
                    <w:textAlignment w:val="auto"/>
                    <w:rPr>
                      <w:rFonts w:ascii="Times New Roman" w:hAnsi="Times New Roman" w:eastAsia="宋体"/>
                      <w:color w:val="auto"/>
                      <w:sz w:val="21"/>
                    </w:rPr>
                  </w:pPr>
                  <w:r>
                    <w:rPr>
                      <w:rFonts w:ascii="Times New Roman" w:hAnsi="Times New Roman" w:eastAsia="宋体"/>
                      <w:b/>
                      <w:bCs/>
                      <w:color w:val="auto"/>
                      <w:spacing w:val="5"/>
                      <w:sz w:val="21"/>
                    </w:rPr>
                    <w:t>纯水制备</w:t>
                  </w:r>
                  <w:r>
                    <w:rPr>
                      <w:rFonts w:ascii="Times New Roman" w:hAnsi="Times New Roman" w:eastAsia="宋体"/>
                      <w:b/>
                      <w:bCs/>
                      <w:color w:val="auto"/>
                      <w:spacing w:val="3"/>
                      <w:sz w:val="21"/>
                    </w:rPr>
                    <w:t>尾水</w:t>
                  </w:r>
                </w:p>
              </w:tc>
              <w:tc>
                <w:tcPr>
                  <w:tcW w:w="653" w:type="pct"/>
                  <w:tcBorders>
                    <w:bottom w:val="single" w:color="000000" w:sz="12" w:space="0"/>
                  </w:tcBorders>
                  <w:vAlign w:val="center"/>
                </w:tcPr>
                <w:p w14:paraId="488292C4">
                  <w:pPr>
                    <w:pStyle w:val="115"/>
                    <w:keepNext w:val="0"/>
                    <w:keepLines w:val="0"/>
                    <w:pageBreakBefore w:val="0"/>
                    <w:widowControl w:val="0"/>
                    <w:kinsoku/>
                    <w:wordWrap/>
                    <w:overflowPunct/>
                    <w:topLinePunct w:val="0"/>
                    <w:autoSpaceDE/>
                    <w:autoSpaceDN/>
                    <w:bidi w:val="0"/>
                    <w:adjustRightInd/>
                    <w:snapToGrid/>
                    <w:spacing w:line="240" w:lineRule="auto"/>
                    <w:ind w:left="0" w:right="155" w:hanging="207"/>
                    <w:jc w:val="right"/>
                    <w:textAlignment w:val="auto"/>
                    <w:rPr>
                      <w:rFonts w:ascii="Times New Roman" w:hAnsi="Times New Roman" w:eastAsia="宋体"/>
                      <w:color w:val="auto"/>
                      <w:sz w:val="21"/>
                    </w:rPr>
                  </w:pPr>
                  <w:r>
                    <w:rPr>
                      <w:rFonts w:ascii="Times New Roman" w:hAnsi="Times New Roman" w:eastAsia="宋体"/>
                      <w:b/>
                      <w:bCs/>
                      <w:color w:val="auto"/>
                      <w:spacing w:val="5"/>
                      <w:sz w:val="21"/>
                    </w:rPr>
                    <w:t>纳管排</w:t>
                  </w:r>
                  <w:r>
                    <w:rPr>
                      <w:rFonts w:ascii="Times New Roman" w:hAnsi="Times New Roman" w:eastAsia="宋体"/>
                      <w:b/>
                      <w:bCs/>
                      <w:color w:val="auto"/>
                      <w:spacing w:val="-2"/>
                      <w:sz w:val="21"/>
                    </w:rPr>
                    <w:t>放</w:t>
                  </w:r>
                </w:p>
              </w:tc>
              <w:tc>
                <w:tcPr>
                  <w:tcW w:w="654" w:type="pct"/>
                  <w:tcBorders>
                    <w:bottom w:val="single" w:color="000000" w:sz="12" w:space="0"/>
                  </w:tcBorders>
                  <w:vAlign w:val="center"/>
                </w:tcPr>
                <w:p w14:paraId="42C4D4C3">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7"/>
                      <w:sz w:val="21"/>
                    </w:rPr>
                    <w:t>回用</w:t>
                  </w:r>
                </w:p>
              </w:tc>
              <w:tc>
                <w:tcPr>
                  <w:tcW w:w="687" w:type="pct"/>
                  <w:tcBorders>
                    <w:bottom w:val="single" w:color="000000" w:sz="12" w:space="0"/>
                  </w:tcBorders>
                  <w:vAlign w:val="center"/>
                </w:tcPr>
                <w:p w14:paraId="6025452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b/>
                      <w:bCs/>
                      <w:color w:val="auto"/>
                      <w:spacing w:val="3"/>
                      <w:sz w:val="21"/>
                    </w:rPr>
                    <w:t>损耗</w:t>
                  </w:r>
                </w:p>
              </w:tc>
            </w:tr>
            <w:tr w14:paraId="11AFBF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52" w:type="pct"/>
                  <w:tcBorders>
                    <w:top w:val="single" w:color="000000" w:sz="12" w:space="0"/>
                    <w:tl2br w:val="nil"/>
                    <w:tr2bl w:val="nil"/>
                  </w:tcBorders>
                  <w:vAlign w:val="center"/>
                </w:tcPr>
                <w:p w14:paraId="3E135D4C">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color w:val="auto"/>
                      <w:spacing w:val="-2"/>
                      <w:sz w:val="21"/>
                    </w:rPr>
                    <w:t>电泳线</w:t>
                  </w:r>
                </w:p>
              </w:tc>
              <w:tc>
                <w:tcPr>
                  <w:tcW w:w="649" w:type="pct"/>
                  <w:tcBorders>
                    <w:top w:val="single" w:color="000000" w:sz="12" w:space="0"/>
                    <w:tl2br w:val="nil"/>
                    <w:tr2bl w:val="nil"/>
                  </w:tcBorders>
                  <w:vAlign w:val="center"/>
                </w:tcPr>
                <w:p w14:paraId="417394E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514" w:type="pct"/>
                  <w:tcBorders>
                    <w:top w:val="single" w:color="000000" w:sz="12" w:space="0"/>
                    <w:tl2br w:val="nil"/>
                    <w:tr2bl w:val="nil"/>
                  </w:tcBorders>
                  <w:vAlign w:val="center"/>
                </w:tcPr>
                <w:p w14:paraId="6AFC64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889" w:type="pct"/>
                  <w:tcBorders>
                    <w:top w:val="single" w:color="000000" w:sz="12" w:space="0"/>
                    <w:tl2br w:val="nil"/>
                    <w:tr2bl w:val="nil"/>
                  </w:tcBorders>
                  <w:vAlign w:val="center"/>
                </w:tcPr>
                <w:p w14:paraId="5F5AC74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653" w:type="pct"/>
                  <w:tcBorders>
                    <w:top w:val="single" w:color="000000" w:sz="12" w:space="0"/>
                    <w:tl2br w:val="nil"/>
                    <w:tr2bl w:val="nil"/>
                  </w:tcBorders>
                  <w:vAlign w:val="center"/>
                </w:tcPr>
                <w:p w14:paraId="47E1160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654" w:type="pct"/>
                  <w:tcBorders>
                    <w:top w:val="single" w:color="000000" w:sz="12" w:space="0"/>
                    <w:tl2br w:val="nil"/>
                    <w:tr2bl w:val="nil"/>
                  </w:tcBorders>
                  <w:vAlign w:val="center"/>
                </w:tcPr>
                <w:p w14:paraId="60CF27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687" w:type="pct"/>
                  <w:tcBorders>
                    <w:top w:val="single" w:color="000000" w:sz="12" w:space="0"/>
                    <w:tl2br w:val="nil"/>
                    <w:tr2bl w:val="nil"/>
                  </w:tcBorders>
                  <w:vAlign w:val="center"/>
                </w:tcPr>
                <w:p w14:paraId="21B3A1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r>
            <w:tr w14:paraId="51BD7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52" w:type="pct"/>
                  <w:tcBorders>
                    <w:tl2br w:val="nil"/>
                    <w:tr2bl w:val="nil"/>
                  </w:tcBorders>
                  <w:vAlign w:val="center"/>
                </w:tcPr>
                <w:p w14:paraId="4B3343D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color w:val="auto"/>
                      <w:spacing w:val="6"/>
                      <w:sz w:val="21"/>
                    </w:rPr>
                    <w:t>纯水制备</w:t>
                  </w:r>
                </w:p>
              </w:tc>
              <w:tc>
                <w:tcPr>
                  <w:tcW w:w="649" w:type="pct"/>
                  <w:tcBorders>
                    <w:tl2br w:val="nil"/>
                    <w:tr2bl w:val="nil"/>
                  </w:tcBorders>
                  <w:vAlign w:val="center"/>
                </w:tcPr>
                <w:p w14:paraId="373857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514" w:type="pct"/>
                  <w:tcBorders>
                    <w:tl2br w:val="nil"/>
                    <w:tr2bl w:val="nil"/>
                  </w:tcBorders>
                  <w:vAlign w:val="center"/>
                </w:tcPr>
                <w:p w14:paraId="1DDC209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889" w:type="pct"/>
                  <w:tcBorders>
                    <w:tl2br w:val="nil"/>
                    <w:tr2bl w:val="nil"/>
                  </w:tcBorders>
                  <w:vAlign w:val="center"/>
                </w:tcPr>
                <w:p w14:paraId="169004D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653" w:type="pct"/>
                  <w:tcBorders>
                    <w:tl2br w:val="nil"/>
                    <w:tr2bl w:val="nil"/>
                  </w:tcBorders>
                  <w:vAlign w:val="center"/>
                </w:tcPr>
                <w:p w14:paraId="5B88706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654" w:type="pct"/>
                  <w:tcBorders>
                    <w:tl2br w:val="nil"/>
                    <w:tr2bl w:val="nil"/>
                  </w:tcBorders>
                  <w:vAlign w:val="center"/>
                </w:tcPr>
                <w:p w14:paraId="5E2E619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687" w:type="pct"/>
                  <w:tcBorders>
                    <w:tl2br w:val="nil"/>
                    <w:tr2bl w:val="nil"/>
                  </w:tcBorders>
                  <w:vAlign w:val="center"/>
                </w:tcPr>
                <w:p w14:paraId="147349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r>
            <w:tr w14:paraId="0DB52E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52" w:type="pct"/>
                  <w:tcBorders>
                    <w:tl2br w:val="nil"/>
                    <w:tr2bl w:val="nil"/>
                  </w:tcBorders>
                  <w:vAlign w:val="center"/>
                </w:tcPr>
                <w:p w14:paraId="3CDCD01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6"/>
                      <w:sz w:val="21"/>
                    </w:rPr>
                  </w:pPr>
                  <w:r>
                    <w:rPr>
                      <w:rFonts w:hint="eastAsia" w:ascii="Times New Roman" w:hAnsi="Times New Roman" w:eastAsia="宋体"/>
                      <w:color w:val="auto"/>
                      <w:spacing w:val="6"/>
                      <w:sz w:val="21"/>
                    </w:rPr>
                    <w:t>喷淋塔补充用水</w:t>
                  </w:r>
                </w:p>
              </w:tc>
              <w:tc>
                <w:tcPr>
                  <w:tcW w:w="649" w:type="pct"/>
                  <w:tcBorders>
                    <w:tl2br w:val="nil"/>
                    <w:tr2bl w:val="nil"/>
                  </w:tcBorders>
                  <w:vAlign w:val="center"/>
                </w:tcPr>
                <w:p w14:paraId="6E6515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1"/>
                      <w:position w:val="1"/>
                      <w:sz w:val="21"/>
                      <w:szCs w:val="20"/>
                      <w:lang w:val="en-US" w:eastAsia="zh-CN"/>
                    </w:rPr>
                  </w:pPr>
                </w:p>
              </w:tc>
              <w:tc>
                <w:tcPr>
                  <w:tcW w:w="514" w:type="pct"/>
                  <w:tcBorders>
                    <w:tl2br w:val="nil"/>
                    <w:tr2bl w:val="nil"/>
                  </w:tcBorders>
                  <w:vAlign w:val="center"/>
                </w:tcPr>
                <w:p w14:paraId="65AB5D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1"/>
                      <w:sz w:val="21"/>
                      <w:szCs w:val="20"/>
                      <w:lang w:val="en-US" w:eastAsia="zh-CN"/>
                    </w:rPr>
                  </w:pPr>
                </w:p>
              </w:tc>
              <w:tc>
                <w:tcPr>
                  <w:tcW w:w="889" w:type="pct"/>
                  <w:tcBorders>
                    <w:tl2br w:val="nil"/>
                    <w:tr2bl w:val="nil"/>
                  </w:tcBorders>
                  <w:vAlign w:val="center"/>
                </w:tcPr>
                <w:p w14:paraId="6575A61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1"/>
                      <w:sz w:val="21"/>
                      <w:szCs w:val="20"/>
                      <w:lang w:val="en-US" w:eastAsia="zh-CN"/>
                    </w:rPr>
                  </w:pPr>
                </w:p>
              </w:tc>
              <w:tc>
                <w:tcPr>
                  <w:tcW w:w="653" w:type="pct"/>
                  <w:tcBorders>
                    <w:tl2br w:val="nil"/>
                    <w:tr2bl w:val="nil"/>
                  </w:tcBorders>
                  <w:vAlign w:val="center"/>
                </w:tcPr>
                <w:p w14:paraId="6F72BE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1"/>
                      <w:sz w:val="21"/>
                      <w:szCs w:val="20"/>
                      <w:lang w:val="en-US" w:eastAsia="zh-CN"/>
                    </w:rPr>
                  </w:pPr>
                </w:p>
              </w:tc>
              <w:tc>
                <w:tcPr>
                  <w:tcW w:w="654" w:type="pct"/>
                  <w:tcBorders>
                    <w:tl2br w:val="nil"/>
                    <w:tr2bl w:val="nil"/>
                  </w:tcBorders>
                  <w:vAlign w:val="center"/>
                </w:tcPr>
                <w:p w14:paraId="6923762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position w:val="1"/>
                      <w:sz w:val="21"/>
                      <w:szCs w:val="20"/>
                      <w:lang w:val="en-US" w:eastAsia="zh-CN"/>
                    </w:rPr>
                  </w:pPr>
                </w:p>
              </w:tc>
              <w:tc>
                <w:tcPr>
                  <w:tcW w:w="687" w:type="pct"/>
                  <w:tcBorders>
                    <w:tl2br w:val="nil"/>
                    <w:tr2bl w:val="nil"/>
                  </w:tcBorders>
                  <w:vAlign w:val="center"/>
                </w:tcPr>
                <w:p w14:paraId="5091AD4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1"/>
                      <w:sz w:val="21"/>
                      <w:szCs w:val="20"/>
                      <w:lang w:val="en-US" w:eastAsia="zh-CN"/>
                    </w:rPr>
                  </w:pPr>
                </w:p>
              </w:tc>
            </w:tr>
            <w:tr w14:paraId="73B570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952" w:type="pct"/>
                  <w:tcBorders>
                    <w:tl2br w:val="nil"/>
                    <w:tr2bl w:val="nil"/>
                  </w:tcBorders>
                  <w:vAlign w:val="center"/>
                </w:tcPr>
                <w:p w14:paraId="0EFCECC9">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color w:val="auto"/>
                      <w:spacing w:val="6"/>
                      <w:sz w:val="21"/>
                    </w:rPr>
                    <w:t>员工生活办公</w:t>
                  </w:r>
                </w:p>
              </w:tc>
              <w:tc>
                <w:tcPr>
                  <w:tcW w:w="649" w:type="pct"/>
                  <w:tcBorders>
                    <w:tl2br w:val="nil"/>
                    <w:tr2bl w:val="nil"/>
                  </w:tcBorders>
                  <w:vAlign w:val="center"/>
                </w:tcPr>
                <w:p w14:paraId="00E842C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514" w:type="pct"/>
                  <w:tcBorders>
                    <w:tl2br w:val="nil"/>
                    <w:tr2bl w:val="nil"/>
                  </w:tcBorders>
                  <w:vAlign w:val="center"/>
                </w:tcPr>
                <w:p w14:paraId="588545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889" w:type="pct"/>
                  <w:tcBorders>
                    <w:tl2br w:val="nil"/>
                    <w:tr2bl w:val="nil"/>
                  </w:tcBorders>
                  <w:vAlign w:val="center"/>
                </w:tcPr>
                <w:p w14:paraId="60E1E4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653" w:type="pct"/>
                  <w:tcBorders>
                    <w:tl2br w:val="nil"/>
                    <w:tr2bl w:val="nil"/>
                  </w:tcBorders>
                  <w:vAlign w:val="center"/>
                </w:tcPr>
                <w:p w14:paraId="0969AA8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654" w:type="pct"/>
                  <w:tcBorders>
                    <w:tl2br w:val="nil"/>
                    <w:tr2bl w:val="nil"/>
                  </w:tcBorders>
                  <w:vAlign w:val="center"/>
                </w:tcPr>
                <w:p w14:paraId="055AD8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rPr>
                  </w:pPr>
                </w:p>
              </w:tc>
              <w:tc>
                <w:tcPr>
                  <w:tcW w:w="687" w:type="pct"/>
                  <w:tcBorders>
                    <w:tl2br w:val="nil"/>
                    <w:tr2bl w:val="nil"/>
                  </w:tcBorders>
                  <w:vAlign w:val="center"/>
                </w:tcPr>
                <w:p w14:paraId="7DA3061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r>
            <w:tr w14:paraId="221B0D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2" w:type="pct"/>
                  <w:tcBorders>
                    <w:tl2br w:val="nil"/>
                    <w:tr2bl w:val="nil"/>
                  </w:tcBorders>
                  <w:vAlign w:val="center"/>
                </w:tcPr>
                <w:p w14:paraId="3BC76CF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auto"/>
                      <w:spacing w:val="6"/>
                      <w:sz w:val="21"/>
                      <w:lang w:val="en-US" w:eastAsia="zh-CN"/>
                    </w:rPr>
                  </w:pPr>
                  <w:r>
                    <w:rPr>
                      <w:rFonts w:hint="eastAsia" w:ascii="Times New Roman" w:hAnsi="Times New Roman"/>
                      <w:color w:val="auto"/>
                      <w:spacing w:val="6"/>
                      <w:sz w:val="21"/>
                      <w:lang w:val="en-US" w:eastAsia="zh-CN"/>
                    </w:rPr>
                    <w:t>喷漆线</w:t>
                  </w:r>
                </w:p>
              </w:tc>
              <w:tc>
                <w:tcPr>
                  <w:tcW w:w="649" w:type="pct"/>
                  <w:tcBorders>
                    <w:tl2br w:val="nil"/>
                    <w:tr2bl w:val="nil"/>
                  </w:tcBorders>
                  <w:vAlign w:val="center"/>
                </w:tcPr>
                <w:p w14:paraId="0BEA93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position w:val="1"/>
                      <w:sz w:val="21"/>
                      <w:szCs w:val="20"/>
                      <w:lang w:val="en-US" w:eastAsia="zh-CN"/>
                    </w:rPr>
                  </w:pPr>
                </w:p>
              </w:tc>
              <w:tc>
                <w:tcPr>
                  <w:tcW w:w="514" w:type="pct"/>
                  <w:tcBorders>
                    <w:tl2br w:val="nil"/>
                    <w:tr2bl w:val="nil"/>
                  </w:tcBorders>
                  <w:vAlign w:val="center"/>
                </w:tcPr>
                <w:p w14:paraId="1C9F46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1"/>
                      <w:sz w:val="21"/>
                      <w:szCs w:val="20"/>
                      <w:lang w:val="en-US" w:eastAsia="zh-CN"/>
                    </w:rPr>
                  </w:pPr>
                </w:p>
              </w:tc>
              <w:tc>
                <w:tcPr>
                  <w:tcW w:w="889" w:type="pct"/>
                  <w:tcBorders>
                    <w:tl2br w:val="nil"/>
                    <w:tr2bl w:val="nil"/>
                  </w:tcBorders>
                  <w:vAlign w:val="center"/>
                </w:tcPr>
                <w:p w14:paraId="45423B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1"/>
                      <w:sz w:val="21"/>
                      <w:szCs w:val="20"/>
                      <w:lang w:val="en-US" w:eastAsia="zh-CN"/>
                    </w:rPr>
                  </w:pPr>
                </w:p>
              </w:tc>
              <w:tc>
                <w:tcPr>
                  <w:tcW w:w="653" w:type="pct"/>
                  <w:tcBorders>
                    <w:tl2br w:val="nil"/>
                    <w:tr2bl w:val="nil"/>
                  </w:tcBorders>
                  <w:vAlign w:val="center"/>
                </w:tcPr>
                <w:p w14:paraId="1139D9D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position w:val="1"/>
                      <w:sz w:val="21"/>
                      <w:szCs w:val="20"/>
                      <w:lang w:val="en-US" w:eastAsia="zh-CN"/>
                    </w:rPr>
                  </w:pPr>
                </w:p>
              </w:tc>
              <w:tc>
                <w:tcPr>
                  <w:tcW w:w="654" w:type="pct"/>
                  <w:tcBorders>
                    <w:tl2br w:val="nil"/>
                    <w:tr2bl w:val="nil"/>
                  </w:tcBorders>
                  <w:vAlign w:val="center"/>
                </w:tcPr>
                <w:p w14:paraId="31AFB31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position w:val="1"/>
                      <w:sz w:val="21"/>
                      <w:szCs w:val="20"/>
                      <w:lang w:val="en-US" w:eastAsia="zh-CN"/>
                    </w:rPr>
                  </w:pPr>
                </w:p>
              </w:tc>
              <w:tc>
                <w:tcPr>
                  <w:tcW w:w="687" w:type="pct"/>
                  <w:tcBorders>
                    <w:tl2br w:val="nil"/>
                    <w:tr2bl w:val="nil"/>
                  </w:tcBorders>
                  <w:vAlign w:val="center"/>
                </w:tcPr>
                <w:p w14:paraId="484B0A3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2"/>
                      <w:position w:val="1"/>
                      <w:sz w:val="21"/>
                      <w:szCs w:val="20"/>
                      <w:lang w:val="en-US" w:eastAsia="zh-CN"/>
                    </w:rPr>
                  </w:pPr>
                </w:p>
              </w:tc>
            </w:tr>
            <w:tr w14:paraId="3443A6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952" w:type="pct"/>
                  <w:tcBorders>
                    <w:tl2br w:val="nil"/>
                    <w:tr2bl w:val="nil"/>
                  </w:tcBorders>
                  <w:vAlign w:val="center"/>
                </w:tcPr>
                <w:p w14:paraId="44ACDFC1">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rPr>
                  </w:pPr>
                  <w:r>
                    <w:rPr>
                      <w:rFonts w:ascii="Times New Roman" w:hAnsi="Times New Roman" w:eastAsia="宋体"/>
                      <w:color w:val="auto"/>
                      <w:spacing w:val="4"/>
                      <w:sz w:val="21"/>
                    </w:rPr>
                    <w:t>合计</w:t>
                  </w:r>
                </w:p>
              </w:tc>
              <w:tc>
                <w:tcPr>
                  <w:tcW w:w="649" w:type="pct"/>
                  <w:tcBorders>
                    <w:tl2br w:val="nil"/>
                    <w:tr2bl w:val="nil"/>
                  </w:tcBorders>
                  <w:vAlign w:val="center"/>
                </w:tcPr>
                <w:p w14:paraId="7F2264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514" w:type="pct"/>
                  <w:tcBorders>
                    <w:tl2br w:val="nil"/>
                    <w:tr2bl w:val="nil"/>
                  </w:tcBorders>
                  <w:vAlign w:val="center"/>
                </w:tcPr>
                <w:p w14:paraId="54AFFFC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889" w:type="pct"/>
                  <w:tcBorders>
                    <w:tl2br w:val="nil"/>
                    <w:tr2bl w:val="nil"/>
                  </w:tcBorders>
                  <w:vAlign w:val="center"/>
                </w:tcPr>
                <w:p w14:paraId="61A677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653" w:type="pct"/>
                  <w:tcBorders>
                    <w:tl2br w:val="nil"/>
                    <w:tr2bl w:val="nil"/>
                  </w:tcBorders>
                  <w:vAlign w:val="center"/>
                </w:tcPr>
                <w:p w14:paraId="0F2DF99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654" w:type="pct"/>
                  <w:tcBorders>
                    <w:tl2br w:val="nil"/>
                    <w:tr2bl w:val="nil"/>
                  </w:tcBorders>
                  <w:vAlign w:val="center"/>
                </w:tcPr>
                <w:p w14:paraId="6828E1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c>
                <w:tcPr>
                  <w:tcW w:w="687" w:type="pct"/>
                  <w:tcBorders>
                    <w:tl2br w:val="nil"/>
                    <w:tr2bl w:val="nil"/>
                  </w:tcBorders>
                  <w:vAlign w:val="center"/>
                </w:tcPr>
                <w:p w14:paraId="7C9C5D4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lang w:val="en-US" w:eastAsia="zh-CN"/>
                    </w:rPr>
                  </w:pPr>
                </w:p>
              </w:tc>
            </w:tr>
            <w:tr w14:paraId="22DC61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5000" w:type="pct"/>
                  <w:gridSpan w:val="7"/>
                  <w:tcBorders>
                    <w:tl2br w:val="nil"/>
                    <w:tr2bl w:val="nil"/>
                  </w:tcBorders>
                  <w:vAlign w:val="center"/>
                </w:tcPr>
                <w:p w14:paraId="1122F9DC">
                  <w:pPr>
                    <w:pStyle w:val="115"/>
                    <w:spacing w:before="4" w:line="273" w:lineRule="exact"/>
                    <w:ind w:left="65"/>
                    <w:rPr>
                      <w:rFonts w:ascii="Times New Roman" w:hAnsi="Times New Roman" w:eastAsia="宋体"/>
                      <w:color w:val="auto"/>
                      <w:sz w:val="21"/>
                    </w:rPr>
                  </w:pPr>
                  <w:r>
                    <w:rPr>
                      <w:rFonts w:ascii="Times New Roman" w:hAnsi="Times New Roman" w:eastAsia="宋体"/>
                      <w:color w:val="auto"/>
                      <w:spacing w:val="11"/>
                      <w:position w:val="1"/>
                      <w:sz w:val="21"/>
                    </w:rPr>
                    <w:t>注：①纯水制备率取</w:t>
                  </w:r>
                  <w:r>
                    <w:rPr>
                      <w:rFonts w:ascii="Times New Roman" w:hAnsi="Times New Roman" w:eastAsia="宋体" w:cs="Times New Roman"/>
                      <w:color w:val="auto"/>
                      <w:spacing w:val="11"/>
                      <w:position w:val="1"/>
                      <w:sz w:val="21"/>
                    </w:rPr>
                    <w:t>40%</w:t>
                  </w:r>
                  <w:r>
                    <w:rPr>
                      <w:rFonts w:ascii="Times New Roman" w:hAnsi="Times New Roman" w:eastAsia="宋体"/>
                      <w:color w:val="auto"/>
                      <w:spacing w:val="11"/>
                      <w:position w:val="1"/>
                      <w:sz w:val="21"/>
                    </w:rPr>
                    <w:t>。</w:t>
                  </w:r>
                </w:p>
                <w:p w14:paraId="1D861661">
                  <w:pPr>
                    <w:pStyle w:val="115"/>
                    <w:spacing w:line="266" w:lineRule="exact"/>
                    <w:ind w:left="483"/>
                    <w:rPr>
                      <w:rFonts w:ascii="Times New Roman" w:hAnsi="Times New Roman" w:eastAsia="宋体"/>
                      <w:color w:val="auto"/>
                      <w:sz w:val="21"/>
                    </w:rPr>
                  </w:pPr>
                  <w:r>
                    <w:rPr>
                      <w:rFonts w:ascii="Times New Roman" w:hAnsi="Times New Roman" w:eastAsia="宋体"/>
                      <w:color w:val="auto"/>
                      <w:spacing w:val="11"/>
                      <w:position w:val="1"/>
                      <w:sz w:val="21"/>
                    </w:rPr>
                    <w:t>②本项目生活用水产污系数取</w:t>
                  </w:r>
                  <w:r>
                    <w:rPr>
                      <w:rFonts w:ascii="Times New Roman" w:hAnsi="Times New Roman" w:eastAsia="宋体" w:cs="Times New Roman"/>
                      <w:color w:val="auto"/>
                      <w:spacing w:val="11"/>
                      <w:position w:val="1"/>
                      <w:sz w:val="21"/>
                    </w:rPr>
                    <w:t>0.8</w:t>
                  </w:r>
                  <w:r>
                    <w:rPr>
                      <w:rFonts w:ascii="Times New Roman" w:hAnsi="Times New Roman" w:eastAsia="宋体"/>
                      <w:color w:val="auto"/>
                      <w:spacing w:val="11"/>
                      <w:position w:val="1"/>
                      <w:sz w:val="21"/>
                    </w:rPr>
                    <w:t>。</w:t>
                  </w:r>
                </w:p>
              </w:tc>
            </w:tr>
          </w:tbl>
          <w:p w14:paraId="790C316E">
            <w:pPr>
              <w:rPr>
                <w:rFonts w:hint="eastAsia"/>
                <w:color w:val="auto"/>
              </w:rPr>
            </w:pPr>
          </w:p>
          <w:p w14:paraId="29C1F653">
            <w:pPr>
              <w:pStyle w:val="46"/>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474970" cy="6374130"/>
                  <wp:effectExtent l="0" t="0" r="0" b="0"/>
                  <wp:docPr id="152" name="ECB019B1-382A-4266-B25C-5B523AA43C14-1" descr="C:/Users/Administrator/AppData/Local/Temp/wps.rNLwI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ECB019B1-382A-4266-B25C-5B523AA43C14-1" descr="C:/Users/Administrator/AppData/Local/Temp/wps.rNLwIrwps"/>
                          <pic:cNvPicPr>
                            <a:picLocks noChangeAspect="1"/>
                          </pic:cNvPicPr>
                        </pic:nvPicPr>
                        <pic:blipFill>
                          <a:blip r:embed="rId13"/>
                          <a:stretch>
                            <a:fillRect/>
                          </a:stretch>
                        </pic:blipFill>
                        <pic:spPr>
                          <a:xfrm>
                            <a:off x="0" y="0"/>
                            <a:ext cx="5474970" cy="6374130"/>
                          </a:xfrm>
                          <a:prstGeom prst="rect">
                            <a:avLst/>
                          </a:prstGeom>
                        </pic:spPr>
                      </pic:pic>
                    </a:graphicData>
                  </a:graphic>
                </wp:inline>
              </w:drawing>
            </w:r>
          </w:p>
          <w:p w14:paraId="60249A5A">
            <w:pPr>
              <w:pStyle w:val="49"/>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rFonts w:hint="eastAsia"/>
                <w:color w:val="auto"/>
                <w:highlight w:val="none"/>
                <w:lang w:val="en-US" w:eastAsia="zh-CN"/>
              </w:rPr>
            </w:pPr>
            <w:r>
              <w:rPr>
                <w:rFonts w:hint="eastAsia"/>
                <w:color w:val="auto"/>
                <w:highlight w:val="none"/>
                <w:lang w:val="en-US" w:eastAsia="zh-CN"/>
              </w:rPr>
              <w:t>项目水平衡 单位：m</w:t>
            </w:r>
            <w:r>
              <w:rPr>
                <w:rFonts w:hint="eastAsia"/>
                <w:color w:val="auto"/>
                <w:highlight w:val="none"/>
                <w:vertAlign w:val="superscript"/>
                <w:lang w:val="en-US" w:eastAsia="zh-CN"/>
              </w:rPr>
              <w:t>3</w:t>
            </w:r>
            <w:r>
              <w:rPr>
                <w:rFonts w:hint="eastAsia"/>
                <w:color w:val="auto"/>
                <w:highlight w:val="none"/>
                <w:lang w:val="en-US" w:eastAsia="zh-CN"/>
              </w:rPr>
              <w:t>/d</w:t>
            </w:r>
          </w:p>
          <w:p w14:paraId="4515E840">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VOCs物料平衡</w:t>
            </w:r>
          </w:p>
          <w:p w14:paraId="088634FC">
            <w:pPr>
              <w:pStyle w:val="47"/>
              <w:rPr>
                <w:rFonts w:hint="eastAsia"/>
                <w:color w:val="auto"/>
                <w:highlight w:val="none"/>
                <w:lang w:val="en-US" w:eastAsia="zh-CN"/>
              </w:rPr>
            </w:pPr>
            <w:r>
              <w:rPr>
                <w:rFonts w:hint="eastAsia"/>
                <w:color w:val="auto"/>
                <w:highlight w:val="none"/>
                <w:lang w:val="en-US" w:eastAsia="zh-CN"/>
              </w:rPr>
              <w:t>（1）电泳线VOCs物料平衡：</w:t>
            </w:r>
          </w:p>
          <w:p w14:paraId="3D2F2084">
            <w:pPr>
              <w:pStyle w:val="47"/>
              <w:rPr>
                <w:rFonts w:hint="eastAsia"/>
                <w:color w:val="auto"/>
                <w:highlight w:val="none"/>
                <w:lang w:val="en-US" w:eastAsia="zh-CN"/>
              </w:rPr>
            </w:pPr>
            <w:r>
              <w:rPr>
                <w:rFonts w:hint="eastAsia"/>
                <w:color w:val="auto"/>
                <w:highlight w:val="none"/>
                <w:lang w:val="en-US" w:eastAsia="zh-CN"/>
              </w:rPr>
              <w:t>本项目配套设有1条电泳线，使用的电泳涂料为水性涂料，根据其MSDS资料，成分主要包括固份、水分、挥发份。具体见下表。</w:t>
            </w:r>
          </w:p>
          <w:p w14:paraId="3B22BBB8">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电泳涂料成分分析（单位：t/a）</w:t>
            </w:r>
          </w:p>
          <w:tbl>
            <w:tblPr>
              <w:tblStyle w:val="8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17"/>
              <w:gridCol w:w="1300"/>
              <w:gridCol w:w="1702"/>
              <w:gridCol w:w="1913"/>
              <w:gridCol w:w="1908"/>
            </w:tblGrid>
            <w:tr w14:paraId="369567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vMerge w:val="restart"/>
                  <w:vAlign w:val="center"/>
                </w:tcPr>
                <w:p w14:paraId="5D1A6FC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种类</w:t>
                  </w:r>
                </w:p>
              </w:tc>
              <w:tc>
                <w:tcPr>
                  <w:tcW w:w="752" w:type="pct"/>
                  <w:vMerge w:val="restart"/>
                  <w:vAlign w:val="center"/>
                </w:tcPr>
                <w:p w14:paraId="37F71D54">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年用量</w:t>
                  </w:r>
                </w:p>
              </w:tc>
              <w:tc>
                <w:tcPr>
                  <w:tcW w:w="3196" w:type="pct"/>
                  <w:gridSpan w:val="3"/>
                  <w:vAlign w:val="center"/>
                </w:tcPr>
                <w:p w14:paraId="40196DB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其中</w:t>
                  </w:r>
                </w:p>
              </w:tc>
            </w:tr>
            <w:tr w14:paraId="66C4D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vMerge w:val="continue"/>
                  <w:tcBorders>
                    <w:bottom w:val="single" w:color="000000" w:sz="12" w:space="0"/>
                  </w:tcBorders>
                  <w:vAlign w:val="center"/>
                </w:tcPr>
                <w:p w14:paraId="55853AB7">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752" w:type="pct"/>
                  <w:vMerge w:val="continue"/>
                  <w:tcBorders>
                    <w:bottom w:val="single" w:color="000000" w:sz="12" w:space="0"/>
                  </w:tcBorders>
                  <w:vAlign w:val="center"/>
                </w:tcPr>
                <w:p w14:paraId="7F094843">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985" w:type="pct"/>
                  <w:tcBorders>
                    <w:bottom w:val="single" w:color="000000" w:sz="12" w:space="0"/>
                  </w:tcBorders>
                  <w:vAlign w:val="center"/>
                </w:tcPr>
                <w:p w14:paraId="1E8816E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固份</w:t>
                  </w:r>
                </w:p>
              </w:tc>
              <w:tc>
                <w:tcPr>
                  <w:tcW w:w="1107" w:type="pct"/>
                  <w:tcBorders>
                    <w:bottom w:val="single" w:color="000000" w:sz="12" w:space="0"/>
                  </w:tcBorders>
                  <w:vAlign w:val="center"/>
                </w:tcPr>
                <w:p w14:paraId="5F2FE32A">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水分</w:t>
                  </w:r>
                </w:p>
              </w:tc>
              <w:tc>
                <w:tcPr>
                  <w:tcW w:w="1103" w:type="pct"/>
                  <w:tcBorders>
                    <w:bottom w:val="single" w:color="000000" w:sz="12" w:space="0"/>
                  </w:tcBorders>
                  <w:vAlign w:val="center"/>
                </w:tcPr>
                <w:p w14:paraId="3C176DD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挥发份</w:t>
                  </w:r>
                </w:p>
              </w:tc>
            </w:tr>
            <w:tr w14:paraId="65195D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op w:val="single" w:color="000000" w:sz="12" w:space="0"/>
                    <w:tl2br w:val="nil"/>
                    <w:tr2bl w:val="nil"/>
                  </w:tcBorders>
                  <w:vAlign w:val="center"/>
                </w:tcPr>
                <w:p w14:paraId="0A37BA3E">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乳液</w:t>
                  </w:r>
                </w:p>
              </w:tc>
              <w:tc>
                <w:tcPr>
                  <w:tcW w:w="752" w:type="pct"/>
                  <w:tcBorders>
                    <w:top w:val="single" w:color="000000" w:sz="12" w:space="0"/>
                    <w:tl2br w:val="nil"/>
                    <w:tr2bl w:val="nil"/>
                  </w:tcBorders>
                  <w:vAlign w:val="center"/>
                </w:tcPr>
                <w:p w14:paraId="4D77041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13.5</w:t>
                  </w:r>
                </w:p>
              </w:tc>
              <w:tc>
                <w:tcPr>
                  <w:tcW w:w="985" w:type="pct"/>
                  <w:tcBorders>
                    <w:top w:val="single" w:color="000000" w:sz="12" w:space="0"/>
                    <w:tl2br w:val="nil"/>
                    <w:tr2bl w:val="nil"/>
                  </w:tcBorders>
                  <w:vAlign w:val="center"/>
                </w:tcPr>
                <w:p w14:paraId="13452BD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6.75</w:t>
                  </w:r>
                </w:p>
              </w:tc>
              <w:tc>
                <w:tcPr>
                  <w:tcW w:w="1107" w:type="pct"/>
                  <w:tcBorders>
                    <w:top w:val="single" w:color="000000" w:sz="12" w:space="0"/>
                    <w:tl2br w:val="nil"/>
                    <w:tr2bl w:val="nil"/>
                  </w:tcBorders>
                  <w:vAlign w:val="center"/>
                </w:tcPr>
                <w:p w14:paraId="448319E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6.129</w:t>
                  </w:r>
                </w:p>
              </w:tc>
              <w:tc>
                <w:tcPr>
                  <w:tcW w:w="1103" w:type="pct"/>
                  <w:tcBorders>
                    <w:top w:val="single" w:color="000000" w:sz="12" w:space="0"/>
                    <w:tl2br w:val="nil"/>
                    <w:tr2bl w:val="nil"/>
                  </w:tcBorders>
                  <w:vAlign w:val="center"/>
                </w:tcPr>
                <w:p w14:paraId="667259A3">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0.621</w:t>
                  </w:r>
                </w:p>
              </w:tc>
            </w:tr>
            <w:tr w14:paraId="5C178E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l2br w:val="nil"/>
                    <w:tr2bl w:val="nil"/>
                  </w:tcBorders>
                  <w:vAlign w:val="center"/>
                </w:tcPr>
                <w:p w14:paraId="7EC7044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黑浆</w:t>
                  </w:r>
                </w:p>
              </w:tc>
              <w:tc>
                <w:tcPr>
                  <w:tcW w:w="752" w:type="pct"/>
                  <w:tcBorders>
                    <w:tl2br w:val="nil"/>
                    <w:tr2bl w:val="nil"/>
                  </w:tcBorders>
                  <w:vAlign w:val="center"/>
                </w:tcPr>
                <w:p w14:paraId="70CE3457">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2.1</w:t>
                  </w:r>
                </w:p>
              </w:tc>
              <w:tc>
                <w:tcPr>
                  <w:tcW w:w="985" w:type="pct"/>
                  <w:tcBorders>
                    <w:tl2br w:val="nil"/>
                    <w:tr2bl w:val="nil"/>
                  </w:tcBorders>
                  <w:vAlign w:val="center"/>
                </w:tcPr>
                <w:p w14:paraId="42E46409">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1.113</w:t>
                  </w:r>
                </w:p>
              </w:tc>
              <w:tc>
                <w:tcPr>
                  <w:tcW w:w="1107" w:type="pct"/>
                  <w:tcBorders>
                    <w:tl2br w:val="nil"/>
                    <w:tr2bl w:val="nil"/>
                  </w:tcBorders>
                  <w:vAlign w:val="center"/>
                </w:tcPr>
                <w:p w14:paraId="4B4261F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0.798</w:t>
                  </w:r>
                </w:p>
              </w:tc>
              <w:tc>
                <w:tcPr>
                  <w:tcW w:w="1103" w:type="pct"/>
                  <w:tcBorders>
                    <w:tl2br w:val="nil"/>
                    <w:tr2bl w:val="nil"/>
                  </w:tcBorders>
                  <w:vAlign w:val="center"/>
                </w:tcPr>
                <w:p w14:paraId="1B6BB9EC">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0.189</w:t>
                  </w:r>
                </w:p>
              </w:tc>
            </w:tr>
            <w:tr w14:paraId="6E4727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1" w:type="pct"/>
                  <w:tcBorders>
                    <w:tl2br w:val="nil"/>
                    <w:tr2bl w:val="nil"/>
                  </w:tcBorders>
                  <w:vAlign w:val="center"/>
                </w:tcPr>
                <w:p w14:paraId="5F0786C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助剂</w:t>
                  </w:r>
                </w:p>
              </w:tc>
              <w:tc>
                <w:tcPr>
                  <w:tcW w:w="752" w:type="pct"/>
                  <w:tcBorders>
                    <w:tl2br w:val="nil"/>
                    <w:tr2bl w:val="nil"/>
                  </w:tcBorders>
                  <w:vAlign w:val="center"/>
                </w:tcPr>
                <w:p w14:paraId="0298356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0.18</w:t>
                  </w:r>
                </w:p>
              </w:tc>
              <w:tc>
                <w:tcPr>
                  <w:tcW w:w="985" w:type="pct"/>
                  <w:tcBorders>
                    <w:tl2br w:val="nil"/>
                    <w:tr2bl w:val="nil"/>
                  </w:tcBorders>
                  <w:vAlign w:val="center"/>
                </w:tcPr>
                <w:p w14:paraId="7842DA8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w:t>
                  </w:r>
                </w:p>
              </w:tc>
              <w:tc>
                <w:tcPr>
                  <w:tcW w:w="1107" w:type="pct"/>
                  <w:tcBorders>
                    <w:tl2br w:val="nil"/>
                    <w:tr2bl w:val="nil"/>
                  </w:tcBorders>
                  <w:vAlign w:val="center"/>
                </w:tcPr>
                <w:p w14:paraId="145C6AF4">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0.0846</w:t>
                  </w:r>
                </w:p>
              </w:tc>
              <w:tc>
                <w:tcPr>
                  <w:tcW w:w="1103" w:type="pct"/>
                  <w:tcBorders>
                    <w:tl2br w:val="nil"/>
                    <w:tr2bl w:val="nil"/>
                  </w:tcBorders>
                  <w:vAlign w:val="center"/>
                </w:tcPr>
                <w:p w14:paraId="11162BEA">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0.0954</w:t>
                  </w:r>
                </w:p>
              </w:tc>
            </w:tr>
            <w:tr w14:paraId="77D1B5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l2br w:val="nil"/>
                    <w:tr2bl w:val="nil"/>
                  </w:tcBorders>
                  <w:vAlign w:val="center"/>
                </w:tcPr>
                <w:p w14:paraId="5A6F0E57">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中和剂</w:t>
                  </w:r>
                </w:p>
              </w:tc>
              <w:tc>
                <w:tcPr>
                  <w:tcW w:w="752" w:type="pct"/>
                  <w:tcBorders>
                    <w:tl2br w:val="nil"/>
                    <w:tr2bl w:val="nil"/>
                  </w:tcBorders>
                  <w:vAlign w:val="center"/>
                </w:tcPr>
                <w:p w14:paraId="76F404D5">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0.12</w:t>
                  </w:r>
                </w:p>
              </w:tc>
              <w:tc>
                <w:tcPr>
                  <w:tcW w:w="985" w:type="pct"/>
                  <w:tcBorders>
                    <w:tl2br w:val="nil"/>
                    <w:tr2bl w:val="nil"/>
                  </w:tcBorders>
                  <w:vAlign w:val="center"/>
                </w:tcPr>
                <w:p w14:paraId="5BC18E9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w:t>
                  </w:r>
                </w:p>
              </w:tc>
              <w:tc>
                <w:tcPr>
                  <w:tcW w:w="1107" w:type="pct"/>
                  <w:tcBorders>
                    <w:tl2br w:val="nil"/>
                    <w:tr2bl w:val="nil"/>
                  </w:tcBorders>
                  <w:vAlign w:val="center"/>
                </w:tcPr>
                <w:p w14:paraId="77F518B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0.084</w:t>
                  </w:r>
                </w:p>
              </w:tc>
              <w:tc>
                <w:tcPr>
                  <w:tcW w:w="1103" w:type="pct"/>
                  <w:tcBorders>
                    <w:tl2br w:val="nil"/>
                    <w:tr2bl w:val="nil"/>
                  </w:tcBorders>
                  <w:vAlign w:val="center"/>
                </w:tcPr>
                <w:p w14:paraId="360334B3">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0.036</w:t>
                  </w:r>
                </w:p>
              </w:tc>
            </w:tr>
            <w:tr w14:paraId="3B99CC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l2br w:val="nil"/>
                    <w:tr2bl w:val="nil"/>
                  </w:tcBorders>
                  <w:vAlign w:val="center"/>
                </w:tcPr>
                <w:p w14:paraId="61F9041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合计</w:t>
                  </w:r>
                </w:p>
              </w:tc>
              <w:tc>
                <w:tcPr>
                  <w:tcW w:w="752" w:type="pct"/>
                  <w:tcBorders>
                    <w:tl2br w:val="nil"/>
                    <w:tr2bl w:val="nil"/>
                  </w:tcBorders>
                  <w:vAlign w:val="center"/>
                </w:tcPr>
                <w:p w14:paraId="74AB6A8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15.9</w:t>
                  </w:r>
                </w:p>
              </w:tc>
              <w:tc>
                <w:tcPr>
                  <w:tcW w:w="985" w:type="pct"/>
                  <w:tcBorders>
                    <w:tl2br w:val="nil"/>
                    <w:tr2bl w:val="nil"/>
                  </w:tcBorders>
                  <w:vAlign w:val="center"/>
                </w:tcPr>
                <w:p w14:paraId="0DD87A18">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7.863</w:t>
                  </w:r>
                </w:p>
              </w:tc>
              <w:tc>
                <w:tcPr>
                  <w:tcW w:w="1107" w:type="pct"/>
                  <w:tcBorders>
                    <w:tl2br w:val="nil"/>
                    <w:tr2bl w:val="nil"/>
                  </w:tcBorders>
                  <w:vAlign w:val="center"/>
                </w:tcPr>
                <w:p w14:paraId="37ED2325">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7.0956</w:t>
                  </w:r>
                </w:p>
              </w:tc>
              <w:tc>
                <w:tcPr>
                  <w:tcW w:w="1103" w:type="pct"/>
                  <w:tcBorders>
                    <w:tl2br w:val="nil"/>
                    <w:tr2bl w:val="nil"/>
                  </w:tcBorders>
                  <w:vAlign w:val="center"/>
                </w:tcPr>
                <w:p w14:paraId="3AD8E31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0.9414</w:t>
                  </w:r>
                </w:p>
              </w:tc>
            </w:tr>
          </w:tbl>
          <w:p w14:paraId="2B70E4B6">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电泳槽液不更换且电泳后的工件经UF0喷淋、UF1喷淋、UF2浸洗后，带出液基本全部回用于电泳槽。电泳涂料中固份全部进入产品（涂层），在电泳及烘干固化过程中，水分全部蒸发损耗（水蒸气），挥发分全部挥发进入废气。根据电泳涂料成分分析，废气污染因子包括非甲烷总烃。</w:t>
            </w:r>
          </w:p>
          <w:p w14:paraId="77F8C671">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根据《污染源源强核算技术指南汽车制造（HJ 1097-2020）》附录E，电泳过程中电泳涂料中挥发性有机物的挥发比例为：电泳35%、烘干65%。</w:t>
            </w:r>
          </w:p>
          <w:p w14:paraId="6701DCCB">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rFonts w:hint="eastAsia"/>
                <w:color w:val="auto"/>
                <w:highlight w:val="none"/>
                <w:lang w:val="en-US" w:eastAsia="zh-CN"/>
              </w:rPr>
              <w:t>本项目电泳废气和烘干废气收集后，经二级活性炭装置净化处理后排</w:t>
            </w:r>
            <w:r>
              <w:rPr>
                <w:color w:val="auto"/>
                <w:sz w:val="24"/>
                <w:szCs w:val="24"/>
              </w:rPr>
              <w:t>气筒排放。</w:t>
            </w:r>
          </w:p>
          <w:p w14:paraId="6C539739">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color w:val="auto"/>
                <w:sz w:val="24"/>
                <w:szCs w:val="24"/>
              </w:rPr>
              <w:t>项目电泳线为相对封闭的结构，内部呈微负压状态，电泳废气、固化废气均可有效收集，捕集效率取90%，</w:t>
            </w:r>
            <w:r>
              <w:rPr>
                <w:rFonts w:hint="eastAsia"/>
                <w:color w:val="auto"/>
                <w:sz w:val="24"/>
                <w:szCs w:val="24"/>
                <w:lang w:val="en-US" w:eastAsia="zh-CN"/>
              </w:rPr>
              <w:t>喷淋塔+过滤棉+二级活性炭吸附</w:t>
            </w:r>
            <w:r>
              <w:rPr>
                <w:color w:val="auto"/>
                <w:sz w:val="24"/>
                <w:szCs w:val="24"/>
              </w:rPr>
              <w:t>对有机废气的去除率取</w:t>
            </w:r>
            <w:r>
              <w:rPr>
                <w:rFonts w:hint="eastAsia"/>
                <w:color w:val="auto"/>
                <w:sz w:val="24"/>
                <w:szCs w:val="24"/>
                <w:lang w:val="en-US" w:eastAsia="zh-CN"/>
              </w:rPr>
              <w:t>75</w:t>
            </w:r>
            <w:r>
              <w:rPr>
                <w:color w:val="auto"/>
                <w:sz w:val="24"/>
                <w:szCs w:val="24"/>
              </w:rPr>
              <w:t>%。</w:t>
            </w:r>
          </w:p>
          <w:p w14:paraId="4C3FFF2B">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本项目电泳涂料VOCs物料平衡表如下图所示。</w:t>
            </w:r>
          </w:p>
          <w:p w14:paraId="3671E60C">
            <w:pPr>
              <w:pStyle w:val="47"/>
              <w:keepNext w:val="0"/>
              <w:keepLines w:val="0"/>
              <w:pageBreakBefore w:val="0"/>
              <w:widowControl w:val="0"/>
              <w:kinsoku/>
              <w:wordWrap/>
              <w:overflowPunct/>
              <w:topLinePunct w:val="0"/>
              <w:autoSpaceDE/>
              <w:autoSpaceDN/>
              <w:bidi w:val="0"/>
              <w:adjustRightInd/>
              <w:snapToGrid/>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4228465" cy="5577205"/>
                  <wp:effectExtent l="0" t="0" r="0" b="0"/>
                  <wp:docPr id="151"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ECB019B1-382A-4266-B25C-5B523AA43C14-2" descr="wps"/>
                          <pic:cNvPicPr>
                            <a:picLocks noChangeAspect="1"/>
                          </pic:cNvPicPr>
                        </pic:nvPicPr>
                        <pic:blipFill>
                          <a:blip r:embed="rId14"/>
                          <a:stretch>
                            <a:fillRect/>
                          </a:stretch>
                        </pic:blipFill>
                        <pic:spPr>
                          <a:xfrm>
                            <a:off x="0" y="0"/>
                            <a:ext cx="4228465" cy="5577205"/>
                          </a:xfrm>
                          <a:prstGeom prst="rect">
                            <a:avLst/>
                          </a:prstGeom>
                        </pic:spPr>
                      </pic:pic>
                    </a:graphicData>
                  </a:graphic>
                </wp:inline>
              </w:drawing>
            </w:r>
          </w:p>
          <w:p w14:paraId="2269ABA8">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auto"/>
                <w:highlight w:val="none"/>
              </w:rPr>
            </w:pPr>
            <w:r>
              <w:rPr>
                <w:rFonts w:hint="eastAsia" w:cs="Times New Roman"/>
                <w:b/>
                <w:bCs/>
                <w:color w:val="auto"/>
                <w:kern w:val="2"/>
                <w:sz w:val="24"/>
                <w:szCs w:val="21"/>
                <w:highlight w:val="none"/>
                <w:lang w:val="en-US" w:eastAsia="zh-CN" w:bidi="ar-SA"/>
              </w:rPr>
              <w:t>电泳涂料</w:t>
            </w:r>
            <w:r>
              <w:rPr>
                <w:rFonts w:hint="eastAsia" w:ascii="Times New Roman" w:hAnsi="Times New Roman" w:eastAsia="宋体" w:cs="Times New Roman"/>
                <w:b/>
                <w:bCs/>
                <w:color w:val="auto"/>
                <w:kern w:val="2"/>
                <w:sz w:val="24"/>
                <w:szCs w:val="21"/>
                <w:highlight w:val="none"/>
                <w:lang w:val="en-US" w:eastAsia="zh-CN" w:bidi="ar-SA"/>
              </w:rPr>
              <w:t>VOCs物料平衡图</w:t>
            </w:r>
          </w:p>
          <w:p w14:paraId="49856A47">
            <w:pPr>
              <w:pStyle w:val="47"/>
              <w:rPr>
                <w:rFonts w:hint="eastAsia"/>
                <w:color w:val="auto"/>
                <w:highlight w:val="none"/>
                <w:lang w:val="en-US" w:eastAsia="zh-CN"/>
              </w:rPr>
            </w:pPr>
            <w:r>
              <w:rPr>
                <w:rFonts w:hint="eastAsia"/>
                <w:color w:val="auto"/>
                <w:highlight w:val="none"/>
                <w:lang w:val="en-US" w:eastAsia="zh-CN"/>
              </w:rPr>
              <w:t>（2）喷粉线VOCs物料平衡：</w:t>
            </w:r>
          </w:p>
          <w:p w14:paraId="3C7B1BD1">
            <w:pPr>
              <w:pStyle w:val="47"/>
              <w:rPr>
                <w:rFonts w:hint="eastAsia"/>
                <w:color w:val="auto"/>
                <w:highlight w:val="none"/>
                <w:lang w:val="en-US" w:eastAsia="zh-CN"/>
              </w:rPr>
            </w:pPr>
            <w:r>
              <w:rPr>
                <w:rFonts w:hint="eastAsia"/>
                <w:color w:val="auto"/>
                <w:highlight w:val="none"/>
                <w:lang w:val="en-US" w:eastAsia="zh-CN"/>
              </w:rPr>
              <w:t>本项目配套设有1条喷粉线，使用的粉末涂料为涂料，根据其MSDS资料和检测报告，粉末涂料成分主要包括固份、挥发分。具体见下表。</w:t>
            </w:r>
          </w:p>
          <w:p w14:paraId="3A579E5D">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粉末涂料成分分析（单位：t/a）</w:t>
            </w:r>
          </w:p>
          <w:tbl>
            <w:tblPr>
              <w:tblStyle w:val="8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55"/>
              <w:gridCol w:w="1769"/>
              <w:gridCol w:w="4716"/>
            </w:tblGrid>
            <w:tr w14:paraId="3A30D6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247" w:type="pct"/>
                  <w:vMerge w:val="restart"/>
                  <w:vAlign w:val="center"/>
                </w:tcPr>
                <w:p w14:paraId="5EF324E7">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种类</w:t>
                  </w:r>
                </w:p>
              </w:tc>
              <w:tc>
                <w:tcPr>
                  <w:tcW w:w="1024" w:type="pct"/>
                  <w:vMerge w:val="restart"/>
                  <w:vAlign w:val="center"/>
                </w:tcPr>
                <w:p w14:paraId="69937F14">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年用量</w:t>
                  </w:r>
                  <w:r>
                    <w:rPr>
                      <w:rFonts w:hint="eastAsia"/>
                      <w:color w:val="auto"/>
                      <w:sz w:val="21"/>
                      <w:highlight w:val="none"/>
                      <w:lang w:val="en-US" w:eastAsia="zh-CN"/>
                    </w:rPr>
                    <w:t>t/a</w:t>
                  </w:r>
                </w:p>
              </w:tc>
              <w:tc>
                <w:tcPr>
                  <w:tcW w:w="2728" w:type="pct"/>
                  <w:vAlign w:val="center"/>
                </w:tcPr>
                <w:p w14:paraId="160FE56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其中</w:t>
                  </w:r>
                </w:p>
              </w:tc>
            </w:tr>
            <w:tr w14:paraId="1931EC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247" w:type="pct"/>
                  <w:vMerge w:val="continue"/>
                  <w:tcBorders>
                    <w:bottom w:val="single" w:color="000000" w:sz="12" w:space="0"/>
                  </w:tcBorders>
                  <w:vAlign w:val="center"/>
                </w:tcPr>
                <w:p w14:paraId="0706C38C">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1024" w:type="pct"/>
                  <w:vMerge w:val="continue"/>
                  <w:tcBorders>
                    <w:bottom w:val="single" w:color="000000" w:sz="12" w:space="0"/>
                  </w:tcBorders>
                  <w:vAlign w:val="center"/>
                </w:tcPr>
                <w:p w14:paraId="5B1061B5">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2728" w:type="pct"/>
                  <w:tcBorders>
                    <w:bottom w:val="single" w:color="000000" w:sz="12" w:space="0"/>
                  </w:tcBorders>
                  <w:vAlign w:val="center"/>
                </w:tcPr>
                <w:p w14:paraId="0BDB0FC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挥发分（含量6g/L，相对密度1.4~1.6（水=1）</w:t>
                  </w:r>
                </w:p>
              </w:tc>
            </w:tr>
            <w:tr w14:paraId="4DE3F1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247" w:type="pct"/>
                  <w:tcBorders>
                    <w:top w:val="single" w:color="000000" w:sz="12" w:space="0"/>
                    <w:bottom w:val="single" w:color="000000" w:sz="6" w:space="0"/>
                  </w:tcBorders>
                  <w:vAlign w:val="center"/>
                </w:tcPr>
                <w:p w14:paraId="6A22BD5C">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粉末涂料</w:t>
                  </w:r>
                </w:p>
              </w:tc>
              <w:tc>
                <w:tcPr>
                  <w:tcW w:w="1024" w:type="pct"/>
                  <w:tcBorders>
                    <w:top w:val="single" w:color="000000" w:sz="12" w:space="0"/>
                    <w:bottom w:val="single" w:color="000000" w:sz="6" w:space="0"/>
                  </w:tcBorders>
                  <w:vAlign w:val="center"/>
                </w:tcPr>
                <w:p w14:paraId="5A5DAB1C">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5</w:t>
                  </w:r>
                </w:p>
              </w:tc>
              <w:tc>
                <w:tcPr>
                  <w:tcW w:w="2728" w:type="pct"/>
                  <w:tcBorders>
                    <w:top w:val="single" w:color="000000" w:sz="12" w:space="0"/>
                    <w:bottom w:val="single" w:color="000000" w:sz="6" w:space="0"/>
                  </w:tcBorders>
                  <w:vAlign w:val="center"/>
                </w:tcPr>
                <w:p w14:paraId="0F813DDD">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0.02</w:t>
                  </w:r>
                </w:p>
              </w:tc>
            </w:tr>
            <w:tr w14:paraId="37446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5000" w:type="pct"/>
                  <w:gridSpan w:val="3"/>
                  <w:tcBorders>
                    <w:top w:val="single" w:color="000000" w:sz="6" w:space="0"/>
                    <w:tl2br w:val="nil"/>
                    <w:tr2bl w:val="nil"/>
                  </w:tcBorders>
                  <w:vAlign w:val="center"/>
                </w:tcPr>
                <w:p w14:paraId="650F361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注：粉末涂料密度取1.5进行核算</w:t>
                  </w:r>
                </w:p>
              </w:tc>
            </w:tr>
          </w:tbl>
          <w:p w14:paraId="0F9DCF2E">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粉末涂料中固份全部进入产品（涂层），在喷粉及烘干固化过程中，挥发分全部挥发进入废气。根据粉末涂料成分分析，废气污染因子包括非甲烷总烃、颗粒物。</w:t>
            </w:r>
          </w:p>
          <w:p w14:paraId="55A25526">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rFonts w:hint="eastAsia"/>
                <w:color w:val="auto"/>
                <w:highlight w:val="none"/>
                <w:lang w:val="en-US" w:eastAsia="zh-CN"/>
              </w:rPr>
              <w:t>本项目喷粉废气由滤芯除尘系统处理后引至15m排气筒排放（DA002），滤芯除尘系统收集的粉末循环使用不外排；喷粉固化废气收集后，经喷淋塔+过滤棉+二级活性炭吸附净化处理后引至15m排</w:t>
            </w:r>
            <w:r>
              <w:rPr>
                <w:color w:val="auto"/>
                <w:sz w:val="24"/>
                <w:szCs w:val="24"/>
              </w:rPr>
              <w:t>气筒</w:t>
            </w:r>
            <w:r>
              <w:rPr>
                <w:rFonts w:hint="eastAsia"/>
                <w:color w:val="auto"/>
                <w:sz w:val="24"/>
                <w:szCs w:val="24"/>
                <w:lang w:eastAsia="zh-CN"/>
              </w:rPr>
              <w:t>（</w:t>
            </w:r>
            <w:r>
              <w:rPr>
                <w:rFonts w:hint="eastAsia"/>
                <w:color w:val="auto"/>
                <w:sz w:val="24"/>
                <w:szCs w:val="24"/>
                <w:lang w:val="en-US" w:eastAsia="zh-CN"/>
              </w:rPr>
              <w:t>DA002）</w:t>
            </w:r>
            <w:r>
              <w:rPr>
                <w:color w:val="auto"/>
                <w:sz w:val="24"/>
                <w:szCs w:val="24"/>
              </w:rPr>
              <w:t>排放。</w:t>
            </w:r>
          </w:p>
          <w:p w14:paraId="4907DADA">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color w:val="auto"/>
                <w:sz w:val="24"/>
                <w:szCs w:val="24"/>
              </w:rPr>
              <w:t>项目</w:t>
            </w:r>
            <w:r>
              <w:rPr>
                <w:rFonts w:hint="eastAsia"/>
                <w:color w:val="auto"/>
                <w:sz w:val="24"/>
                <w:szCs w:val="24"/>
                <w:lang w:val="en-US" w:eastAsia="zh-CN"/>
              </w:rPr>
              <w:t>喷粉</w:t>
            </w:r>
            <w:r>
              <w:rPr>
                <w:color w:val="auto"/>
                <w:sz w:val="24"/>
                <w:szCs w:val="24"/>
              </w:rPr>
              <w:t>线为相对封闭的结构，内部呈微负压状态，</w:t>
            </w:r>
            <w:r>
              <w:rPr>
                <w:rFonts w:hint="eastAsia"/>
                <w:color w:val="auto"/>
                <w:sz w:val="24"/>
                <w:szCs w:val="24"/>
                <w:lang w:val="en-US" w:eastAsia="zh-CN"/>
              </w:rPr>
              <w:t>喷粉</w:t>
            </w:r>
            <w:r>
              <w:rPr>
                <w:color w:val="auto"/>
                <w:sz w:val="24"/>
                <w:szCs w:val="24"/>
              </w:rPr>
              <w:t>废气、</w:t>
            </w:r>
            <w:r>
              <w:rPr>
                <w:rFonts w:hint="eastAsia"/>
                <w:color w:val="auto"/>
                <w:sz w:val="24"/>
                <w:szCs w:val="24"/>
                <w:lang w:val="en-US" w:eastAsia="zh-CN"/>
              </w:rPr>
              <w:t>喷粉</w:t>
            </w:r>
            <w:r>
              <w:rPr>
                <w:color w:val="auto"/>
                <w:sz w:val="24"/>
                <w:szCs w:val="24"/>
              </w:rPr>
              <w:t>固化废气均可有效收集，捕集效率取90%，</w:t>
            </w:r>
            <w:r>
              <w:rPr>
                <w:rFonts w:hint="eastAsia"/>
                <w:color w:val="auto"/>
                <w:sz w:val="24"/>
                <w:szCs w:val="24"/>
                <w:lang w:val="en-US" w:eastAsia="zh-CN"/>
              </w:rPr>
              <w:t>滤芯除尘系统对喷粉废气中颗粒物的去除率取90%，喷淋塔+过滤棉+二级活性炭吸附</w:t>
            </w:r>
            <w:r>
              <w:rPr>
                <w:color w:val="auto"/>
                <w:sz w:val="24"/>
                <w:szCs w:val="24"/>
              </w:rPr>
              <w:t>对有机废气的去除率取</w:t>
            </w:r>
            <w:r>
              <w:rPr>
                <w:rFonts w:hint="eastAsia"/>
                <w:color w:val="auto"/>
                <w:sz w:val="24"/>
                <w:szCs w:val="24"/>
                <w:lang w:val="en-US" w:eastAsia="zh-CN"/>
              </w:rPr>
              <w:t>75</w:t>
            </w:r>
            <w:r>
              <w:rPr>
                <w:color w:val="auto"/>
                <w:sz w:val="24"/>
                <w:szCs w:val="24"/>
              </w:rPr>
              <w:t>%。</w:t>
            </w:r>
          </w:p>
          <w:p w14:paraId="387E754D">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本项目粉末涂料VOCs物料平衡表如下图所示。</w:t>
            </w:r>
          </w:p>
          <w:p w14:paraId="1CA8FA18">
            <w:pPr>
              <w:pStyle w:val="47"/>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3072130" cy="3834130"/>
                  <wp:effectExtent l="0" t="0" r="0" b="0"/>
                  <wp:docPr id="150" name="ECB019B1-382A-4266-B25C-5B523AA43C14-3" descr="C:/Users/Administrator/AppData/Local/Temp/wps.JiubA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ECB019B1-382A-4266-B25C-5B523AA43C14-3" descr="C:/Users/Administrator/AppData/Local/Temp/wps.JiubAGwps"/>
                          <pic:cNvPicPr>
                            <a:picLocks noChangeAspect="1"/>
                          </pic:cNvPicPr>
                        </pic:nvPicPr>
                        <pic:blipFill>
                          <a:blip r:embed="rId15"/>
                          <a:stretch>
                            <a:fillRect/>
                          </a:stretch>
                        </pic:blipFill>
                        <pic:spPr>
                          <a:xfrm>
                            <a:off x="0" y="0"/>
                            <a:ext cx="3072130" cy="3834130"/>
                          </a:xfrm>
                          <a:prstGeom prst="rect">
                            <a:avLst/>
                          </a:prstGeom>
                        </pic:spPr>
                      </pic:pic>
                    </a:graphicData>
                  </a:graphic>
                </wp:inline>
              </w:drawing>
            </w:r>
          </w:p>
          <w:p w14:paraId="08908EF9">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rPr>
                <w:color w:val="auto"/>
                <w:highlight w:val="none"/>
              </w:rPr>
            </w:pPr>
            <w:r>
              <w:rPr>
                <w:rFonts w:hint="eastAsia" w:cs="Times New Roman"/>
                <w:b/>
                <w:bCs/>
                <w:color w:val="auto"/>
                <w:kern w:val="2"/>
                <w:sz w:val="24"/>
                <w:szCs w:val="21"/>
                <w:highlight w:val="none"/>
                <w:lang w:val="en-US" w:eastAsia="zh-CN" w:bidi="ar-SA"/>
              </w:rPr>
              <w:t>电泳涂料</w:t>
            </w:r>
            <w:r>
              <w:rPr>
                <w:rFonts w:hint="eastAsia" w:ascii="Times New Roman" w:hAnsi="Times New Roman" w:eastAsia="宋体" w:cs="Times New Roman"/>
                <w:b/>
                <w:bCs/>
                <w:color w:val="auto"/>
                <w:kern w:val="2"/>
                <w:sz w:val="24"/>
                <w:szCs w:val="21"/>
                <w:highlight w:val="none"/>
                <w:lang w:val="en-US" w:eastAsia="zh-CN" w:bidi="ar-SA"/>
              </w:rPr>
              <w:t>VOCs物料平衡图</w:t>
            </w:r>
          </w:p>
          <w:p w14:paraId="4FF46BD2">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rFonts w:hint="eastAsia"/>
                <w:color w:val="auto"/>
                <w:highlight w:val="none"/>
                <w:lang w:val="en-US" w:eastAsia="zh-CN"/>
              </w:rPr>
              <w:t>（3）喷漆线VOCs物料平衡：</w:t>
            </w:r>
          </w:p>
          <w:p w14:paraId="75D87A9F">
            <w:pPr>
              <w:pStyle w:val="47"/>
              <w:rPr>
                <w:rFonts w:hint="eastAsia"/>
                <w:color w:val="auto"/>
                <w:highlight w:val="none"/>
                <w:lang w:val="en-US" w:eastAsia="zh-CN"/>
              </w:rPr>
            </w:pPr>
            <w:r>
              <w:rPr>
                <w:rFonts w:hint="eastAsia"/>
                <w:color w:val="auto"/>
                <w:highlight w:val="none"/>
                <w:lang w:val="en-US" w:eastAsia="zh-CN"/>
              </w:rPr>
              <w:t>本项目配套设有1条喷漆线，使用的喷漆涂料为水性涂料，根据其MSDS资料，成分主要包括固份、水分、挥发分。具体见下表。</w:t>
            </w:r>
          </w:p>
          <w:p w14:paraId="694242C2">
            <w:pPr>
              <w:pStyle w:val="44"/>
              <w:keepNext/>
              <w:keepLines/>
              <w:pageBreakBefore w:val="0"/>
              <w:widowControl w:val="0"/>
              <w:kinsoku/>
              <w:wordWrap/>
              <w:overflowPunct/>
              <w:topLinePunct w:val="0"/>
              <w:autoSpaceDE/>
              <w:autoSpaceDN/>
              <w:bidi w:val="0"/>
              <w:adjustRightInd/>
              <w:snapToGrid/>
              <w:spacing w:before="0" w:after="0"/>
              <w:ind w:left="630" w:leftChars="0" w:firstLineChars="0"/>
              <w:textAlignment w:val="auto"/>
              <w:rPr>
                <w:rFonts w:hint="eastAsia"/>
                <w:color w:val="auto"/>
                <w:highlight w:val="none"/>
                <w:lang w:val="en-US" w:eastAsia="zh-CN"/>
              </w:rPr>
            </w:pPr>
            <w:r>
              <w:rPr>
                <w:rFonts w:hint="eastAsia" w:cs="Times New Roman"/>
                <w:color w:val="auto"/>
                <w:highlight w:val="none"/>
                <w:lang w:val="en-US" w:eastAsia="zh-CN"/>
              </w:rPr>
              <w:t>喷漆</w:t>
            </w:r>
            <w:r>
              <w:rPr>
                <w:rFonts w:hint="eastAsia" w:ascii="Times New Roman" w:hAnsi="Times New Roman" w:eastAsia="宋体" w:cs="Times New Roman"/>
                <w:color w:val="auto"/>
                <w:highlight w:val="none"/>
                <w:lang w:val="en-US" w:eastAsia="zh-CN"/>
              </w:rPr>
              <w:t>涂料成分分析（单位：t/a）</w:t>
            </w:r>
          </w:p>
          <w:tbl>
            <w:tblPr>
              <w:tblStyle w:val="8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17"/>
              <w:gridCol w:w="1300"/>
              <w:gridCol w:w="1702"/>
              <w:gridCol w:w="1913"/>
              <w:gridCol w:w="1908"/>
            </w:tblGrid>
            <w:tr w14:paraId="0B2861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vMerge w:val="restart"/>
                  <w:vAlign w:val="center"/>
                </w:tcPr>
                <w:p w14:paraId="61A09CA0">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种类</w:t>
                  </w:r>
                </w:p>
              </w:tc>
              <w:tc>
                <w:tcPr>
                  <w:tcW w:w="752" w:type="pct"/>
                  <w:vMerge w:val="restart"/>
                  <w:vAlign w:val="center"/>
                </w:tcPr>
                <w:p w14:paraId="65CB0112">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年用量</w:t>
                  </w:r>
                </w:p>
              </w:tc>
              <w:tc>
                <w:tcPr>
                  <w:tcW w:w="3196" w:type="pct"/>
                  <w:gridSpan w:val="3"/>
                  <w:vAlign w:val="center"/>
                </w:tcPr>
                <w:p w14:paraId="53ECCF5E">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其中</w:t>
                  </w:r>
                </w:p>
              </w:tc>
            </w:tr>
            <w:tr w14:paraId="2772B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vMerge w:val="continue"/>
                  <w:tcBorders>
                    <w:bottom w:val="single" w:color="000000" w:sz="12" w:space="0"/>
                  </w:tcBorders>
                  <w:vAlign w:val="center"/>
                </w:tcPr>
                <w:p w14:paraId="67796CF7">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752" w:type="pct"/>
                  <w:vMerge w:val="continue"/>
                  <w:tcBorders>
                    <w:bottom w:val="single" w:color="000000" w:sz="12" w:space="0"/>
                  </w:tcBorders>
                  <w:vAlign w:val="center"/>
                </w:tcPr>
                <w:p w14:paraId="25C89F7E">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p>
              </w:tc>
              <w:tc>
                <w:tcPr>
                  <w:tcW w:w="985" w:type="pct"/>
                  <w:tcBorders>
                    <w:bottom w:val="single" w:color="000000" w:sz="12" w:space="0"/>
                  </w:tcBorders>
                  <w:vAlign w:val="center"/>
                </w:tcPr>
                <w:p w14:paraId="4AB5396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固份45%</w:t>
                  </w:r>
                </w:p>
              </w:tc>
              <w:tc>
                <w:tcPr>
                  <w:tcW w:w="1107" w:type="pct"/>
                  <w:tcBorders>
                    <w:bottom w:val="single" w:color="000000" w:sz="12" w:space="0"/>
                  </w:tcBorders>
                  <w:vAlign w:val="center"/>
                </w:tcPr>
                <w:p w14:paraId="5AF7F4B4">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水分33%</w:t>
                  </w:r>
                </w:p>
              </w:tc>
              <w:tc>
                <w:tcPr>
                  <w:tcW w:w="1104" w:type="pct"/>
                  <w:tcBorders>
                    <w:bottom w:val="single" w:color="000000" w:sz="12" w:space="0"/>
                  </w:tcBorders>
                  <w:vAlign w:val="center"/>
                </w:tcPr>
                <w:p w14:paraId="03EAC37F">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挥发份22%</w:t>
                  </w:r>
                </w:p>
              </w:tc>
            </w:tr>
            <w:tr w14:paraId="6E1C79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1051" w:type="pct"/>
                  <w:tcBorders>
                    <w:top w:val="single" w:color="000000" w:sz="12" w:space="0"/>
                    <w:tl2br w:val="nil"/>
                    <w:tr2bl w:val="nil"/>
                  </w:tcBorders>
                  <w:vAlign w:val="center"/>
                </w:tcPr>
                <w:p w14:paraId="0B7C3A08">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水性环氧酯涂料</w:t>
                  </w:r>
                </w:p>
              </w:tc>
              <w:tc>
                <w:tcPr>
                  <w:tcW w:w="752" w:type="pct"/>
                  <w:tcBorders>
                    <w:top w:val="single" w:color="000000" w:sz="12" w:space="0"/>
                    <w:tl2br w:val="nil"/>
                    <w:tr2bl w:val="nil"/>
                  </w:tcBorders>
                  <w:vAlign w:val="center"/>
                </w:tcPr>
                <w:p w14:paraId="435EC7D5">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8</w:t>
                  </w:r>
                </w:p>
              </w:tc>
              <w:tc>
                <w:tcPr>
                  <w:tcW w:w="985" w:type="pct"/>
                  <w:tcBorders>
                    <w:top w:val="single" w:color="000000" w:sz="12" w:space="0"/>
                    <w:tl2br w:val="nil"/>
                    <w:tr2bl w:val="nil"/>
                  </w:tcBorders>
                  <w:vAlign w:val="center"/>
                </w:tcPr>
                <w:p w14:paraId="370BCF1C">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3.6</w:t>
                  </w:r>
                </w:p>
              </w:tc>
              <w:tc>
                <w:tcPr>
                  <w:tcW w:w="1107" w:type="pct"/>
                  <w:tcBorders>
                    <w:top w:val="single" w:color="000000" w:sz="12" w:space="0"/>
                    <w:tl2br w:val="nil"/>
                    <w:tr2bl w:val="nil"/>
                  </w:tcBorders>
                  <w:vAlign w:val="center"/>
                </w:tcPr>
                <w:p w14:paraId="48F67F46">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2.64</w:t>
                  </w:r>
                </w:p>
              </w:tc>
              <w:tc>
                <w:tcPr>
                  <w:tcW w:w="1104" w:type="pct"/>
                  <w:tcBorders>
                    <w:top w:val="single" w:color="000000" w:sz="12" w:space="0"/>
                    <w:tl2br w:val="nil"/>
                    <w:tr2bl w:val="nil"/>
                  </w:tcBorders>
                  <w:vAlign w:val="center"/>
                </w:tcPr>
                <w:p w14:paraId="093EC660">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1.76</w:t>
                  </w:r>
                </w:p>
              </w:tc>
            </w:tr>
          </w:tbl>
          <w:p w14:paraId="6BC434AE">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水性环氧酯涂料中固份全部进入产品（涂层），在喷漆及烘干固化过程中，水分全部蒸发损耗（水蒸气），挥发分全部挥发进入废气。根据水性环氧酯涂料成分分析，废气污染因子包括非甲烷总烃、颗粒物。</w:t>
            </w:r>
          </w:p>
          <w:p w14:paraId="2C3E92CC">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根据《污染源源强核算技术指南汽车制造（HJ 1097-2020）》附录E，喷漆过程中水性涂料中挥发性有机物的挥发比例为：喷涂80%、热流平15%、烘干5%。</w:t>
            </w:r>
          </w:p>
          <w:p w14:paraId="18424B96">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rFonts w:hint="eastAsia"/>
                <w:color w:val="auto"/>
                <w:highlight w:val="none"/>
                <w:lang w:val="en-US" w:eastAsia="zh-CN"/>
              </w:rPr>
              <w:t>本项目喷漆废气和烘干废气收集后，经喷淋塔+过滤棉+二级活性炭吸附净化处理后引至15m排</w:t>
            </w:r>
            <w:r>
              <w:rPr>
                <w:color w:val="auto"/>
                <w:sz w:val="24"/>
                <w:szCs w:val="24"/>
              </w:rPr>
              <w:t>气筒</w:t>
            </w:r>
            <w:r>
              <w:rPr>
                <w:rFonts w:hint="eastAsia"/>
                <w:color w:val="auto"/>
                <w:sz w:val="24"/>
                <w:szCs w:val="24"/>
                <w:lang w:eastAsia="zh-CN"/>
              </w:rPr>
              <w:t>（</w:t>
            </w:r>
            <w:r>
              <w:rPr>
                <w:rFonts w:hint="eastAsia"/>
                <w:color w:val="auto"/>
                <w:sz w:val="24"/>
                <w:szCs w:val="24"/>
                <w:lang w:val="en-US" w:eastAsia="zh-CN"/>
              </w:rPr>
              <w:t>DA002）</w:t>
            </w:r>
            <w:r>
              <w:rPr>
                <w:color w:val="auto"/>
                <w:sz w:val="24"/>
                <w:szCs w:val="24"/>
              </w:rPr>
              <w:t>排放。</w:t>
            </w:r>
          </w:p>
          <w:p w14:paraId="0B3F9F79">
            <w:pPr>
              <w:pStyle w:val="47"/>
              <w:keepNext w:val="0"/>
              <w:keepLines w:val="0"/>
              <w:pageBreakBefore w:val="0"/>
              <w:widowControl w:val="0"/>
              <w:kinsoku/>
              <w:wordWrap/>
              <w:overflowPunct/>
              <w:topLinePunct w:val="0"/>
              <w:autoSpaceDE/>
              <w:autoSpaceDN/>
              <w:bidi w:val="0"/>
              <w:adjustRightInd/>
              <w:snapToGrid/>
              <w:textAlignment w:val="auto"/>
              <w:rPr>
                <w:color w:val="auto"/>
                <w:sz w:val="24"/>
                <w:szCs w:val="24"/>
              </w:rPr>
            </w:pPr>
            <w:r>
              <w:rPr>
                <w:color w:val="auto"/>
                <w:sz w:val="24"/>
                <w:szCs w:val="24"/>
              </w:rPr>
              <w:t>项目</w:t>
            </w:r>
            <w:r>
              <w:rPr>
                <w:rFonts w:hint="eastAsia"/>
                <w:color w:val="auto"/>
                <w:sz w:val="24"/>
                <w:szCs w:val="24"/>
                <w:lang w:val="en-US" w:eastAsia="zh-CN"/>
              </w:rPr>
              <w:t>喷漆</w:t>
            </w:r>
            <w:r>
              <w:rPr>
                <w:color w:val="auto"/>
                <w:sz w:val="24"/>
                <w:szCs w:val="24"/>
              </w:rPr>
              <w:t>线为相对封闭的结构，内部呈微负压状态，</w:t>
            </w:r>
            <w:r>
              <w:rPr>
                <w:rFonts w:hint="eastAsia"/>
                <w:color w:val="auto"/>
                <w:sz w:val="24"/>
                <w:szCs w:val="24"/>
                <w:lang w:val="en-US" w:eastAsia="zh-CN"/>
              </w:rPr>
              <w:t>喷漆</w:t>
            </w:r>
            <w:r>
              <w:rPr>
                <w:color w:val="auto"/>
                <w:sz w:val="24"/>
                <w:szCs w:val="24"/>
              </w:rPr>
              <w:t>废气、</w:t>
            </w:r>
            <w:r>
              <w:rPr>
                <w:rFonts w:hint="eastAsia"/>
                <w:color w:val="auto"/>
                <w:sz w:val="24"/>
                <w:szCs w:val="24"/>
                <w:lang w:val="en-US" w:eastAsia="zh-CN"/>
              </w:rPr>
              <w:t>喷漆</w:t>
            </w:r>
            <w:r>
              <w:rPr>
                <w:color w:val="auto"/>
                <w:sz w:val="24"/>
                <w:szCs w:val="24"/>
              </w:rPr>
              <w:t>固化废气均可有效收集，捕集效率取90%，</w:t>
            </w:r>
            <w:r>
              <w:rPr>
                <w:rFonts w:hint="eastAsia"/>
                <w:color w:val="auto"/>
                <w:sz w:val="24"/>
                <w:szCs w:val="24"/>
                <w:lang w:val="en-US" w:eastAsia="zh-CN"/>
              </w:rPr>
              <w:t>喷淋塔+过滤棉+二级活性炭吸附</w:t>
            </w:r>
            <w:r>
              <w:rPr>
                <w:color w:val="auto"/>
                <w:sz w:val="24"/>
                <w:szCs w:val="24"/>
              </w:rPr>
              <w:t>对有机废气的去除率取</w:t>
            </w:r>
            <w:r>
              <w:rPr>
                <w:rFonts w:hint="eastAsia"/>
                <w:color w:val="auto"/>
                <w:sz w:val="24"/>
                <w:szCs w:val="24"/>
                <w:lang w:val="en-US" w:eastAsia="zh-CN"/>
              </w:rPr>
              <w:t>75</w:t>
            </w:r>
            <w:r>
              <w:rPr>
                <w:color w:val="auto"/>
                <w:sz w:val="24"/>
                <w:szCs w:val="24"/>
              </w:rPr>
              <w:t>%。</w:t>
            </w:r>
          </w:p>
          <w:p w14:paraId="088D56B1">
            <w:pPr>
              <w:pStyle w:val="4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本项目水性环氧酯涂料VOCs物料平衡表如下图所示。</w:t>
            </w:r>
          </w:p>
          <w:p w14:paraId="5CC04A7D">
            <w:pPr>
              <w:pStyle w:val="47"/>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lang w:val="en-US" w:eastAsia="zh-CN"/>
              </w:rPr>
              <w:drawing>
                <wp:inline distT="0" distB="0" distL="114300" distR="114300">
                  <wp:extent cx="5323840" cy="4311015"/>
                  <wp:effectExtent l="0" t="0" r="0" b="0"/>
                  <wp:docPr id="149" name="ECB019B1-382A-4266-B25C-5B523AA43C14-4" descr="C:/Users/Administrator/AppData/Local/Temp/wps.diXeI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CB019B1-382A-4266-B25C-5B523AA43C14-4" descr="C:/Users/Administrator/AppData/Local/Temp/wps.diXeIlwps"/>
                          <pic:cNvPicPr>
                            <a:picLocks noChangeAspect="1"/>
                          </pic:cNvPicPr>
                        </pic:nvPicPr>
                        <pic:blipFill>
                          <a:blip r:embed="rId16"/>
                          <a:stretch>
                            <a:fillRect/>
                          </a:stretch>
                        </pic:blipFill>
                        <pic:spPr>
                          <a:xfrm>
                            <a:off x="0" y="0"/>
                            <a:ext cx="5323840" cy="4311015"/>
                          </a:xfrm>
                          <a:prstGeom prst="rect">
                            <a:avLst/>
                          </a:prstGeom>
                        </pic:spPr>
                      </pic:pic>
                    </a:graphicData>
                  </a:graphic>
                </wp:inline>
              </w:drawing>
            </w:r>
          </w:p>
          <w:p w14:paraId="66DB9A3D">
            <w:pPr>
              <w:pStyle w:val="49"/>
              <w:keepNext w:val="0"/>
              <w:keepLines w:val="0"/>
              <w:pageBreakBefore w:val="0"/>
              <w:widowControl w:val="0"/>
              <w:kinsoku/>
              <w:wordWrap/>
              <w:overflowPunct/>
              <w:topLinePunct w:val="0"/>
              <w:autoSpaceDE/>
              <w:autoSpaceDN/>
              <w:bidi w:val="0"/>
              <w:adjustRightInd/>
              <w:snapToGrid/>
              <w:spacing w:line="240" w:lineRule="auto"/>
              <w:ind w:left="1582" w:hanging="1582"/>
              <w:textAlignment w:val="auto"/>
            </w:pPr>
            <w:r>
              <w:rPr>
                <w:rFonts w:hint="eastAsia"/>
                <w:color w:val="auto"/>
                <w:highlight w:val="none"/>
                <w:lang w:val="en-US" w:eastAsia="zh-CN"/>
              </w:rPr>
              <w:t>水性环氧酯涂料</w:t>
            </w:r>
            <w:r>
              <w:rPr>
                <w:rFonts w:hint="eastAsia" w:ascii="Times New Roman" w:hAnsi="Times New Roman" w:eastAsia="宋体" w:cs="Times New Roman"/>
                <w:b/>
                <w:bCs/>
                <w:color w:val="auto"/>
                <w:kern w:val="2"/>
                <w:sz w:val="24"/>
                <w:szCs w:val="21"/>
                <w:highlight w:val="none"/>
                <w:lang w:val="en-US" w:eastAsia="zh-CN" w:bidi="ar-SA"/>
              </w:rPr>
              <w:t>VOCs物料平衡图</w:t>
            </w:r>
          </w:p>
        </w:tc>
      </w:tr>
    </w:tbl>
    <w:p w14:paraId="08A0BADC">
      <w:pPr>
        <w:pStyle w:val="30"/>
        <w:adjustRightInd w:val="0"/>
        <w:snapToGrid w:val="0"/>
        <w:spacing w:before="0" w:beforeAutospacing="0" w:after="0" w:afterAutospacing="0"/>
        <w:jc w:val="center"/>
        <w:rPr>
          <w:rFonts w:cs="宋体"/>
          <w:color w:val="auto"/>
          <w:sz w:val="21"/>
          <w:szCs w:val="21"/>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5"/>
        <w:tblW w:w="93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8949"/>
      </w:tblGrid>
      <w:tr w14:paraId="5990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4" w:hRule="atLeast"/>
        </w:trPr>
        <w:tc>
          <w:tcPr>
            <w:tcW w:w="429" w:type="dxa"/>
            <w:vAlign w:val="center"/>
          </w:tcPr>
          <w:p w14:paraId="1C5B8182">
            <w:pPr>
              <w:pStyle w:val="30"/>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949" w:type="dxa"/>
          </w:tcPr>
          <w:p w14:paraId="70ECE159">
            <w:pPr>
              <w:pStyle w:val="3"/>
              <w:keepNext/>
              <w:keepLines/>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color w:val="auto"/>
                <w:highlight w:val="none"/>
              </w:rPr>
            </w:pPr>
            <w:r>
              <w:rPr>
                <w:rFonts w:hint="eastAsia"/>
                <w:color w:val="auto"/>
                <w:highlight w:val="none"/>
              </w:rPr>
              <w:t>主要工艺流程及产污环节</w:t>
            </w:r>
          </w:p>
          <w:p w14:paraId="2FDFC9D7">
            <w:pPr>
              <w:pStyle w:val="4"/>
              <w:keepNext/>
              <w:keepLines/>
              <w:pageBreakBefore w:val="0"/>
              <w:widowControl w:val="0"/>
              <w:kinsoku/>
              <w:wordWrap/>
              <w:overflowPunct/>
              <w:topLinePunct w:val="0"/>
              <w:autoSpaceDE/>
              <w:autoSpaceDN/>
              <w:bidi w:val="0"/>
              <w:adjustRightInd/>
              <w:snapToGrid/>
              <w:spacing w:after="157" w:afterLines="50"/>
              <w:ind w:left="720" w:leftChars="0" w:hanging="720" w:firstLineChars="0"/>
              <w:textAlignment w:val="auto"/>
              <w:rPr>
                <w:rFonts w:hint="eastAsia"/>
                <w:color w:val="auto"/>
                <w:highlight w:val="none"/>
              </w:rPr>
            </w:pPr>
            <w:r>
              <w:rPr>
                <w:rFonts w:hint="eastAsia"/>
                <w:color w:val="auto"/>
                <w:highlight w:val="none"/>
              </w:rPr>
              <w:t>生产工艺</w:t>
            </w:r>
          </w:p>
          <w:p w14:paraId="1A3B70C2">
            <w:pPr>
              <w:pStyle w:val="11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zh-CN" w:eastAsia="zh-CN" w:bidi="ar-SA"/>
              </w:rPr>
              <w:t>本项目汽车座椅骨架生产工艺流程见图</w:t>
            </w:r>
            <w:r>
              <w:rPr>
                <w:rFonts w:hint="eastAsia" w:ascii="Times New Roman" w:hAnsi="Times New Roman" w:eastAsia="宋体" w:cs="宋体"/>
                <w:color w:val="auto"/>
                <w:kern w:val="0"/>
                <w:sz w:val="24"/>
                <w:szCs w:val="20"/>
                <w:highlight w:val="none"/>
                <w:lang w:val="en-US" w:eastAsia="zh-CN" w:bidi="ar-SA"/>
              </w:rPr>
              <w:t>2.7-1；</w:t>
            </w:r>
            <w:r>
              <w:rPr>
                <w:rFonts w:ascii="Times New Roman" w:hAnsi="Times New Roman" w:eastAsia="宋体" w:cs="宋体"/>
                <w:color w:val="auto"/>
                <w:kern w:val="0"/>
                <w:sz w:val="24"/>
                <w:szCs w:val="20"/>
                <w:highlight w:val="none"/>
                <w:lang w:val="zh-CN" w:eastAsia="zh-CN" w:bidi="ar-SA"/>
              </w:rPr>
              <w:t>项目配套电泳线工艺流程如</w:t>
            </w:r>
            <w:r>
              <w:rPr>
                <w:rFonts w:hint="eastAsia" w:ascii="Times New Roman" w:hAnsi="Times New Roman" w:eastAsia="宋体" w:cs="宋体"/>
                <w:color w:val="auto"/>
                <w:kern w:val="0"/>
                <w:sz w:val="24"/>
                <w:szCs w:val="20"/>
                <w:highlight w:val="none"/>
                <w:lang w:val="zh-CN" w:eastAsia="zh-CN" w:bidi="ar-SA"/>
              </w:rPr>
              <w:t>图</w:t>
            </w:r>
            <w:r>
              <w:rPr>
                <w:rFonts w:hint="eastAsia" w:ascii="Times New Roman" w:hAnsi="Times New Roman" w:eastAsia="宋体" w:cs="宋体"/>
                <w:color w:val="auto"/>
                <w:kern w:val="0"/>
                <w:sz w:val="24"/>
                <w:szCs w:val="20"/>
                <w:highlight w:val="none"/>
                <w:lang w:val="en-US" w:eastAsia="zh-CN" w:bidi="ar-SA"/>
              </w:rPr>
              <w:t>2.7-2</w:t>
            </w:r>
            <w:r>
              <w:rPr>
                <w:rFonts w:hint="eastAsia" w:ascii="Times New Roman" w:hAnsi="Times New Roman" w:cs="宋体"/>
                <w:color w:val="auto"/>
                <w:kern w:val="0"/>
                <w:sz w:val="24"/>
                <w:szCs w:val="20"/>
                <w:highlight w:val="none"/>
                <w:lang w:val="en-US" w:eastAsia="zh-CN" w:bidi="ar-SA"/>
              </w:rPr>
              <w:t>；</w:t>
            </w:r>
            <w:r>
              <w:rPr>
                <w:rFonts w:ascii="Times New Roman" w:hAnsi="Times New Roman" w:eastAsia="宋体" w:cs="宋体"/>
                <w:color w:val="auto"/>
                <w:kern w:val="0"/>
                <w:sz w:val="24"/>
                <w:szCs w:val="20"/>
                <w:highlight w:val="none"/>
                <w:lang w:val="zh-CN" w:eastAsia="zh-CN" w:bidi="ar-SA"/>
              </w:rPr>
              <w:t>项目配套</w:t>
            </w:r>
            <w:r>
              <w:rPr>
                <w:rFonts w:hint="eastAsia" w:ascii="Times New Roman" w:hAnsi="Times New Roman" w:eastAsia="宋体" w:cs="宋体"/>
                <w:color w:val="auto"/>
                <w:kern w:val="0"/>
                <w:sz w:val="24"/>
                <w:szCs w:val="20"/>
                <w:highlight w:val="none"/>
                <w:lang w:val="en-US" w:eastAsia="zh-CN" w:bidi="ar-SA"/>
              </w:rPr>
              <w:t>喷粉</w:t>
            </w:r>
            <w:r>
              <w:rPr>
                <w:rFonts w:ascii="Times New Roman" w:hAnsi="Times New Roman" w:eastAsia="宋体" w:cs="宋体"/>
                <w:color w:val="auto"/>
                <w:kern w:val="0"/>
                <w:sz w:val="24"/>
                <w:szCs w:val="20"/>
                <w:highlight w:val="none"/>
                <w:lang w:val="zh-CN" w:eastAsia="zh-CN" w:bidi="ar-SA"/>
              </w:rPr>
              <w:t>线工艺流程如</w:t>
            </w:r>
            <w:r>
              <w:rPr>
                <w:rFonts w:hint="eastAsia" w:ascii="Times New Roman" w:hAnsi="Times New Roman" w:eastAsia="宋体" w:cs="宋体"/>
                <w:color w:val="auto"/>
                <w:kern w:val="0"/>
                <w:sz w:val="24"/>
                <w:szCs w:val="20"/>
                <w:highlight w:val="none"/>
                <w:lang w:val="zh-CN" w:eastAsia="zh-CN" w:bidi="ar-SA"/>
              </w:rPr>
              <w:t>图</w:t>
            </w:r>
            <w:r>
              <w:rPr>
                <w:rFonts w:hint="eastAsia" w:ascii="Times New Roman" w:hAnsi="Times New Roman" w:eastAsia="宋体" w:cs="宋体"/>
                <w:color w:val="auto"/>
                <w:kern w:val="0"/>
                <w:sz w:val="24"/>
                <w:szCs w:val="20"/>
                <w:highlight w:val="none"/>
                <w:lang w:val="en-US" w:eastAsia="zh-CN" w:bidi="ar-SA"/>
              </w:rPr>
              <w:t>2.7-3；</w:t>
            </w:r>
            <w:r>
              <w:rPr>
                <w:rFonts w:ascii="Times New Roman" w:hAnsi="Times New Roman" w:eastAsia="宋体" w:cs="宋体"/>
                <w:color w:val="auto"/>
                <w:kern w:val="0"/>
                <w:sz w:val="24"/>
                <w:szCs w:val="20"/>
                <w:highlight w:val="none"/>
                <w:lang w:val="zh-CN" w:eastAsia="zh-CN" w:bidi="ar-SA"/>
              </w:rPr>
              <w:t>项目配套</w:t>
            </w:r>
            <w:r>
              <w:rPr>
                <w:rFonts w:hint="eastAsia" w:ascii="Times New Roman" w:hAnsi="Times New Roman" w:eastAsia="宋体" w:cs="宋体"/>
                <w:color w:val="auto"/>
                <w:kern w:val="0"/>
                <w:sz w:val="24"/>
                <w:szCs w:val="20"/>
                <w:highlight w:val="none"/>
                <w:lang w:val="en-US" w:eastAsia="zh-CN" w:bidi="ar-SA"/>
              </w:rPr>
              <w:t>喷漆</w:t>
            </w:r>
            <w:r>
              <w:rPr>
                <w:rFonts w:ascii="Times New Roman" w:hAnsi="Times New Roman" w:eastAsia="宋体" w:cs="宋体"/>
                <w:color w:val="auto"/>
                <w:kern w:val="0"/>
                <w:sz w:val="24"/>
                <w:szCs w:val="20"/>
                <w:highlight w:val="none"/>
                <w:lang w:val="zh-CN" w:eastAsia="zh-CN" w:bidi="ar-SA"/>
              </w:rPr>
              <w:t>线工艺流程如</w:t>
            </w:r>
            <w:r>
              <w:rPr>
                <w:rFonts w:hint="eastAsia" w:ascii="Times New Roman" w:hAnsi="Times New Roman" w:eastAsia="宋体" w:cs="宋体"/>
                <w:color w:val="auto"/>
                <w:kern w:val="0"/>
                <w:sz w:val="24"/>
                <w:szCs w:val="20"/>
                <w:highlight w:val="none"/>
                <w:lang w:val="zh-CN" w:eastAsia="zh-CN" w:bidi="ar-SA"/>
              </w:rPr>
              <w:t>图</w:t>
            </w:r>
            <w:r>
              <w:rPr>
                <w:rFonts w:hint="eastAsia" w:ascii="Times New Roman" w:hAnsi="Times New Roman" w:eastAsia="宋体" w:cs="宋体"/>
                <w:color w:val="auto"/>
                <w:kern w:val="0"/>
                <w:sz w:val="24"/>
                <w:szCs w:val="20"/>
                <w:highlight w:val="none"/>
                <w:lang w:val="en-US" w:eastAsia="zh-CN" w:bidi="ar-SA"/>
              </w:rPr>
              <w:t>2.7-4.</w:t>
            </w:r>
          </w:p>
          <w:p w14:paraId="624447B9">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21C6D03C">
            <w:pPr>
              <w:pStyle w:val="49"/>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color w:val="auto"/>
                <w:highlight w:val="none"/>
              </w:rPr>
            </w:pPr>
            <w:r>
              <w:rPr>
                <w:rFonts w:hint="eastAsia"/>
                <w:color w:val="auto"/>
                <w:highlight w:val="none"/>
              </w:rPr>
              <w:t>汽车座椅骨架</w:t>
            </w:r>
            <w:r>
              <w:rPr>
                <w:rFonts w:hint="eastAsia"/>
                <w:color w:val="auto"/>
                <w:highlight w:val="none"/>
                <w:lang w:val="en-US" w:eastAsia="zh-CN"/>
              </w:rPr>
              <w:t>生产工艺流程图</w:t>
            </w:r>
          </w:p>
          <w:p w14:paraId="32F04AA6">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4DDACE22">
            <w:pPr>
              <w:rPr>
                <w:rFonts w:hint="eastAsia" w:eastAsia="宋体"/>
                <w:color w:val="auto"/>
                <w:lang w:eastAsia="zh-CN"/>
              </w:rPr>
            </w:pPr>
          </w:p>
          <w:p w14:paraId="2E4BB74A">
            <w:pPr>
              <w:pStyle w:val="49"/>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color w:val="auto"/>
              </w:rPr>
            </w:pPr>
            <w:r>
              <w:rPr>
                <w:b/>
                <w:bCs/>
                <w:color w:val="auto"/>
                <w:spacing w:val="-3"/>
                <w:sz w:val="24"/>
                <w:szCs w:val="24"/>
                <w:highlight w:val="none"/>
              </w:rPr>
              <w:t>项目配套电泳线工艺流程图</w:t>
            </w:r>
          </w:p>
          <w:p w14:paraId="3048A83E">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23FA37E0">
            <w:pPr>
              <w:rPr>
                <w:rFonts w:hint="eastAsia" w:eastAsia="宋体"/>
                <w:lang w:eastAsia="zh-CN"/>
              </w:rPr>
            </w:pPr>
          </w:p>
          <w:p w14:paraId="5548992E">
            <w:pPr>
              <w:pStyle w:val="49"/>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color w:val="auto"/>
              </w:rPr>
            </w:pPr>
            <w:r>
              <w:rPr>
                <w:b/>
                <w:bCs/>
                <w:color w:val="auto"/>
                <w:spacing w:val="-3"/>
                <w:sz w:val="24"/>
                <w:szCs w:val="24"/>
                <w:highlight w:val="none"/>
              </w:rPr>
              <w:t>项目配套</w:t>
            </w:r>
            <w:r>
              <w:rPr>
                <w:rFonts w:hint="eastAsia"/>
                <w:b/>
                <w:bCs/>
                <w:color w:val="auto"/>
                <w:spacing w:val="-3"/>
                <w:sz w:val="24"/>
                <w:szCs w:val="24"/>
                <w:highlight w:val="none"/>
                <w:lang w:val="en-US" w:eastAsia="zh-CN"/>
              </w:rPr>
              <w:t>喷粉</w:t>
            </w:r>
            <w:r>
              <w:rPr>
                <w:b/>
                <w:bCs/>
                <w:color w:val="auto"/>
                <w:spacing w:val="-3"/>
                <w:sz w:val="24"/>
                <w:szCs w:val="24"/>
                <w:highlight w:val="none"/>
              </w:rPr>
              <w:t>线工艺流程图</w:t>
            </w:r>
          </w:p>
          <w:p w14:paraId="3845C90B">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7B21C387">
            <w:pPr>
              <w:rPr>
                <w:rFonts w:hint="eastAsia" w:eastAsia="宋体"/>
                <w:lang w:eastAsia="zh-CN"/>
              </w:rPr>
            </w:pPr>
          </w:p>
          <w:p w14:paraId="6FF2E405">
            <w:pPr>
              <w:pStyle w:val="49"/>
              <w:keepNext w:val="0"/>
              <w:keepLines w:val="0"/>
              <w:pageBreakBefore w:val="0"/>
              <w:widowControl w:val="0"/>
              <w:shd w:val="clear"/>
              <w:kinsoku/>
              <w:wordWrap/>
              <w:overflowPunct/>
              <w:topLinePunct w:val="0"/>
              <w:autoSpaceDE/>
              <w:autoSpaceDN/>
              <w:bidi w:val="0"/>
              <w:adjustRightInd/>
              <w:snapToGrid/>
              <w:spacing w:line="240" w:lineRule="auto"/>
              <w:ind w:left="1582" w:hanging="1582"/>
              <w:textAlignment w:val="auto"/>
              <w:rPr>
                <w:color w:val="auto"/>
              </w:rPr>
            </w:pPr>
            <w:r>
              <w:rPr>
                <w:b/>
                <w:bCs/>
                <w:color w:val="auto"/>
                <w:spacing w:val="-3"/>
                <w:sz w:val="24"/>
                <w:szCs w:val="24"/>
                <w:highlight w:val="none"/>
              </w:rPr>
              <w:t>项目配套</w:t>
            </w:r>
            <w:r>
              <w:rPr>
                <w:rFonts w:hint="eastAsia"/>
                <w:b/>
                <w:bCs/>
                <w:color w:val="auto"/>
                <w:spacing w:val="-3"/>
                <w:sz w:val="24"/>
                <w:szCs w:val="24"/>
                <w:highlight w:val="none"/>
                <w:lang w:val="en-US" w:eastAsia="zh-CN"/>
              </w:rPr>
              <w:t>喷漆</w:t>
            </w:r>
            <w:r>
              <w:rPr>
                <w:b/>
                <w:bCs/>
                <w:color w:val="auto"/>
                <w:spacing w:val="-3"/>
                <w:sz w:val="24"/>
                <w:szCs w:val="24"/>
                <w:highlight w:val="none"/>
              </w:rPr>
              <w:t>线工艺流程图</w:t>
            </w:r>
          </w:p>
          <w:p w14:paraId="31815CC9">
            <w:pPr>
              <w:rPr>
                <w:rFonts w:hint="eastAsia" w:eastAsia="宋体"/>
                <w:lang w:eastAsia="zh-CN"/>
              </w:rPr>
            </w:pPr>
          </w:p>
        </w:tc>
      </w:tr>
      <w:tr w14:paraId="79A2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4" w:hRule="atLeast"/>
        </w:trPr>
        <w:tc>
          <w:tcPr>
            <w:tcW w:w="429" w:type="dxa"/>
            <w:vAlign w:val="top"/>
          </w:tcPr>
          <w:p w14:paraId="07D64919">
            <w:pPr>
              <w:pStyle w:val="30"/>
              <w:adjustRightInd w:val="0"/>
              <w:snapToGrid w:val="0"/>
              <w:spacing w:before="0" w:beforeAutospacing="0" w:after="0" w:afterAutospacing="0"/>
              <w:ind w:left="0" w:leftChars="0" w:right="0" w:rightChars="0"/>
              <w:jc w:val="center"/>
              <w:rPr>
                <w:rFonts w:hint="eastAsia" w:cs="宋体"/>
                <w:color w:val="auto"/>
                <w:sz w:val="21"/>
                <w:szCs w:val="21"/>
                <w:highlight w:val="none"/>
              </w:rPr>
            </w:pPr>
            <w:r>
              <w:rPr>
                <w:rFonts w:hint="eastAsia" w:cs="宋体"/>
                <w:color w:val="auto"/>
                <w:sz w:val="21"/>
                <w:szCs w:val="21"/>
                <w:highlight w:val="none"/>
              </w:rPr>
              <w:t>工艺流程和产排污环节</w:t>
            </w:r>
          </w:p>
        </w:tc>
        <w:tc>
          <w:tcPr>
            <w:tcW w:w="8949" w:type="dxa"/>
            <w:vAlign w:val="top"/>
          </w:tcPr>
          <w:p w14:paraId="57E1C0DD">
            <w:pPr>
              <w:pStyle w:val="5"/>
              <w:keepNext/>
              <w:keepLines/>
              <w:pageBreakBefore w:val="0"/>
              <w:widowControl w:val="0"/>
              <w:numPr>
                <w:ilvl w:val="3"/>
                <w:numId w:val="9"/>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color w:val="auto"/>
                <w:highlight w:val="none"/>
                <w:lang w:val="en-US" w:eastAsia="zh-CN"/>
              </w:rPr>
            </w:pPr>
            <w:r>
              <w:rPr>
                <w:rFonts w:hint="eastAsia"/>
                <w:color w:val="auto"/>
                <w:highlight w:val="none"/>
                <w:lang w:val="en-US" w:eastAsia="zh-CN"/>
              </w:rPr>
              <w:t>生产</w:t>
            </w:r>
            <w:r>
              <w:rPr>
                <w:rFonts w:hint="default"/>
                <w:color w:val="auto"/>
                <w:highlight w:val="none"/>
                <w:lang w:val="en-US" w:eastAsia="zh-CN"/>
              </w:rPr>
              <w:t>工艺</w:t>
            </w:r>
            <w:r>
              <w:rPr>
                <w:rFonts w:hint="eastAsia"/>
                <w:color w:val="auto"/>
                <w:highlight w:val="none"/>
                <w:lang w:val="en-US" w:eastAsia="zh-CN"/>
              </w:rPr>
              <w:t>流程</w:t>
            </w:r>
          </w:p>
          <w:p w14:paraId="02E79FB8">
            <w:pPr>
              <w:pStyle w:val="46"/>
              <w:ind w:firstLine="480"/>
              <w:rPr>
                <w:rFonts w:hint="default" w:ascii="Times New Roman" w:hAnsi="Times New Roman" w:eastAsia="宋体"/>
                <w:color w:val="auto"/>
                <w:sz w:val="24"/>
                <w:highlight w:val="none"/>
                <w:lang w:val="en-US" w:eastAsia="zh-CN"/>
              </w:rPr>
            </w:pPr>
            <w:r>
              <w:rPr>
                <w:rFonts w:hint="eastAsia"/>
                <w:color w:val="auto"/>
                <w:highlight w:val="none"/>
                <w:lang w:val="en-US" w:eastAsia="zh-CN"/>
              </w:rPr>
              <w:t>1.</w:t>
            </w:r>
            <w:r>
              <w:rPr>
                <w:rFonts w:hint="eastAsia"/>
                <w:color w:val="auto"/>
                <w:highlight w:val="none"/>
              </w:rPr>
              <w:t>本项目汽车座椅骨架生产工艺流程</w:t>
            </w:r>
          </w:p>
          <w:p w14:paraId="2B1971AD">
            <w:pPr>
              <w:pStyle w:val="46"/>
              <w:ind w:firstLine="480" w:firstLineChars="0"/>
              <w:jc w:val="center"/>
              <w:rPr>
                <w:rFonts w:hint="default" w:eastAsia="宋体"/>
                <w:b/>
                <w:bCs/>
                <w:i/>
                <w:iCs/>
                <w:color w:val="auto"/>
                <w:sz w:val="84"/>
                <w:szCs w:val="84"/>
                <w:highlight w:val="none"/>
                <w:lang w:val="en-US" w:eastAsia="zh-CN"/>
              </w:rPr>
            </w:pPr>
            <w:r>
              <w:rPr>
                <w:rFonts w:hint="eastAsia"/>
                <w:b/>
                <w:bCs/>
                <w:i/>
                <w:iCs/>
                <w:color w:val="auto"/>
                <w:sz w:val="84"/>
                <w:szCs w:val="84"/>
                <w:highlight w:val="none"/>
                <w:lang w:val="en-US" w:eastAsia="zh-CN"/>
              </w:rPr>
              <w:t>涉密删除</w:t>
            </w:r>
          </w:p>
          <w:p w14:paraId="027D2C0A">
            <w:pPr>
              <w:pStyle w:val="5"/>
              <w:numPr>
                <w:ilvl w:val="3"/>
                <w:numId w:val="9"/>
              </w:numPr>
              <w:tabs>
                <w:tab w:val="left" w:pos="0"/>
              </w:tabs>
              <w:bidi w:val="0"/>
              <w:ind w:left="864" w:leftChars="0" w:hanging="864" w:firstLineChars="0"/>
              <w:rPr>
                <w:rFonts w:hint="eastAsia"/>
                <w:color w:val="auto"/>
                <w:highlight w:val="none"/>
                <w:lang w:val="en-US" w:eastAsia="zh-CN"/>
              </w:rPr>
            </w:pPr>
            <w:r>
              <w:rPr>
                <w:rFonts w:hint="eastAsia"/>
                <w:color w:val="auto"/>
                <w:highlight w:val="none"/>
                <w:lang w:val="en-US" w:eastAsia="zh-CN"/>
              </w:rPr>
              <w:t>生产工艺主要产污环节</w:t>
            </w:r>
          </w:p>
          <w:p w14:paraId="7DF4FD03">
            <w:pPr>
              <w:pStyle w:val="46"/>
              <w:ind w:firstLine="480"/>
              <w:rPr>
                <w:rFonts w:hint="eastAsia"/>
                <w:color w:val="auto"/>
              </w:rPr>
            </w:pPr>
            <w:r>
              <w:rPr>
                <w:rFonts w:hint="eastAsia"/>
                <w:color w:val="auto"/>
              </w:rPr>
              <w:t>主要</w:t>
            </w:r>
            <w:r>
              <w:rPr>
                <w:rFonts w:hint="eastAsia"/>
                <w:color w:val="auto"/>
                <w:highlight w:val="none"/>
                <w:vertAlign w:val="baseline"/>
                <w:lang w:val="en-US" w:eastAsia="zh-CN"/>
              </w:rPr>
              <w:t>产污环节</w:t>
            </w:r>
            <w:r>
              <w:rPr>
                <w:rFonts w:hint="eastAsia"/>
                <w:color w:val="auto"/>
              </w:rPr>
              <w:t>见下表。</w:t>
            </w:r>
          </w:p>
          <w:p w14:paraId="528BC417">
            <w:pPr>
              <w:pStyle w:val="44"/>
              <w:keepNext/>
              <w:keepLines/>
              <w:pageBreakBefore w:val="0"/>
              <w:widowControl w:val="0"/>
              <w:numPr>
                <w:ilvl w:val="7"/>
                <w:numId w:val="10"/>
              </w:numPr>
              <w:tabs>
                <w:tab w:val="left" w:pos="0"/>
              </w:tabs>
              <w:kinsoku/>
              <w:wordWrap/>
              <w:overflowPunct/>
              <w:topLinePunct w:val="0"/>
              <w:autoSpaceDE/>
              <w:autoSpaceDN/>
              <w:bidi w:val="0"/>
              <w:adjustRightInd/>
              <w:snapToGrid/>
              <w:spacing w:before="157" w:beforeLines="50" w:after="0"/>
              <w:ind w:left="630" w:leftChars="0" w:firstLineChars="0"/>
              <w:textAlignment w:val="auto"/>
              <w:rPr>
                <w:color w:val="auto"/>
                <w:highlight w:val="none"/>
              </w:rPr>
            </w:pPr>
            <w:r>
              <w:rPr>
                <w:color w:val="auto"/>
                <w:highlight w:val="none"/>
              </w:rPr>
              <w:t>主要污染工序一览表</w:t>
            </w:r>
          </w:p>
          <w:tbl>
            <w:tblPr>
              <w:tblStyle w:val="3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389"/>
              <w:gridCol w:w="444"/>
              <w:gridCol w:w="2096"/>
              <w:gridCol w:w="2316"/>
              <w:gridCol w:w="441"/>
              <w:gridCol w:w="3047"/>
            </w:tblGrid>
            <w:tr w14:paraId="016B9C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07" w:hRule="atLeast"/>
                <w:tblHeader/>
              </w:trPr>
              <w:tc>
                <w:tcPr>
                  <w:tcW w:w="0" w:type="auto"/>
                  <w:tcBorders>
                    <w:bottom w:val="single" w:color="000000" w:sz="12" w:space="0"/>
                  </w:tcBorders>
                  <w:vAlign w:val="center"/>
                </w:tcPr>
                <w:p w14:paraId="0844BD5D">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8"/>
                      <w:sz w:val="21"/>
                    </w:rPr>
                    <w:t>序号</w:t>
                  </w:r>
                </w:p>
              </w:tc>
              <w:tc>
                <w:tcPr>
                  <w:tcW w:w="0" w:type="auto"/>
                  <w:tcBorders>
                    <w:bottom w:val="single" w:color="000000" w:sz="12" w:space="0"/>
                  </w:tcBorders>
                  <w:vAlign w:val="center"/>
                </w:tcPr>
                <w:p w14:paraId="45AED3F9">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8"/>
                      <w:sz w:val="21"/>
                    </w:rPr>
                    <w:t>类别</w:t>
                  </w:r>
                </w:p>
              </w:tc>
              <w:tc>
                <w:tcPr>
                  <w:tcW w:w="0" w:type="auto"/>
                  <w:tcBorders>
                    <w:bottom w:val="single" w:color="000000" w:sz="12" w:space="0"/>
                  </w:tcBorders>
                  <w:vAlign w:val="center"/>
                </w:tcPr>
                <w:p w14:paraId="0B801C35">
                  <w:pPr>
                    <w:pStyle w:val="97"/>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产污工序</w:t>
                  </w:r>
                </w:p>
              </w:tc>
              <w:tc>
                <w:tcPr>
                  <w:tcW w:w="0" w:type="auto"/>
                  <w:tcBorders>
                    <w:bottom w:val="single" w:color="000000" w:sz="12" w:space="0"/>
                  </w:tcBorders>
                  <w:vAlign w:val="center"/>
                </w:tcPr>
                <w:p w14:paraId="3092B19E">
                  <w:pPr>
                    <w:pStyle w:val="97"/>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污染物名称</w:t>
                  </w:r>
                </w:p>
              </w:tc>
              <w:tc>
                <w:tcPr>
                  <w:tcW w:w="441" w:type="dxa"/>
                  <w:tcBorders>
                    <w:bottom w:val="single" w:color="000000" w:sz="12" w:space="0"/>
                  </w:tcBorders>
                  <w:vAlign w:val="center"/>
                </w:tcPr>
                <w:p w14:paraId="07EDA3B8">
                  <w:pPr>
                    <w:pStyle w:val="97"/>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代号</w:t>
                  </w:r>
                </w:p>
              </w:tc>
              <w:tc>
                <w:tcPr>
                  <w:tcW w:w="3047" w:type="dxa"/>
                  <w:tcBorders>
                    <w:bottom w:val="single" w:color="000000" w:sz="12" w:space="0"/>
                  </w:tcBorders>
                  <w:vAlign w:val="center"/>
                </w:tcPr>
                <w:p w14:paraId="28212736">
                  <w:pPr>
                    <w:pStyle w:val="97"/>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主要成分</w:t>
                  </w:r>
                </w:p>
              </w:tc>
            </w:tr>
            <w:tr w14:paraId="68D31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0" w:type="auto"/>
                  <w:vMerge w:val="restart"/>
                  <w:tcBorders>
                    <w:top w:val="single" w:color="000000" w:sz="12" w:space="0"/>
                    <w:tl2br w:val="nil"/>
                    <w:tr2bl w:val="nil"/>
                  </w:tcBorders>
                  <w:vAlign w:val="center"/>
                </w:tcPr>
                <w:p w14:paraId="41519647">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AB89108">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2C8E6F3">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19EDE189">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B2E3DC5">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10"/>
                      <w:sz w:val="21"/>
                    </w:rPr>
                    <w:t>1</w:t>
                  </w:r>
                </w:p>
              </w:tc>
              <w:tc>
                <w:tcPr>
                  <w:tcW w:w="0" w:type="auto"/>
                  <w:vMerge w:val="restart"/>
                  <w:tcBorders>
                    <w:top w:val="single" w:color="000000" w:sz="12" w:space="0"/>
                    <w:tl2br w:val="nil"/>
                    <w:tr2bl w:val="nil"/>
                  </w:tcBorders>
                  <w:vAlign w:val="center"/>
                </w:tcPr>
                <w:p w14:paraId="2A8F6C9C">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3905FD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r>
                    <w:rPr>
                      <w:rFonts w:ascii="Times New Roman" w:hAnsi="Times New Roman" w:eastAsia="宋体"/>
                      <w:color w:val="auto"/>
                      <w:spacing w:val="-8"/>
                      <w:sz w:val="21"/>
                    </w:rPr>
                    <w:t>废气</w:t>
                  </w:r>
                </w:p>
                <w:p w14:paraId="573F2E8F">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0" w:type="auto"/>
                  <w:tcBorders>
                    <w:top w:val="single" w:color="000000" w:sz="12" w:space="0"/>
                    <w:tl2br w:val="nil"/>
                    <w:tr2bl w:val="nil"/>
                  </w:tcBorders>
                  <w:shd w:val="clear" w:color="auto" w:fill="auto"/>
                  <w:vAlign w:val="center"/>
                </w:tcPr>
                <w:p w14:paraId="2C80583C">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4"/>
                      <w:sz w:val="21"/>
                    </w:rPr>
                    <w:t>焊接</w:t>
                  </w:r>
                </w:p>
              </w:tc>
              <w:tc>
                <w:tcPr>
                  <w:tcW w:w="0" w:type="auto"/>
                  <w:tcBorders>
                    <w:top w:val="single" w:color="000000" w:sz="12" w:space="0"/>
                    <w:tl2br w:val="nil"/>
                    <w:tr2bl w:val="nil"/>
                  </w:tcBorders>
                  <w:shd w:val="clear" w:color="auto" w:fill="auto"/>
                  <w:vAlign w:val="center"/>
                </w:tcPr>
                <w:p w14:paraId="6B26807F">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焊接废气</w:t>
                  </w:r>
                </w:p>
              </w:tc>
              <w:tc>
                <w:tcPr>
                  <w:tcW w:w="441" w:type="dxa"/>
                  <w:tcBorders>
                    <w:top w:val="single" w:color="000000" w:sz="12" w:space="0"/>
                    <w:tl2br w:val="nil"/>
                    <w:tr2bl w:val="nil"/>
                  </w:tcBorders>
                  <w:shd w:val="clear" w:color="auto" w:fill="auto"/>
                  <w:vAlign w:val="center"/>
                </w:tcPr>
                <w:p w14:paraId="27EEE250">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1"/>
                      <w:position w:val="1"/>
                      <w:sz w:val="21"/>
                      <w:szCs w:val="20"/>
                    </w:rPr>
                    <w:t>G1</w:t>
                  </w:r>
                </w:p>
              </w:tc>
              <w:tc>
                <w:tcPr>
                  <w:tcW w:w="3047" w:type="dxa"/>
                  <w:tcBorders>
                    <w:top w:val="single" w:color="000000" w:sz="12" w:space="0"/>
                    <w:tl2br w:val="nil"/>
                    <w:tr2bl w:val="nil"/>
                  </w:tcBorders>
                  <w:shd w:val="clear" w:color="auto" w:fill="auto"/>
                  <w:vAlign w:val="center"/>
                </w:tcPr>
                <w:p w14:paraId="536C78F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颗粒物</w:t>
                  </w:r>
                </w:p>
              </w:tc>
            </w:tr>
            <w:tr w14:paraId="359740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4F53C82D">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16C8EFA7">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restart"/>
                  <w:tcBorders>
                    <w:tl2br w:val="nil"/>
                    <w:tr2bl w:val="nil"/>
                  </w:tcBorders>
                  <w:shd w:val="clear" w:color="auto" w:fill="auto"/>
                  <w:vAlign w:val="center"/>
                </w:tcPr>
                <w:p w14:paraId="6A332FB0">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spacing w:val="2"/>
                      <w:sz w:val="21"/>
                      <w:lang w:val="en-US" w:eastAsia="zh-CN"/>
                    </w:rPr>
                  </w:pPr>
                  <w:r>
                    <w:rPr>
                      <w:rFonts w:ascii="Times New Roman" w:hAnsi="Times New Roman" w:eastAsia="宋体" w:cs="宋体"/>
                      <w:color w:val="auto"/>
                      <w:spacing w:val="2"/>
                      <w:sz w:val="21"/>
                    </w:rPr>
                    <w:t>电泳</w:t>
                  </w:r>
                  <w:r>
                    <w:rPr>
                      <w:rFonts w:hint="eastAsia" w:ascii="Times New Roman" w:hAnsi="Times New Roman" w:eastAsia="宋体" w:cs="宋体"/>
                      <w:color w:val="auto"/>
                      <w:spacing w:val="2"/>
                      <w:sz w:val="21"/>
                      <w:lang w:val="en-US" w:eastAsia="zh-CN"/>
                    </w:rPr>
                    <w:t>线</w:t>
                  </w:r>
                </w:p>
                <w:p w14:paraId="1DC47612">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spacing w:val="2"/>
                      <w:sz w:val="21"/>
                    </w:rPr>
                  </w:pPr>
                </w:p>
              </w:tc>
              <w:tc>
                <w:tcPr>
                  <w:tcW w:w="0" w:type="auto"/>
                  <w:tcBorders>
                    <w:tl2br w:val="nil"/>
                    <w:tr2bl w:val="nil"/>
                  </w:tcBorders>
                  <w:shd w:val="clear" w:color="auto" w:fill="auto"/>
                  <w:vAlign w:val="center"/>
                </w:tcPr>
                <w:p w14:paraId="23833C7E">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1"/>
                      <w:sz w:val="21"/>
                    </w:rPr>
                    <w:t>电泳废气</w:t>
                  </w:r>
                </w:p>
              </w:tc>
              <w:tc>
                <w:tcPr>
                  <w:tcW w:w="441" w:type="dxa"/>
                  <w:tcBorders>
                    <w:tl2br w:val="nil"/>
                    <w:tr2bl w:val="nil"/>
                  </w:tcBorders>
                  <w:shd w:val="clear" w:color="auto" w:fill="auto"/>
                  <w:vAlign w:val="center"/>
                </w:tcPr>
                <w:p w14:paraId="3681EF5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
                      <w:position w:val="1"/>
                      <w:sz w:val="21"/>
                      <w:szCs w:val="20"/>
                    </w:rPr>
                    <w:t>G2</w:t>
                  </w:r>
                </w:p>
              </w:tc>
              <w:tc>
                <w:tcPr>
                  <w:tcW w:w="3047" w:type="dxa"/>
                  <w:tcBorders>
                    <w:tl2br w:val="nil"/>
                    <w:tr2bl w:val="nil"/>
                  </w:tcBorders>
                  <w:shd w:val="clear" w:color="auto" w:fill="auto"/>
                  <w:vAlign w:val="center"/>
                </w:tcPr>
                <w:p w14:paraId="7703178E">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position w:val="1"/>
                      <w:sz w:val="21"/>
                      <w:lang w:val="en-US" w:eastAsia="zh-CN"/>
                    </w:rPr>
                    <w:t>非甲烷总烃</w:t>
                  </w:r>
                </w:p>
              </w:tc>
            </w:tr>
            <w:tr w14:paraId="179E75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7A9B7EDA">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4A970DCF">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shd w:val="clear" w:color="auto" w:fill="auto"/>
                  <w:vAlign w:val="center"/>
                </w:tcPr>
                <w:p w14:paraId="7D8BE2A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spacing w:val="2"/>
                      <w:kern w:val="2"/>
                      <w:sz w:val="21"/>
                      <w:szCs w:val="24"/>
                      <w:lang w:val="en-US" w:eastAsia="en-US" w:bidi="ar-SA"/>
                    </w:rPr>
                  </w:pPr>
                </w:p>
              </w:tc>
              <w:tc>
                <w:tcPr>
                  <w:tcW w:w="0" w:type="auto"/>
                  <w:tcBorders>
                    <w:tl2br w:val="nil"/>
                    <w:tr2bl w:val="nil"/>
                  </w:tcBorders>
                  <w:shd w:val="clear" w:color="auto" w:fill="auto"/>
                  <w:vAlign w:val="center"/>
                </w:tcPr>
                <w:p w14:paraId="4D5D38F0">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1"/>
                      <w:sz w:val="21"/>
                    </w:rPr>
                    <w:t>电泳</w:t>
                  </w:r>
                  <w:r>
                    <w:rPr>
                      <w:rFonts w:ascii="Times New Roman" w:hAnsi="Times New Roman" w:eastAsia="宋体"/>
                      <w:color w:val="auto"/>
                      <w:spacing w:val="2"/>
                      <w:sz w:val="21"/>
                    </w:rPr>
                    <w:t>固化废气</w:t>
                  </w:r>
                </w:p>
              </w:tc>
              <w:tc>
                <w:tcPr>
                  <w:tcW w:w="441" w:type="dxa"/>
                  <w:tcBorders>
                    <w:tl2br w:val="nil"/>
                    <w:tr2bl w:val="nil"/>
                  </w:tcBorders>
                  <w:shd w:val="clear" w:color="auto" w:fill="auto"/>
                  <w:vAlign w:val="center"/>
                </w:tcPr>
                <w:p w14:paraId="76348268">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
                      <w:position w:val="1"/>
                      <w:sz w:val="21"/>
                      <w:szCs w:val="20"/>
                    </w:rPr>
                    <w:t>G3</w:t>
                  </w:r>
                </w:p>
              </w:tc>
              <w:tc>
                <w:tcPr>
                  <w:tcW w:w="3047" w:type="dxa"/>
                  <w:tcBorders>
                    <w:tl2br w:val="nil"/>
                    <w:tr2bl w:val="nil"/>
                  </w:tcBorders>
                  <w:shd w:val="clear" w:color="auto" w:fill="auto"/>
                  <w:vAlign w:val="center"/>
                </w:tcPr>
                <w:p w14:paraId="7BFDCDBE">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hint="eastAsia" w:cs="Times New Roman"/>
                      <w:color w:val="auto"/>
                      <w:spacing w:val="7"/>
                      <w:sz w:val="21"/>
                      <w:szCs w:val="20"/>
                      <w:lang w:eastAsia="zh-CN"/>
                    </w:rPr>
                    <w:t>非甲烷总烃</w:t>
                  </w:r>
                </w:p>
              </w:tc>
            </w:tr>
            <w:tr w14:paraId="4F40D5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364F2346">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610D7F96">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129FD5A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spacing w:val="2"/>
                      <w:kern w:val="2"/>
                      <w:sz w:val="21"/>
                      <w:szCs w:val="24"/>
                      <w:highlight w:val="none"/>
                      <w:lang w:val="en-US" w:eastAsia="en-US" w:bidi="ar-SA"/>
                    </w:rPr>
                  </w:pPr>
                </w:p>
              </w:tc>
              <w:tc>
                <w:tcPr>
                  <w:tcW w:w="0" w:type="auto"/>
                  <w:tcBorders>
                    <w:tl2br w:val="nil"/>
                    <w:tr2bl w:val="nil"/>
                  </w:tcBorders>
                  <w:shd w:val="clear" w:color="auto" w:fill="auto"/>
                  <w:vAlign w:val="center"/>
                </w:tcPr>
                <w:p w14:paraId="47A7EB7B">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hint="eastAsia" w:ascii="Times New Roman" w:hAnsi="Times New Roman"/>
                      <w:color w:val="auto"/>
                      <w:spacing w:val="4"/>
                      <w:sz w:val="21"/>
                      <w:highlight w:val="none"/>
                      <w:lang w:val="en-US" w:eastAsia="zh-CN"/>
                    </w:rPr>
                    <w:t>(电泳)</w:t>
                  </w:r>
                  <w:r>
                    <w:rPr>
                      <w:rFonts w:hint="default" w:ascii="Times New Roman" w:hAnsi="Times New Roman" w:eastAsia="宋体"/>
                      <w:color w:val="auto"/>
                      <w:spacing w:val="4"/>
                      <w:sz w:val="21"/>
                      <w:highlight w:val="none"/>
                      <w:lang w:val="en-US" w:eastAsia="zh-CN"/>
                    </w:rPr>
                    <w:t>天然气</w:t>
                  </w:r>
                  <w:r>
                    <w:rPr>
                      <w:rFonts w:hint="eastAsia" w:ascii="Times New Roman" w:hAnsi="Times New Roman"/>
                      <w:color w:val="auto"/>
                      <w:spacing w:val="4"/>
                      <w:sz w:val="21"/>
                      <w:highlight w:val="none"/>
                      <w:lang w:val="en-US" w:eastAsia="zh-CN"/>
                    </w:rPr>
                    <w:t>燃烧</w:t>
                  </w:r>
                  <w:r>
                    <w:rPr>
                      <w:rFonts w:ascii="Times New Roman" w:hAnsi="Times New Roman" w:eastAsia="宋体"/>
                      <w:color w:val="auto"/>
                      <w:spacing w:val="5"/>
                      <w:sz w:val="21"/>
                      <w:highlight w:val="none"/>
                    </w:rPr>
                    <w:t>废气</w:t>
                  </w:r>
                </w:p>
              </w:tc>
              <w:tc>
                <w:tcPr>
                  <w:tcW w:w="441" w:type="dxa"/>
                  <w:tcBorders>
                    <w:tl2br w:val="nil"/>
                    <w:tr2bl w:val="nil"/>
                  </w:tcBorders>
                  <w:shd w:val="clear" w:color="auto" w:fill="auto"/>
                  <w:vAlign w:val="center"/>
                </w:tcPr>
                <w:p w14:paraId="5AB362A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G4</w:t>
                  </w:r>
                </w:p>
              </w:tc>
              <w:tc>
                <w:tcPr>
                  <w:tcW w:w="3047" w:type="dxa"/>
                  <w:tcBorders>
                    <w:tl2br w:val="nil"/>
                    <w:tr2bl w:val="nil"/>
                  </w:tcBorders>
                  <w:shd w:val="clear" w:color="auto" w:fill="auto"/>
                  <w:vAlign w:val="center"/>
                </w:tcPr>
                <w:p w14:paraId="70E9A515">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s="Times New Roman"/>
                      <w:color w:val="auto"/>
                      <w:position w:val="1"/>
                      <w:sz w:val="21"/>
                      <w:highlight w:val="none"/>
                    </w:rPr>
                    <w:t>SO</w:t>
                  </w:r>
                  <w:r>
                    <w:rPr>
                      <w:rFonts w:ascii="Times New Roman" w:hAnsi="Times New Roman" w:eastAsia="宋体" w:cs="Times New Roman"/>
                      <w:color w:val="auto"/>
                      <w:spacing w:val="2"/>
                      <w:sz w:val="21"/>
                      <w:szCs w:val="13"/>
                      <w:highlight w:val="none"/>
                      <w:vertAlign w:val="subscript"/>
                    </w:rPr>
                    <w:t>2</w:t>
                  </w:r>
                  <w:r>
                    <w:rPr>
                      <w:rFonts w:ascii="Times New Roman" w:hAnsi="Times New Roman" w:eastAsia="宋体"/>
                      <w:color w:val="auto"/>
                      <w:spacing w:val="2"/>
                      <w:position w:val="1"/>
                      <w:sz w:val="21"/>
                      <w:highlight w:val="none"/>
                    </w:rPr>
                    <w:t>、</w:t>
                  </w:r>
                  <w:r>
                    <w:rPr>
                      <w:rFonts w:ascii="Times New Roman" w:hAnsi="Times New Roman" w:eastAsia="宋体" w:cs="Times New Roman"/>
                      <w:color w:val="auto"/>
                      <w:position w:val="1"/>
                      <w:sz w:val="21"/>
                      <w:highlight w:val="none"/>
                    </w:rPr>
                    <w:t>NOx</w:t>
                  </w:r>
                  <w:r>
                    <w:rPr>
                      <w:rFonts w:ascii="Times New Roman" w:hAnsi="Times New Roman" w:eastAsia="宋体"/>
                      <w:color w:val="auto"/>
                      <w:spacing w:val="2"/>
                      <w:position w:val="1"/>
                      <w:sz w:val="21"/>
                      <w:highlight w:val="none"/>
                    </w:rPr>
                    <w:t>、烟尘</w:t>
                  </w:r>
                </w:p>
              </w:tc>
            </w:tr>
            <w:tr w14:paraId="61D56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3302377C">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19EB536B">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restart"/>
                  <w:tcBorders>
                    <w:tl2br w:val="nil"/>
                    <w:tr2bl w:val="nil"/>
                  </w:tcBorders>
                  <w:vAlign w:val="center"/>
                </w:tcPr>
                <w:p w14:paraId="4C5FF8C6">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宋体"/>
                      <w:color w:val="auto"/>
                      <w:spacing w:val="2"/>
                      <w:kern w:val="2"/>
                      <w:sz w:val="21"/>
                      <w:szCs w:val="24"/>
                      <w:lang w:val="en-US" w:eastAsia="zh-CN" w:bidi="ar-SA"/>
                    </w:rPr>
                  </w:pPr>
                  <w:r>
                    <w:rPr>
                      <w:rFonts w:hint="eastAsia" w:ascii="Times New Roman" w:hAnsi="Times New Roman" w:eastAsia="宋体" w:cs="宋体"/>
                      <w:color w:val="auto"/>
                      <w:spacing w:val="2"/>
                      <w:kern w:val="2"/>
                      <w:sz w:val="21"/>
                      <w:szCs w:val="24"/>
                      <w:lang w:val="en-US" w:eastAsia="zh-CN" w:bidi="ar-SA"/>
                    </w:rPr>
                    <w:t>喷粉线</w:t>
                  </w:r>
                </w:p>
              </w:tc>
              <w:tc>
                <w:tcPr>
                  <w:tcW w:w="0" w:type="auto"/>
                  <w:tcBorders>
                    <w:tl2br w:val="nil"/>
                    <w:tr2bl w:val="nil"/>
                  </w:tcBorders>
                  <w:shd w:val="clear" w:color="auto" w:fill="auto"/>
                  <w:vAlign w:val="center"/>
                </w:tcPr>
                <w:p w14:paraId="6D13D366">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pacing w:val="4"/>
                      <w:sz w:val="21"/>
                      <w:lang w:val="en-US" w:eastAsia="zh-CN"/>
                    </w:rPr>
                  </w:pPr>
                  <w:r>
                    <w:rPr>
                      <w:rFonts w:hint="eastAsia" w:ascii="Times New Roman" w:hAnsi="Times New Roman"/>
                      <w:color w:val="auto"/>
                      <w:spacing w:val="4"/>
                      <w:sz w:val="21"/>
                      <w:lang w:val="en-US" w:eastAsia="zh-CN"/>
                    </w:rPr>
                    <w:t>喷粉废气</w:t>
                  </w:r>
                </w:p>
              </w:tc>
              <w:tc>
                <w:tcPr>
                  <w:tcW w:w="441" w:type="dxa"/>
                  <w:tcBorders>
                    <w:tl2br w:val="nil"/>
                    <w:tr2bl w:val="nil"/>
                  </w:tcBorders>
                  <w:shd w:val="clear" w:color="auto" w:fill="auto"/>
                  <w:vAlign w:val="center"/>
                </w:tcPr>
                <w:p w14:paraId="13AC5AE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G5</w:t>
                  </w:r>
                </w:p>
              </w:tc>
              <w:tc>
                <w:tcPr>
                  <w:tcW w:w="3047" w:type="dxa"/>
                  <w:tcBorders>
                    <w:tl2br w:val="nil"/>
                    <w:tr2bl w:val="nil"/>
                  </w:tcBorders>
                  <w:shd w:val="clear" w:color="auto" w:fill="auto"/>
                  <w:vAlign w:val="center"/>
                </w:tcPr>
                <w:p w14:paraId="185F1851">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position w:val="1"/>
                      <w:sz w:val="21"/>
                      <w:lang w:val="en-US" w:eastAsia="zh-CN"/>
                    </w:rPr>
                  </w:pPr>
                  <w:r>
                    <w:rPr>
                      <w:rFonts w:hint="eastAsia" w:ascii="Times New Roman" w:hAnsi="Times New Roman" w:cs="Times New Roman"/>
                      <w:color w:val="auto"/>
                      <w:position w:val="1"/>
                      <w:sz w:val="21"/>
                      <w:lang w:val="en-US" w:eastAsia="zh-CN"/>
                    </w:rPr>
                    <w:t>颗粒物</w:t>
                  </w:r>
                </w:p>
              </w:tc>
            </w:tr>
            <w:tr w14:paraId="3528AE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7E25747F">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60249D98">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57591E73">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spacing w:val="2"/>
                      <w:kern w:val="2"/>
                      <w:sz w:val="21"/>
                      <w:szCs w:val="24"/>
                      <w:lang w:val="en-US" w:eastAsia="zh-CN" w:bidi="ar-SA"/>
                    </w:rPr>
                  </w:pPr>
                </w:p>
              </w:tc>
              <w:tc>
                <w:tcPr>
                  <w:tcW w:w="0" w:type="auto"/>
                  <w:tcBorders>
                    <w:tl2br w:val="nil"/>
                    <w:tr2bl w:val="nil"/>
                  </w:tcBorders>
                  <w:shd w:val="clear" w:color="auto" w:fill="auto"/>
                  <w:vAlign w:val="center"/>
                </w:tcPr>
                <w:p w14:paraId="242FD57B">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olor w:val="auto"/>
                      <w:spacing w:val="4"/>
                      <w:sz w:val="21"/>
                      <w:lang w:val="en-US" w:eastAsia="zh-CN"/>
                    </w:rPr>
                  </w:pPr>
                  <w:r>
                    <w:rPr>
                      <w:rFonts w:hint="eastAsia" w:ascii="Times New Roman" w:hAnsi="Times New Roman"/>
                      <w:color w:val="auto"/>
                      <w:spacing w:val="4"/>
                      <w:sz w:val="21"/>
                      <w:lang w:val="en-US" w:eastAsia="zh-CN"/>
                    </w:rPr>
                    <w:t>喷粉固化废气</w:t>
                  </w:r>
                </w:p>
              </w:tc>
              <w:tc>
                <w:tcPr>
                  <w:tcW w:w="441" w:type="dxa"/>
                  <w:tcBorders>
                    <w:tl2br w:val="nil"/>
                    <w:tr2bl w:val="nil"/>
                  </w:tcBorders>
                  <w:shd w:val="clear" w:color="auto" w:fill="auto"/>
                  <w:vAlign w:val="center"/>
                </w:tcPr>
                <w:p w14:paraId="08AFBD1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G6</w:t>
                  </w:r>
                </w:p>
              </w:tc>
              <w:tc>
                <w:tcPr>
                  <w:tcW w:w="3047" w:type="dxa"/>
                  <w:tcBorders>
                    <w:tl2br w:val="nil"/>
                    <w:tr2bl w:val="nil"/>
                  </w:tcBorders>
                  <w:shd w:val="clear" w:color="auto" w:fill="auto"/>
                  <w:vAlign w:val="center"/>
                </w:tcPr>
                <w:p w14:paraId="55FC584F">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color w:val="auto"/>
                      <w:position w:val="1"/>
                      <w:sz w:val="21"/>
                      <w:lang w:val="en-US" w:eastAsia="zh-CN"/>
                    </w:rPr>
                  </w:pPr>
                  <w:r>
                    <w:rPr>
                      <w:rFonts w:hint="eastAsia" w:ascii="Times New Roman" w:hAnsi="Times New Roman" w:cs="Times New Roman"/>
                      <w:color w:val="auto"/>
                      <w:position w:val="1"/>
                      <w:sz w:val="21"/>
                      <w:lang w:val="en-US" w:eastAsia="zh-CN"/>
                    </w:rPr>
                    <w:t>非甲烷总烃</w:t>
                  </w:r>
                </w:p>
              </w:tc>
            </w:tr>
            <w:tr w14:paraId="61600C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7EF3152F">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4045492D">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tcBorders>
                    <w:tl2br w:val="nil"/>
                    <w:tr2bl w:val="nil"/>
                  </w:tcBorders>
                  <w:vAlign w:val="center"/>
                </w:tcPr>
                <w:p w14:paraId="30E4519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宋体"/>
                      <w:color w:val="auto"/>
                      <w:spacing w:val="2"/>
                      <w:kern w:val="2"/>
                      <w:sz w:val="21"/>
                      <w:szCs w:val="24"/>
                      <w:lang w:val="en-US" w:eastAsia="zh-CN" w:bidi="ar-SA"/>
                    </w:rPr>
                  </w:pPr>
                  <w:r>
                    <w:rPr>
                      <w:rFonts w:hint="eastAsia" w:ascii="Times New Roman" w:hAnsi="Times New Roman" w:cs="宋体"/>
                      <w:color w:val="auto"/>
                      <w:spacing w:val="2"/>
                      <w:kern w:val="2"/>
                      <w:sz w:val="21"/>
                      <w:szCs w:val="24"/>
                      <w:lang w:val="en-US" w:eastAsia="zh-CN" w:bidi="ar-SA"/>
                    </w:rPr>
                    <w:t>(</w:t>
                  </w:r>
                  <w:r>
                    <w:rPr>
                      <w:rFonts w:hint="eastAsia" w:ascii="Times New Roman" w:hAnsi="Times New Roman" w:eastAsia="宋体" w:cs="宋体"/>
                      <w:color w:val="auto"/>
                      <w:spacing w:val="2"/>
                      <w:kern w:val="2"/>
                      <w:sz w:val="21"/>
                      <w:szCs w:val="24"/>
                      <w:lang w:val="en-US" w:eastAsia="zh-CN" w:bidi="ar-SA"/>
                    </w:rPr>
                    <w:t>喷粉、喷漆</w:t>
                  </w:r>
                  <w:r>
                    <w:rPr>
                      <w:rFonts w:hint="eastAsia" w:ascii="Times New Roman" w:hAnsi="Times New Roman" w:cs="宋体"/>
                      <w:color w:val="auto"/>
                      <w:spacing w:val="2"/>
                      <w:kern w:val="2"/>
                      <w:sz w:val="21"/>
                      <w:szCs w:val="24"/>
                      <w:lang w:val="en-US" w:eastAsia="zh-CN" w:bidi="ar-SA"/>
                    </w:rPr>
                    <w:t>)</w:t>
                  </w:r>
                  <w:r>
                    <w:rPr>
                      <w:rFonts w:hint="eastAsia" w:ascii="Times New Roman" w:hAnsi="Times New Roman" w:eastAsia="宋体" w:cs="宋体"/>
                      <w:color w:val="auto"/>
                      <w:spacing w:val="2"/>
                      <w:kern w:val="2"/>
                      <w:sz w:val="21"/>
                      <w:szCs w:val="24"/>
                      <w:lang w:val="en-US" w:eastAsia="zh-CN" w:bidi="ar-SA"/>
                    </w:rPr>
                    <w:t>天然气固化炉燃烧</w:t>
                  </w:r>
                </w:p>
              </w:tc>
              <w:tc>
                <w:tcPr>
                  <w:tcW w:w="0" w:type="auto"/>
                  <w:tcBorders>
                    <w:tl2br w:val="nil"/>
                    <w:tr2bl w:val="nil"/>
                  </w:tcBorders>
                  <w:shd w:val="clear" w:color="auto" w:fill="auto"/>
                  <w:vAlign w:val="center"/>
                </w:tcPr>
                <w:p w14:paraId="4D03F904">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color w:val="auto"/>
                      <w:spacing w:val="4"/>
                      <w:sz w:val="21"/>
                      <w:lang w:val="en-US" w:eastAsia="zh-CN"/>
                    </w:rPr>
                  </w:pPr>
                  <w:r>
                    <w:rPr>
                      <w:rFonts w:hint="eastAsia" w:ascii="Times New Roman" w:hAnsi="Times New Roman" w:cs="宋体"/>
                      <w:color w:val="auto"/>
                      <w:spacing w:val="2"/>
                      <w:kern w:val="2"/>
                      <w:sz w:val="21"/>
                      <w:szCs w:val="24"/>
                      <w:lang w:val="en-US" w:eastAsia="zh-CN" w:bidi="ar-SA"/>
                    </w:rPr>
                    <w:t>(</w:t>
                  </w:r>
                  <w:r>
                    <w:rPr>
                      <w:rFonts w:hint="eastAsia" w:ascii="Times New Roman" w:hAnsi="Times New Roman" w:eastAsia="宋体" w:cs="宋体"/>
                      <w:color w:val="auto"/>
                      <w:spacing w:val="2"/>
                      <w:kern w:val="2"/>
                      <w:sz w:val="21"/>
                      <w:szCs w:val="24"/>
                      <w:lang w:val="en-US" w:eastAsia="zh-CN" w:bidi="ar-SA"/>
                    </w:rPr>
                    <w:t>喷粉、喷漆</w:t>
                  </w:r>
                  <w:r>
                    <w:rPr>
                      <w:rFonts w:hint="eastAsia" w:ascii="Times New Roman" w:hAnsi="Times New Roman" w:cs="宋体"/>
                      <w:color w:val="auto"/>
                      <w:spacing w:val="2"/>
                      <w:kern w:val="2"/>
                      <w:sz w:val="21"/>
                      <w:szCs w:val="24"/>
                      <w:lang w:val="en-US" w:eastAsia="zh-CN" w:bidi="ar-SA"/>
                    </w:rPr>
                    <w:t>)</w:t>
                  </w:r>
                  <w:r>
                    <w:rPr>
                      <w:rFonts w:hint="eastAsia" w:ascii="Times New Roman" w:hAnsi="Times New Roman"/>
                      <w:color w:val="auto"/>
                      <w:spacing w:val="-4"/>
                      <w:sz w:val="21"/>
                      <w:lang w:val="en-US" w:eastAsia="zh-CN"/>
                    </w:rPr>
                    <w:t>天然气固化炉燃烧</w:t>
                  </w:r>
                  <w:r>
                    <w:rPr>
                      <w:rFonts w:hint="eastAsia" w:ascii="Times New Roman" w:hAnsi="Times New Roman"/>
                      <w:color w:val="auto"/>
                      <w:spacing w:val="4"/>
                      <w:sz w:val="21"/>
                      <w:lang w:val="en-US" w:eastAsia="zh-CN"/>
                    </w:rPr>
                    <w:t>废气</w:t>
                  </w:r>
                </w:p>
              </w:tc>
              <w:tc>
                <w:tcPr>
                  <w:tcW w:w="441" w:type="dxa"/>
                  <w:tcBorders>
                    <w:tl2br w:val="nil"/>
                    <w:tr2bl w:val="nil"/>
                  </w:tcBorders>
                  <w:shd w:val="clear" w:color="auto" w:fill="auto"/>
                  <w:vAlign w:val="center"/>
                </w:tcPr>
                <w:p w14:paraId="209358F1">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G7</w:t>
                  </w:r>
                </w:p>
              </w:tc>
              <w:tc>
                <w:tcPr>
                  <w:tcW w:w="3047" w:type="dxa"/>
                  <w:tcBorders>
                    <w:tl2br w:val="nil"/>
                    <w:tr2bl w:val="nil"/>
                  </w:tcBorders>
                  <w:shd w:val="clear" w:color="auto" w:fill="auto"/>
                  <w:vAlign w:val="center"/>
                </w:tcPr>
                <w:p w14:paraId="62E66B10">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color w:val="auto"/>
                      <w:position w:val="1"/>
                      <w:sz w:val="21"/>
                      <w:lang w:val="en-US" w:eastAsia="zh-CN"/>
                    </w:rPr>
                  </w:pPr>
                  <w:r>
                    <w:rPr>
                      <w:rFonts w:ascii="Times New Roman" w:hAnsi="Times New Roman" w:eastAsia="宋体" w:cs="Times New Roman"/>
                      <w:color w:val="auto"/>
                      <w:position w:val="1"/>
                      <w:sz w:val="21"/>
                    </w:rPr>
                    <w:t>SO</w:t>
                  </w:r>
                  <w:r>
                    <w:rPr>
                      <w:rFonts w:ascii="Times New Roman" w:hAnsi="Times New Roman" w:eastAsia="宋体" w:cs="Times New Roman"/>
                      <w:color w:val="auto"/>
                      <w:spacing w:val="2"/>
                      <w:sz w:val="21"/>
                      <w:szCs w:val="13"/>
                      <w:vertAlign w:val="subscript"/>
                    </w:rPr>
                    <w:t>2</w:t>
                  </w:r>
                  <w:r>
                    <w:rPr>
                      <w:rFonts w:ascii="Times New Roman" w:hAnsi="Times New Roman" w:eastAsia="宋体"/>
                      <w:color w:val="auto"/>
                      <w:spacing w:val="2"/>
                      <w:position w:val="1"/>
                      <w:sz w:val="21"/>
                    </w:rPr>
                    <w:t>、</w:t>
                  </w:r>
                  <w:r>
                    <w:rPr>
                      <w:rFonts w:ascii="Times New Roman" w:hAnsi="Times New Roman" w:eastAsia="宋体" w:cs="Times New Roman"/>
                      <w:color w:val="auto"/>
                      <w:position w:val="1"/>
                      <w:sz w:val="21"/>
                    </w:rPr>
                    <w:t>NOx</w:t>
                  </w:r>
                  <w:r>
                    <w:rPr>
                      <w:rFonts w:ascii="Times New Roman" w:hAnsi="Times New Roman" w:eastAsia="宋体"/>
                      <w:color w:val="auto"/>
                      <w:spacing w:val="2"/>
                      <w:position w:val="1"/>
                      <w:sz w:val="21"/>
                    </w:rPr>
                    <w:t>、烟尘</w:t>
                  </w:r>
                </w:p>
              </w:tc>
            </w:tr>
            <w:tr w14:paraId="420F86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14BE34B3">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25507228">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restart"/>
                  <w:tcBorders>
                    <w:tl2br w:val="nil"/>
                    <w:tr2bl w:val="nil"/>
                  </w:tcBorders>
                  <w:vAlign w:val="center"/>
                </w:tcPr>
                <w:p w14:paraId="7A7F240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宋体"/>
                      <w:color w:val="auto"/>
                      <w:spacing w:val="2"/>
                      <w:kern w:val="2"/>
                      <w:sz w:val="21"/>
                      <w:szCs w:val="24"/>
                      <w:lang w:val="en-US" w:eastAsia="zh-CN" w:bidi="ar-SA"/>
                    </w:rPr>
                  </w:pPr>
                  <w:r>
                    <w:rPr>
                      <w:rFonts w:hint="eastAsia" w:ascii="Times New Roman" w:hAnsi="Times New Roman" w:eastAsia="宋体" w:cs="宋体"/>
                      <w:color w:val="auto"/>
                      <w:spacing w:val="2"/>
                      <w:kern w:val="2"/>
                      <w:sz w:val="21"/>
                      <w:szCs w:val="24"/>
                      <w:lang w:val="en-US" w:eastAsia="zh-CN" w:bidi="ar-SA"/>
                    </w:rPr>
                    <w:t>喷漆线</w:t>
                  </w:r>
                </w:p>
              </w:tc>
              <w:tc>
                <w:tcPr>
                  <w:tcW w:w="0" w:type="auto"/>
                  <w:tcBorders>
                    <w:tl2br w:val="nil"/>
                    <w:tr2bl w:val="nil"/>
                  </w:tcBorders>
                  <w:shd w:val="clear" w:color="auto" w:fill="auto"/>
                  <w:vAlign w:val="center"/>
                </w:tcPr>
                <w:p w14:paraId="4C79F872">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color w:val="auto"/>
                      <w:spacing w:val="-4"/>
                      <w:sz w:val="21"/>
                      <w:lang w:val="en-US" w:eastAsia="zh-CN"/>
                    </w:rPr>
                  </w:pPr>
                  <w:r>
                    <w:rPr>
                      <w:rFonts w:hint="eastAsia" w:ascii="Times New Roman" w:hAnsi="Times New Roman"/>
                      <w:color w:val="auto"/>
                      <w:spacing w:val="-4"/>
                      <w:sz w:val="21"/>
                      <w:lang w:val="en-US" w:eastAsia="zh-CN"/>
                    </w:rPr>
                    <w:t>调漆</w:t>
                  </w:r>
                  <w:r>
                    <w:rPr>
                      <w:rFonts w:hint="eastAsia" w:ascii="Times New Roman" w:hAnsi="Times New Roman"/>
                      <w:color w:val="auto"/>
                      <w:spacing w:val="4"/>
                      <w:sz w:val="21"/>
                      <w:lang w:val="en-US" w:eastAsia="zh-CN"/>
                    </w:rPr>
                    <w:t>废气</w:t>
                  </w:r>
                </w:p>
              </w:tc>
              <w:tc>
                <w:tcPr>
                  <w:tcW w:w="441" w:type="dxa"/>
                  <w:tcBorders>
                    <w:tl2br w:val="nil"/>
                    <w:tr2bl w:val="nil"/>
                  </w:tcBorders>
                  <w:shd w:val="clear" w:color="auto" w:fill="auto"/>
                  <w:vAlign w:val="center"/>
                </w:tcPr>
                <w:p w14:paraId="2AAF058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G8</w:t>
                  </w:r>
                </w:p>
              </w:tc>
              <w:tc>
                <w:tcPr>
                  <w:tcW w:w="3047" w:type="dxa"/>
                  <w:tcBorders>
                    <w:tl2br w:val="nil"/>
                    <w:tr2bl w:val="nil"/>
                  </w:tcBorders>
                  <w:shd w:val="clear" w:color="auto" w:fill="auto"/>
                  <w:vAlign w:val="center"/>
                </w:tcPr>
                <w:p w14:paraId="4E1B1357">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position w:val="1"/>
                      <w:sz w:val="21"/>
                    </w:rPr>
                  </w:pPr>
                  <w:r>
                    <w:rPr>
                      <w:rFonts w:hint="eastAsia" w:ascii="Times New Roman" w:hAnsi="Times New Roman" w:cs="Times New Roman"/>
                      <w:color w:val="auto"/>
                      <w:position w:val="1"/>
                      <w:sz w:val="21"/>
                      <w:lang w:val="en-US" w:eastAsia="zh-CN"/>
                    </w:rPr>
                    <w:t>非甲烷总烃</w:t>
                  </w:r>
                </w:p>
              </w:tc>
            </w:tr>
            <w:tr w14:paraId="19FC9A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3E3FFC50">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5FEFE63E">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54565C4F">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4"/>
                      <w:sz w:val="21"/>
                      <w:lang w:val="en-US" w:eastAsia="zh-CN"/>
                    </w:rPr>
                  </w:pPr>
                </w:p>
              </w:tc>
              <w:tc>
                <w:tcPr>
                  <w:tcW w:w="0" w:type="auto"/>
                  <w:tcBorders>
                    <w:tl2br w:val="nil"/>
                    <w:tr2bl w:val="nil"/>
                  </w:tcBorders>
                  <w:shd w:val="clear" w:color="auto" w:fill="auto"/>
                  <w:vAlign w:val="center"/>
                </w:tcPr>
                <w:p w14:paraId="6F5BC831">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pacing w:val="4"/>
                      <w:sz w:val="21"/>
                      <w:lang w:val="en-US" w:eastAsia="zh-CN"/>
                    </w:rPr>
                  </w:pPr>
                  <w:r>
                    <w:rPr>
                      <w:rFonts w:hint="eastAsia" w:ascii="Times New Roman" w:hAnsi="Times New Roman"/>
                      <w:color w:val="auto"/>
                      <w:spacing w:val="4"/>
                      <w:sz w:val="21"/>
                      <w:lang w:val="en-US" w:eastAsia="zh-CN"/>
                    </w:rPr>
                    <w:t>喷漆废气</w:t>
                  </w:r>
                </w:p>
              </w:tc>
              <w:tc>
                <w:tcPr>
                  <w:tcW w:w="441" w:type="dxa"/>
                  <w:tcBorders>
                    <w:tl2br w:val="nil"/>
                    <w:tr2bl w:val="nil"/>
                  </w:tcBorders>
                  <w:shd w:val="clear" w:color="auto" w:fill="auto"/>
                  <w:vAlign w:val="center"/>
                </w:tcPr>
                <w:p w14:paraId="1D90E6F9">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G9</w:t>
                  </w:r>
                </w:p>
              </w:tc>
              <w:tc>
                <w:tcPr>
                  <w:tcW w:w="3047" w:type="dxa"/>
                  <w:tcBorders>
                    <w:tl2br w:val="nil"/>
                    <w:tr2bl w:val="nil"/>
                  </w:tcBorders>
                  <w:shd w:val="clear" w:color="auto" w:fill="auto"/>
                  <w:vAlign w:val="center"/>
                </w:tcPr>
                <w:p w14:paraId="0B2548C9">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position w:val="1"/>
                      <w:sz w:val="21"/>
                      <w:lang w:val="en-US" w:eastAsia="zh-CN"/>
                    </w:rPr>
                  </w:pPr>
                  <w:r>
                    <w:rPr>
                      <w:rFonts w:hint="eastAsia" w:ascii="Times New Roman" w:hAnsi="Times New Roman" w:cs="Times New Roman"/>
                      <w:color w:val="auto"/>
                      <w:position w:val="1"/>
                      <w:sz w:val="21"/>
                      <w:lang w:val="en-US" w:eastAsia="zh-CN"/>
                    </w:rPr>
                    <w:t>非甲烷总烃、颗粒物</w:t>
                  </w:r>
                </w:p>
              </w:tc>
            </w:tr>
            <w:tr w14:paraId="5E4D99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28" w:hRule="atLeast"/>
                <w:tblHeader/>
              </w:trPr>
              <w:tc>
                <w:tcPr>
                  <w:tcW w:w="0" w:type="auto"/>
                  <w:vMerge w:val="continue"/>
                  <w:tcBorders>
                    <w:tl2br w:val="nil"/>
                    <w:tr2bl w:val="nil"/>
                  </w:tcBorders>
                  <w:vAlign w:val="center"/>
                </w:tcPr>
                <w:p w14:paraId="74E71CDE">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2D756EEF">
                  <w:pPr>
                    <w:pStyle w:val="48"/>
                    <w:keepNext w:val="0"/>
                    <w:keepLines w:val="0"/>
                    <w:pageBreakBefore w:val="0"/>
                    <w:widowControl w:val="0"/>
                    <w:tabs>
                      <w:tab w:val="left" w:pos="0"/>
                    </w:tabs>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2222922D">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olor w:val="auto"/>
                      <w:spacing w:val="-4"/>
                      <w:sz w:val="21"/>
                      <w:lang w:val="en-US" w:eastAsia="zh-CN"/>
                    </w:rPr>
                  </w:pPr>
                </w:p>
              </w:tc>
              <w:tc>
                <w:tcPr>
                  <w:tcW w:w="0" w:type="auto"/>
                  <w:tcBorders>
                    <w:tl2br w:val="nil"/>
                    <w:tr2bl w:val="nil"/>
                  </w:tcBorders>
                  <w:shd w:val="clear" w:color="auto" w:fill="auto"/>
                  <w:vAlign w:val="center"/>
                </w:tcPr>
                <w:p w14:paraId="08101796">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color w:val="auto"/>
                      <w:spacing w:val="4"/>
                      <w:sz w:val="21"/>
                      <w:lang w:val="en-US" w:eastAsia="zh-CN"/>
                    </w:rPr>
                  </w:pPr>
                  <w:r>
                    <w:rPr>
                      <w:rFonts w:hint="eastAsia" w:ascii="Times New Roman" w:hAnsi="Times New Roman"/>
                      <w:color w:val="auto"/>
                      <w:spacing w:val="4"/>
                      <w:sz w:val="21"/>
                      <w:lang w:val="en-US" w:eastAsia="zh-CN"/>
                    </w:rPr>
                    <w:t>喷漆固化废气</w:t>
                  </w:r>
                </w:p>
              </w:tc>
              <w:tc>
                <w:tcPr>
                  <w:tcW w:w="441" w:type="dxa"/>
                  <w:tcBorders>
                    <w:tl2br w:val="nil"/>
                    <w:tr2bl w:val="nil"/>
                  </w:tcBorders>
                  <w:shd w:val="clear" w:color="auto" w:fill="auto"/>
                  <w:vAlign w:val="center"/>
                </w:tcPr>
                <w:p w14:paraId="742E697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cs="Times New Roman"/>
                      <w:color w:val="auto"/>
                      <w:spacing w:val="1"/>
                      <w:position w:val="2"/>
                      <w:sz w:val="21"/>
                      <w:szCs w:val="20"/>
                      <w:lang w:val="en-US" w:eastAsia="zh-CN"/>
                    </w:rPr>
                  </w:pPr>
                  <w:r>
                    <w:rPr>
                      <w:rFonts w:hint="eastAsia" w:cs="Times New Roman"/>
                      <w:color w:val="auto"/>
                      <w:spacing w:val="1"/>
                      <w:position w:val="2"/>
                      <w:sz w:val="21"/>
                      <w:szCs w:val="20"/>
                      <w:lang w:val="en-US" w:eastAsia="zh-CN"/>
                    </w:rPr>
                    <w:t>G10</w:t>
                  </w:r>
                </w:p>
              </w:tc>
              <w:tc>
                <w:tcPr>
                  <w:tcW w:w="3047" w:type="dxa"/>
                  <w:tcBorders>
                    <w:tl2br w:val="nil"/>
                    <w:tr2bl w:val="nil"/>
                  </w:tcBorders>
                  <w:shd w:val="clear" w:color="auto" w:fill="auto"/>
                  <w:vAlign w:val="center"/>
                </w:tcPr>
                <w:p w14:paraId="70A311F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s="Times New Roman"/>
                      <w:color w:val="auto"/>
                      <w:position w:val="1"/>
                      <w:sz w:val="21"/>
                      <w:lang w:val="en-US" w:eastAsia="zh-CN"/>
                    </w:rPr>
                  </w:pPr>
                  <w:r>
                    <w:rPr>
                      <w:rFonts w:hint="eastAsia" w:ascii="Times New Roman" w:hAnsi="Times New Roman" w:cs="Times New Roman"/>
                      <w:color w:val="auto"/>
                      <w:position w:val="1"/>
                      <w:sz w:val="21"/>
                      <w:lang w:val="en-US" w:eastAsia="zh-CN"/>
                    </w:rPr>
                    <w:t>非甲烷总烃</w:t>
                  </w:r>
                </w:p>
              </w:tc>
            </w:tr>
            <w:tr w14:paraId="075E6E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793" w:hRule="atLeast"/>
                <w:tblHeader/>
              </w:trPr>
              <w:tc>
                <w:tcPr>
                  <w:tcW w:w="0" w:type="auto"/>
                  <w:vMerge w:val="restart"/>
                  <w:tcBorders>
                    <w:tl2br w:val="nil"/>
                    <w:tr2bl w:val="nil"/>
                  </w:tcBorders>
                  <w:vAlign w:val="center"/>
                </w:tcPr>
                <w:p w14:paraId="4490E352">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2636A12">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3DBA5526">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EF7D3CC">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387987F3">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7AB4693E">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10"/>
                      <w:sz w:val="21"/>
                    </w:rPr>
                    <w:t>2</w:t>
                  </w:r>
                </w:p>
              </w:tc>
              <w:tc>
                <w:tcPr>
                  <w:tcW w:w="0" w:type="auto"/>
                  <w:vMerge w:val="restart"/>
                  <w:tcBorders>
                    <w:tl2br w:val="nil"/>
                    <w:tr2bl w:val="nil"/>
                  </w:tcBorders>
                  <w:shd w:val="clear" w:color="auto" w:fill="auto"/>
                  <w:vAlign w:val="center"/>
                </w:tcPr>
                <w:p w14:paraId="5894550B">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auto"/>
                      <w:spacing w:val="-8"/>
                      <w:sz w:val="21"/>
                    </w:rPr>
                    <w:t>废</w:t>
                  </w:r>
                  <w:r>
                    <w:rPr>
                      <w:rFonts w:hint="eastAsia" w:ascii="Times New Roman" w:hAnsi="Times New Roman" w:eastAsia="宋体"/>
                      <w:color w:val="auto"/>
                      <w:spacing w:val="-8"/>
                      <w:sz w:val="21"/>
                      <w:lang w:val="en-US" w:eastAsia="zh-CN"/>
                    </w:rPr>
                    <w:t>水</w:t>
                  </w:r>
                </w:p>
              </w:tc>
              <w:tc>
                <w:tcPr>
                  <w:tcW w:w="0" w:type="auto"/>
                  <w:vMerge w:val="restart"/>
                  <w:tcBorders>
                    <w:tl2br w:val="nil"/>
                    <w:tr2bl w:val="nil"/>
                  </w:tcBorders>
                  <w:shd w:val="clear" w:color="auto" w:fill="auto"/>
                  <w:vAlign w:val="center"/>
                </w:tcPr>
                <w:p w14:paraId="0CA051D9">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eastAsia="zh-CN"/>
                    </w:rPr>
                  </w:pPr>
                  <w:r>
                    <w:rPr>
                      <w:rFonts w:ascii="Times New Roman" w:hAnsi="Times New Roman" w:eastAsia="宋体"/>
                      <w:color w:val="auto"/>
                      <w:spacing w:val="-2"/>
                      <w:sz w:val="21"/>
                    </w:rPr>
                    <w:t>电泳线</w:t>
                  </w:r>
                </w:p>
              </w:tc>
              <w:tc>
                <w:tcPr>
                  <w:tcW w:w="0" w:type="auto"/>
                  <w:tcBorders>
                    <w:tl2br w:val="nil"/>
                    <w:tr2bl w:val="nil"/>
                  </w:tcBorders>
                  <w:shd w:val="clear" w:color="auto" w:fill="auto"/>
                  <w:vAlign w:val="center"/>
                </w:tcPr>
                <w:p w14:paraId="2821665F">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4"/>
                      <w:sz w:val="21"/>
                    </w:rPr>
                  </w:pPr>
                  <w:r>
                    <w:rPr>
                      <w:rFonts w:hint="eastAsia" w:ascii="Times New Roman" w:hAnsi="Times New Roman"/>
                      <w:color w:val="auto"/>
                      <w:spacing w:val="6"/>
                      <w:sz w:val="21"/>
                      <w:lang w:val="en-US" w:eastAsia="zh-CN"/>
                    </w:rPr>
                    <w:t>纯</w:t>
                  </w:r>
                  <w:r>
                    <w:rPr>
                      <w:rFonts w:ascii="Times New Roman" w:hAnsi="Times New Roman" w:eastAsia="宋体"/>
                      <w:color w:val="auto"/>
                      <w:spacing w:val="6"/>
                      <w:sz w:val="21"/>
                    </w:rPr>
                    <w:t>水洗废水</w:t>
                  </w:r>
                </w:p>
              </w:tc>
              <w:tc>
                <w:tcPr>
                  <w:tcW w:w="441" w:type="dxa"/>
                  <w:tcBorders>
                    <w:tl2br w:val="nil"/>
                    <w:tr2bl w:val="nil"/>
                  </w:tcBorders>
                  <w:shd w:val="clear" w:color="auto" w:fill="auto"/>
                  <w:vAlign w:val="center"/>
                </w:tcPr>
                <w:p w14:paraId="41D6E8E0">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14"/>
                      <w:position w:val="2"/>
                      <w:sz w:val="21"/>
                      <w:szCs w:val="20"/>
                    </w:rPr>
                    <w:t>W</w:t>
                  </w:r>
                  <w:r>
                    <w:rPr>
                      <w:rFonts w:hint="eastAsia" w:cs="Times New Roman"/>
                      <w:color w:val="auto"/>
                      <w:spacing w:val="14"/>
                      <w:position w:val="2"/>
                      <w:sz w:val="21"/>
                      <w:szCs w:val="20"/>
                      <w:lang w:val="en-US" w:eastAsia="zh-CN"/>
                    </w:rPr>
                    <w:t>6</w:t>
                  </w:r>
                </w:p>
              </w:tc>
              <w:tc>
                <w:tcPr>
                  <w:tcW w:w="3047" w:type="dxa"/>
                  <w:tcBorders>
                    <w:tl2br w:val="nil"/>
                    <w:tr2bl w:val="nil"/>
                  </w:tcBorders>
                  <w:shd w:val="clear" w:color="auto" w:fill="auto"/>
                  <w:vAlign w:val="center"/>
                </w:tcPr>
                <w:p w14:paraId="4AC93A6B">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z w:val="21"/>
                    </w:rPr>
                    <w:t>类</w:t>
                  </w:r>
                </w:p>
              </w:tc>
            </w:tr>
            <w:tr w14:paraId="5BEC6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0" w:type="auto"/>
                  <w:vMerge w:val="continue"/>
                  <w:tcBorders>
                    <w:tl2br w:val="nil"/>
                    <w:tr2bl w:val="nil"/>
                  </w:tcBorders>
                  <w:vAlign w:val="center"/>
                </w:tcPr>
                <w:p w14:paraId="16A8C94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23A2407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highlight w:val="none"/>
                      <w:lang w:val="en-US" w:eastAsia="zh-CN"/>
                    </w:rPr>
                  </w:pPr>
                </w:p>
              </w:tc>
              <w:tc>
                <w:tcPr>
                  <w:tcW w:w="0" w:type="auto"/>
                  <w:vMerge w:val="continue"/>
                  <w:tcBorders>
                    <w:tl2br w:val="nil"/>
                    <w:tr2bl w:val="nil"/>
                  </w:tcBorders>
                  <w:vAlign w:val="center"/>
                </w:tcPr>
                <w:p w14:paraId="3C56F5AA">
                  <w:pPr>
                    <w:pStyle w:val="9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olor w:val="auto"/>
                      <w:sz w:val="21"/>
                      <w:highlight w:val="none"/>
                      <w:lang w:val="en-US" w:eastAsia="zh-CN"/>
                    </w:rPr>
                  </w:pPr>
                </w:p>
              </w:tc>
              <w:tc>
                <w:tcPr>
                  <w:tcW w:w="0" w:type="auto"/>
                  <w:tcBorders>
                    <w:tl2br w:val="nil"/>
                    <w:tr2bl w:val="nil"/>
                  </w:tcBorders>
                  <w:vAlign w:val="center"/>
                </w:tcPr>
                <w:p w14:paraId="3553EE09">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r>
                    <w:rPr>
                      <w:rFonts w:ascii="Times New Roman" w:hAnsi="Times New Roman" w:eastAsia="宋体"/>
                      <w:color w:val="auto"/>
                      <w:spacing w:val="7"/>
                      <w:sz w:val="21"/>
                    </w:rPr>
                    <w:t>脱脂废水</w:t>
                  </w:r>
                </w:p>
              </w:tc>
              <w:tc>
                <w:tcPr>
                  <w:tcW w:w="441" w:type="dxa"/>
                  <w:tcBorders>
                    <w:tl2br w:val="nil"/>
                    <w:tr2bl w:val="nil"/>
                  </w:tcBorders>
                  <w:shd w:val="clear" w:color="auto" w:fill="auto"/>
                  <w:vAlign w:val="center"/>
                </w:tcPr>
                <w:p w14:paraId="6708C64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position w:val="2"/>
                      <w:sz w:val="21"/>
                      <w:szCs w:val="20"/>
                    </w:rPr>
                    <w:t>W</w:t>
                  </w:r>
                  <w:r>
                    <w:rPr>
                      <w:rFonts w:hint="eastAsia" w:cs="Times New Roman"/>
                      <w:color w:val="auto"/>
                      <w:spacing w:val="4"/>
                      <w:position w:val="2"/>
                      <w:sz w:val="21"/>
                      <w:szCs w:val="20"/>
                      <w:lang w:val="en-US" w:eastAsia="zh-CN"/>
                    </w:rPr>
                    <w:t>1</w:t>
                  </w:r>
                </w:p>
              </w:tc>
              <w:tc>
                <w:tcPr>
                  <w:tcW w:w="3047" w:type="dxa"/>
                  <w:tcBorders>
                    <w:tl2br w:val="nil"/>
                    <w:tr2bl w:val="nil"/>
                  </w:tcBorders>
                  <w:shd w:val="clear" w:color="auto" w:fill="auto"/>
                  <w:vAlign w:val="center"/>
                </w:tcPr>
                <w:p w14:paraId="4E00E760">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pacing w:val="14"/>
                      <w:sz w:val="21"/>
                    </w:rPr>
                    <w:t>类、</w:t>
                  </w:r>
                  <w:r>
                    <w:rPr>
                      <w:rFonts w:ascii="Times New Roman" w:hAnsi="Times New Roman" w:eastAsia="宋体" w:cs="Times New Roman"/>
                      <w:color w:val="auto"/>
                      <w:sz w:val="21"/>
                    </w:rPr>
                    <w:t>LAS</w:t>
                  </w:r>
                </w:p>
              </w:tc>
            </w:tr>
            <w:tr w14:paraId="4DC938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9" w:hRule="atLeast"/>
                <w:tblHeader/>
              </w:trPr>
              <w:tc>
                <w:tcPr>
                  <w:tcW w:w="0" w:type="auto"/>
                  <w:vMerge w:val="continue"/>
                  <w:tcBorders>
                    <w:tl2br w:val="nil"/>
                    <w:tr2bl w:val="nil"/>
                  </w:tcBorders>
                  <w:vAlign w:val="center"/>
                </w:tcPr>
                <w:p w14:paraId="6E05745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40F9D1A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5D700CBE">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eastAsia="zh-CN"/>
                    </w:rPr>
                  </w:pPr>
                </w:p>
              </w:tc>
              <w:tc>
                <w:tcPr>
                  <w:tcW w:w="0" w:type="auto"/>
                  <w:vMerge w:val="restart"/>
                  <w:tcBorders>
                    <w:tl2br w:val="nil"/>
                    <w:tr2bl w:val="nil"/>
                  </w:tcBorders>
                  <w:vAlign w:val="center"/>
                </w:tcPr>
                <w:p w14:paraId="4F489ED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BC3A82A">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脱脂后水洗</w:t>
                  </w:r>
                </w:p>
                <w:p w14:paraId="377F052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5"/>
                      <w:sz w:val="21"/>
                    </w:rPr>
                    <w:t>废水</w:t>
                  </w:r>
                </w:p>
              </w:tc>
              <w:tc>
                <w:tcPr>
                  <w:tcW w:w="441" w:type="dxa"/>
                  <w:tcBorders>
                    <w:tl2br w:val="nil"/>
                    <w:tr2bl w:val="nil"/>
                  </w:tcBorders>
                  <w:shd w:val="clear" w:color="auto" w:fill="auto"/>
                  <w:vAlign w:val="center"/>
                </w:tcPr>
                <w:p w14:paraId="35221DF3">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position w:val="2"/>
                      <w:sz w:val="21"/>
                      <w:szCs w:val="20"/>
                    </w:rPr>
                    <w:t>W</w:t>
                  </w:r>
                  <w:r>
                    <w:rPr>
                      <w:rFonts w:hint="eastAsia" w:cs="Times New Roman"/>
                      <w:color w:val="auto"/>
                      <w:spacing w:val="4"/>
                      <w:position w:val="2"/>
                      <w:sz w:val="21"/>
                      <w:szCs w:val="20"/>
                      <w:lang w:val="en-US" w:eastAsia="zh-CN"/>
                    </w:rPr>
                    <w:t>2</w:t>
                  </w:r>
                </w:p>
              </w:tc>
              <w:tc>
                <w:tcPr>
                  <w:tcW w:w="3047" w:type="dxa"/>
                  <w:tcBorders>
                    <w:tl2br w:val="nil"/>
                    <w:tr2bl w:val="nil"/>
                  </w:tcBorders>
                  <w:shd w:val="clear" w:color="auto" w:fill="auto"/>
                  <w:vAlign w:val="center"/>
                </w:tcPr>
                <w:p w14:paraId="31D8FB30">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pacing w:val="14"/>
                      <w:sz w:val="21"/>
                    </w:rPr>
                    <w:t>类、</w:t>
                  </w:r>
                  <w:r>
                    <w:rPr>
                      <w:rFonts w:ascii="Times New Roman" w:hAnsi="Times New Roman" w:eastAsia="宋体" w:cs="Times New Roman"/>
                      <w:color w:val="auto"/>
                      <w:sz w:val="21"/>
                    </w:rPr>
                    <w:t>LAS</w:t>
                  </w:r>
                </w:p>
              </w:tc>
            </w:tr>
            <w:tr w14:paraId="5DB671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39" w:hRule="atLeast"/>
                <w:tblHeader/>
              </w:trPr>
              <w:tc>
                <w:tcPr>
                  <w:tcW w:w="0" w:type="auto"/>
                  <w:vMerge w:val="continue"/>
                  <w:tcBorders>
                    <w:tl2br w:val="nil"/>
                    <w:tr2bl w:val="nil"/>
                  </w:tcBorders>
                  <w:vAlign w:val="center"/>
                </w:tcPr>
                <w:p w14:paraId="73C30282">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tc>
              <w:tc>
                <w:tcPr>
                  <w:tcW w:w="0" w:type="auto"/>
                  <w:vMerge w:val="continue"/>
                  <w:tcBorders>
                    <w:tl2br w:val="nil"/>
                    <w:tr2bl w:val="nil"/>
                  </w:tcBorders>
                  <w:vAlign w:val="center"/>
                </w:tcPr>
                <w:p w14:paraId="6621C28A">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tc>
              <w:tc>
                <w:tcPr>
                  <w:tcW w:w="0" w:type="auto"/>
                  <w:vMerge w:val="continue"/>
                  <w:tcBorders>
                    <w:tl2br w:val="nil"/>
                    <w:tr2bl w:val="nil"/>
                  </w:tcBorders>
                  <w:vAlign w:val="center"/>
                </w:tcPr>
                <w:p w14:paraId="45A9396B">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tc>
              <w:tc>
                <w:tcPr>
                  <w:tcW w:w="0" w:type="auto"/>
                  <w:vMerge w:val="continue"/>
                  <w:tcBorders>
                    <w:tl2br w:val="nil"/>
                    <w:tr2bl w:val="nil"/>
                  </w:tcBorders>
                  <w:vAlign w:val="center"/>
                </w:tcPr>
                <w:p w14:paraId="66107F4C">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tc>
              <w:tc>
                <w:tcPr>
                  <w:tcW w:w="441" w:type="dxa"/>
                  <w:tcBorders>
                    <w:tl2br w:val="nil"/>
                    <w:tr2bl w:val="nil"/>
                  </w:tcBorders>
                  <w:shd w:val="clear" w:color="auto" w:fill="auto"/>
                  <w:vAlign w:val="center"/>
                </w:tcPr>
                <w:p w14:paraId="5EFBDC7B">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position w:val="2"/>
                      <w:sz w:val="21"/>
                      <w:szCs w:val="20"/>
                    </w:rPr>
                    <w:t>W</w:t>
                  </w:r>
                  <w:r>
                    <w:rPr>
                      <w:rFonts w:hint="eastAsia" w:cs="Times New Roman"/>
                      <w:color w:val="auto"/>
                      <w:spacing w:val="4"/>
                      <w:position w:val="2"/>
                      <w:sz w:val="21"/>
                      <w:szCs w:val="20"/>
                      <w:lang w:val="en-US" w:eastAsia="zh-CN"/>
                    </w:rPr>
                    <w:t>3</w:t>
                  </w:r>
                </w:p>
              </w:tc>
              <w:tc>
                <w:tcPr>
                  <w:tcW w:w="3047" w:type="dxa"/>
                  <w:tcBorders>
                    <w:tl2br w:val="nil"/>
                    <w:tr2bl w:val="nil"/>
                  </w:tcBorders>
                  <w:shd w:val="clear" w:color="auto" w:fill="auto"/>
                  <w:vAlign w:val="center"/>
                </w:tcPr>
                <w:p w14:paraId="12E8D6BF">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pacing w:val="14"/>
                      <w:sz w:val="21"/>
                    </w:rPr>
                    <w:t>类、</w:t>
                  </w:r>
                  <w:r>
                    <w:rPr>
                      <w:rFonts w:ascii="Times New Roman" w:hAnsi="Times New Roman" w:eastAsia="宋体" w:cs="Times New Roman"/>
                      <w:color w:val="auto"/>
                      <w:sz w:val="21"/>
                    </w:rPr>
                    <w:t>LAS</w:t>
                  </w:r>
                </w:p>
              </w:tc>
            </w:tr>
            <w:tr w14:paraId="18A8E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89" w:hRule="atLeast"/>
                <w:tblHeader/>
              </w:trPr>
              <w:tc>
                <w:tcPr>
                  <w:tcW w:w="0" w:type="auto"/>
                  <w:vMerge w:val="continue"/>
                  <w:tcBorders>
                    <w:tl2br w:val="nil"/>
                    <w:tr2bl w:val="nil"/>
                  </w:tcBorders>
                  <w:vAlign w:val="center"/>
                </w:tcPr>
                <w:p w14:paraId="09FA104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0AEF7E6F">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highlight w:val="none"/>
                    </w:rPr>
                  </w:pPr>
                </w:p>
              </w:tc>
              <w:tc>
                <w:tcPr>
                  <w:tcW w:w="0" w:type="auto"/>
                  <w:vMerge w:val="continue"/>
                  <w:tcBorders>
                    <w:tl2br w:val="nil"/>
                    <w:tr2bl w:val="nil"/>
                  </w:tcBorders>
                  <w:vAlign w:val="center"/>
                </w:tcPr>
                <w:p w14:paraId="0CA43D6F">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eastAsia="zh-CN"/>
                    </w:rPr>
                  </w:pPr>
                </w:p>
              </w:tc>
              <w:tc>
                <w:tcPr>
                  <w:tcW w:w="0" w:type="auto"/>
                  <w:vMerge w:val="restart"/>
                  <w:tcBorders>
                    <w:tl2br w:val="nil"/>
                    <w:tr2bl w:val="nil"/>
                  </w:tcBorders>
                  <w:vAlign w:val="center"/>
                </w:tcPr>
                <w:p w14:paraId="40F3F6DF">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291FD18">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8"/>
                      <w:sz w:val="21"/>
                    </w:rPr>
                    <w:t>硅烷后水洗</w:t>
                  </w:r>
                </w:p>
                <w:p w14:paraId="03B36F8E">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5"/>
                      <w:sz w:val="21"/>
                    </w:rPr>
                    <w:t>废水</w:t>
                  </w:r>
                </w:p>
              </w:tc>
              <w:tc>
                <w:tcPr>
                  <w:tcW w:w="441" w:type="dxa"/>
                  <w:tcBorders>
                    <w:tl2br w:val="nil"/>
                    <w:tr2bl w:val="nil"/>
                  </w:tcBorders>
                  <w:shd w:val="clear" w:color="auto" w:fill="auto"/>
                  <w:vAlign w:val="center"/>
                </w:tcPr>
                <w:p w14:paraId="53CF919A">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sz w:val="21"/>
                      <w:szCs w:val="20"/>
                    </w:rPr>
                    <w:t>W</w:t>
                  </w:r>
                  <w:r>
                    <w:rPr>
                      <w:rFonts w:hint="eastAsia" w:cs="Times New Roman"/>
                      <w:color w:val="auto"/>
                      <w:spacing w:val="4"/>
                      <w:sz w:val="21"/>
                      <w:szCs w:val="20"/>
                      <w:lang w:val="en-US" w:eastAsia="zh-CN"/>
                    </w:rPr>
                    <w:t>4</w:t>
                  </w:r>
                </w:p>
              </w:tc>
              <w:tc>
                <w:tcPr>
                  <w:tcW w:w="3047" w:type="dxa"/>
                  <w:tcBorders>
                    <w:tl2br w:val="nil"/>
                    <w:tr2bl w:val="nil"/>
                  </w:tcBorders>
                  <w:shd w:val="clear" w:color="auto" w:fill="auto"/>
                  <w:vAlign w:val="center"/>
                </w:tcPr>
                <w:p w14:paraId="4D83F7A6">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s="Times New Roman"/>
                      <w:color w:val="auto"/>
                      <w:spacing w:val="-3"/>
                      <w:sz w:val="21"/>
                    </w:rPr>
                    <w:t>pH</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CODcr</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BOD</w:t>
                  </w:r>
                  <w:r>
                    <w:rPr>
                      <w:rFonts w:ascii="Times New Roman" w:hAnsi="Times New Roman" w:eastAsia="宋体" w:cs="Times New Roman"/>
                      <w:color w:val="auto"/>
                      <w:spacing w:val="-3"/>
                      <w:position w:val="-1"/>
                      <w:sz w:val="21"/>
                      <w:szCs w:val="13"/>
                      <w:vertAlign w:val="subscript"/>
                    </w:rPr>
                    <w:t>5</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NH</w:t>
                  </w:r>
                  <w:r>
                    <w:rPr>
                      <w:rFonts w:ascii="Times New Roman" w:hAnsi="Times New Roman" w:eastAsia="宋体" w:cs="Times New Roman"/>
                      <w:color w:val="auto"/>
                      <w:spacing w:val="-3"/>
                      <w:sz w:val="21"/>
                      <w:szCs w:val="13"/>
                      <w:vertAlign w:val="subscript"/>
                    </w:rPr>
                    <w:t>3</w:t>
                  </w:r>
                  <w:r>
                    <w:rPr>
                      <w:rFonts w:ascii="Times New Roman" w:hAnsi="Times New Roman" w:eastAsia="宋体" w:cs="Times New Roman"/>
                      <w:color w:val="auto"/>
                      <w:spacing w:val="-3"/>
                      <w:sz w:val="21"/>
                    </w:rPr>
                    <w:t>-N</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SS</w:t>
                  </w:r>
                  <w:r>
                    <w:rPr>
                      <w:rFonts w:ascii="Times New Roman" w:hAnsi="Times New Roman" w:eastAsia="宋体"/>
                      <w:color w:val="auto"/>
                      <w:spacing w:val="-3"/>
                      <w:sz w:val="21"/>
                    </w:rPr>
                    <w:t>、</w:t>
                  </w:r>
                  <w:r>
                    <w:rPr>
                      <w:rFonts w:ascii="Times New Roman" w:hAnsi="Times New Roman" w:eastAsia="宋体" w:cs="Times New Roman"/>
                      <w:color w:val="auto"/>
                      <w:sz w:val="21"/>
                    </w:rPr>
                    <w:t>TN</w:t>
                  </w:r>
                </w:p>
              </w:tc>
            </w:tr>
            <w:tr w14:paraId="5E6627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blHeader/>
              </w:trPr>
              <w:tc>
                <w:tcPr>
                  <w:tcW w:w="0" w:type="auto"/>
                  <w:vMerge w:val="continue"/>
                  <w:tcBorders>
                    <w:tl2br w:val="nil"/>
                    <w:tr2bl w:val="nil"/>
                  </w:tcBorders>
                  <w:vAlign w:val="center"/>
                </w:tcPr>
                <w:p w14:paraId="03B33AB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rPr>
                  </w:pPr>
                </w:p>
              </w:tc>
              <w:tc>
                <w:tcPr>
                  <w:tcW w:w="0" w:type="auto"/>
                  <w:vMerge w:val="continue"/>
                  <w:tcBorders>
                    <w:tl2br w:val="nil"/>
                    <w:tr2bl w:val="nil"/>
                  </w:tcBorders>
                  <w:vAlign w:val="center"/>
                </w:tcPr>
                <w:p w14:paraId="52E36E8C">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rPr>
                  </w:pPr>
                </w:p>
              </w:tc>
              <w:tc>
                <w:tcPr>
                  <w:tcW w:w="0" w:type="auto"/>
                  <w:vMerge w:val="continue"/>
                  <w:tcBorders>
                    <w:tl2br w:val="nil"/>
                    <w:tr2bl w:val="nil"/>
                  </w:tcBorders>
                  <w:vAlign w:val="center"/>
                </w:tcPr>
                <w:p w14:paraId="7F2B5871">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rPr>
                  </w:pPr>
                </w:p>
              </w:tc>
              <w:tc>
                <w:tcPr>
                  <w:tcW w:w="0" w:type="auto"/>
                  <w:vMerge w:val="continue"/>
                  <w:tcBorders>
                    <w:tl2br w:val="nil"/>
                    <w:tr2bl w:val="nil"/>
                  </w:tcBorders>
                  <w:vAlign w:val="center"/>
                </w:tcPr>
                <w:p w14:paraId="3F656933">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rPr>
                  </w:pPr>
                </w:p>
              </w:tc>
              <w:tc>
                <w:tcPr>
                  <w:tcW w:w="441" w:type="dxa"/>
                  <w:tcBorders>
                    <w:tl2br w:val="nil"/>
                    <w:tr2bl w:val="nil"/>
                  </w:tcBorders>
                  <w:shd w:val="clear" w:color="auto" w:fill="auto"/>
                  <w:vAlign w:val="center"/>
                </w:tcPr>
                <w:p w14:paraId="022DE374">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4"/>
                      <w:position w:val="2"/>
                      <w:sz w:val="21"/>
                      <w:szCs w:val="20"/>
                    </w:rPr>
                    <w:t>W</w:t>
                  </w:r>
                  <w:r>
                    <w:rPr>
                      <w:rFonts w:hint="eastAsia" w:cs="Times New Roman"/>
                      <w:color w:val="auto"/>
                      <w:spacing w:val="4"/>
                      <w:position w:val="2"/>
                      <w:sz w:val="21"/>
                      <w:szCs w:val="20"/>
                      <w:lang w:val="en-US" w:eastAsia="zh-CN"/>
                    </w:rPr>
                    <w:t>5</w:t>
                  </w:r>
                </w:p>
              </w:tc>
              <w:tc>
                <w:tcPr>
                  <w:tcW w:w="3047" w:type="dxa"/>
                  <w:tcBorders>
                    <w:tl2br w:val="nil"/>
                    <w:tr2bl w:val="nil"/>
                  </w:tcBorders>
                  <w:shd w:val="clear" w:color="auto" w:fill="auto"/>
                  <w:vAlign w:val="center"/>
                </w:tcPr>
                <w:p w14:paraId="30E00D7A">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s="宋体"/>
                      <w:color w:val="auto"/>
                      <w:kern w:val="2"/>
                      <w:sz w:val="21"/>
                      <w:szCs w:val="24"/>
                      <w:lang w:val="en-US" w:eastAsia="zh-CN" w:bidi="ar-SA"/>
                    </w:rPr>
                  </w:pPr>
                  <w:r>
                    <w:rPr>
                      <w:rFonts w:ascii="Times New Roman" w:hAnsi="Times New Roman" w:eastAsia="宋体" w:cs="Times New Roman"/>
                      <w:color w:val="auto"/>
                      <w:spacing w:val="-3"/>
                      <w:sz w:val="21"/>
                    </w:rPr>
                    <w:t>pH</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CODcr</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BOD</w:t>
                  </w:r>
                  <w:r>
                    <w:rPr>
                      <w:rFonts w:ascii="Times New Roman" w:hAnsi="Times New Roman" w:eastAsia="宋体" w:cs="Times New Roman"/>
                      <w:color w:val="auto"/>
                      <w:spacing w:val="-3"/>
                      <w:position w:val="-1"/>
                      <w:sz w:val="21"/>
                      <w:szCs w:val="13"/>
                      <w:vertAlign w:val="subscript"/>
                    </w:rPr>
                    <w:t>5</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NH</w:t>
                  </w:r>
                  <w:r>
                    <w:rPr>
                      <w:rFonts w:ascii="Times New Roman" w:hAnsi="Times New Roman" w:eastAsia="宋体" w:cs="Times New Roman"/>
                      <w:color w:val="auto"/>
                      <w:spacing w:val="-3"/>
                      <w:sz w:val="21"/>
                      <w:szCs w:val="13"/>
                      <w:vertAlign w:val="subscript"/>
                    </w:rPr>
                    <w:t>3</w:t>
                  </w:r>
                  <w:r>
                    <w:rPr>
                      <w:rFonts w:ascii="Times New Roman" w:hAnsi="Times New Roman" w:eastAsia="宋体" w:cs="Times New Roman"/>
                      <w:color w:val="auto"/>
                      <w:spacing w:val="-3"/>
                      <w:sz w:val="21"/>
                    </w:rPr>
                    <w:t>-N</w:t>
                  </w:r>
                  <w:r>
                    <w:rPr>
                      <w:rFonts w:ascii="Times New Roman" w:hAnsi="Times New Roman" w:eastAsia="宋体"/>
                      <w:color w:val="auto"/>
                      <w:spacing w:val="-3"/>
                      <w:sz w:val="21"/>
                    </w:rPr>
                    <w:t>、</w:t>
                  </w:r>
                  <w:r>
                    <w:rPr>
                      <w:rFonts w:ascii="Times New Roman" w:hAnsi="Times New Roman" w:eastAsia="宋体" w:cs="Times New Roman"/>
                      <w:color w:val="auto"/>
                      <w:spacing w:val="-3"/>
                      <w:sz w:val="21"/>
                    </w:rPr>
                    <w:t>SS</w:t>
                  </w:r>
                  <w:r>
                    <w:rPr>
                      <w:rFonts w:ascii="Times New Roman" w:hAnsi="Times New Roman" w:eastAsia="宋体"/>
                      <w:color w:val="auto"/>
                      <w:spacing w:val="-3"/>
                      <w:sz w:val="21"/>
                    </w:rPr>
                    <w:t>、</w:t>
                  </w:r>
                  <w:r>
                    <w:rPr>
                      <w:rFonts w:ascii="Times New Roman" w:hAnsi="Times New Roman" w:eastAsia="宋体" w:cs="Times New Roman"/>
                      <w:color w:val="auto"/>
                      <w:sz w:val="21"/>
                    </w:rPr>
                    <w:t>TN</w:t>
                  </w:r>
                </w:p>
              </w:tc>
            </w:tr>
            <w:tr w14:paraId="2530D8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70" w:hRule="atLeast"/>
                <w:tblHeader/>
              </w:trPr>
              <w:tc>
                <w:tcPr>
                  <w:tcW w:w="0" w:type="auto"/>
                  <w:vMerge w:val="continue"/>
                  <w:tcBorders>
                    <w:tl2br w:val="nil"/>
                    <w:tr2bl w:val="nil"/>
                  </w:tcBorders>
                  <w:vAlign w:val="center"/>
                </w:tcPr>
                <w:p w14:paraId="70603DE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26F2C30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highlight w:val="none"/>
                    </w:rPr>
                  </w:pPr>
                </w:p>
              </w:tc>
              <w:tc>
                <w:tcPr>
                  <w:tcW w:w="0" w:type="auto"/>
                  <w:tcBorders>
                    <w:tl2br w:val="nil"/>
                    <w:tr2bl w:val="nil"/>
                  </w:tcBorders>
                  <w:shd w:val="clear" w:color="auto" w:fill="auto"/>
                  <w:vAlign w:val="center"/>
                </w:tcPr>
                <w:p w14:paraId="5F778820">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6"/>
                      <w:sz w:val="21"/>
                    </w:rPr>
                    <w:t>纯水制备</w:t>
                  </w:r>
                </w:p>
              </w:tc>
              <w:tc>
                <w:tcPr>
                  <w:tcW w:w="0" w:type="auto"/>
                  <w:tcBorders>
                    <w:tl2br w:val="nil"/>
                    <w:tr2bl w:val="nil"/>
                  </w:tcBorders>
                  <w:shd w:val="clear" w:color="auto" w:fill="auto"/>
                  <w:vAlign w:val="center"/>
                </w:tcPr>
                <w:p w14:paraId="31CFC9AF">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7"/>
                      <w:sz w:val="21"/>
                    </w:rPr>
                    <w:t>纯水制备尾</w:t>
                  </w:r>
                </w:p>
                <w:p w14:paraId="41F8D598">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z w:val="21"/>
                    </w:rPr>
                    <w:t>水</w:t>
                  </w:r>
                </w:p>
              </w:tc>
              <w:tc>
                <w:tcPr>
                  <w:tcW w:w="441" w:type="dxa"/>
                  <w:tcBorders>
                    <w:tl2br w:val="nil"/>
                    <w:tr2bl w:val="nil"/>
                  </w:tcBorders>
                  <w:shd w:val="clear" w:color="auto" w:fill="auto"/>
                  <w:vAlign w:val="center"/>
                </w:tcPr>
                <w:p w14:paraId="4E0AD39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en-US" w:bidi="ar-SA"/>
                    </w:rPr>
                  </w:pPr>
                  <w:r>
                    <w:rPr>
                      <w:rFonts w:ascii="Times New Roman" w:hAnsi="Times New Roman" w:eastAsia="宋体" w:cs="Times New Roman"/>
                      <w:color w:val="auto"/>
                      <w:spacing w:val="4"/>
                      <w:sz w:val="21"/>
                      <w:szCs w:val="20"/>
                    </w:rPr>
                    <w:t>W7</w:t>
                  </w:r>
                </w:p>
              </w:tc>
              <w:tc>
                <w:tcPr>
                  <w:tcW w:w="3047" w:type="dxa"/>
                  <w:tcBorders>
                    <w:tl2br w:val="nil"/>
                    <w:tr2bl w:val="nil"/>
                  </w:tcBorders>
                  <w:shd w:val="clear" w:color="auto" w:fill="auto"/>
                  <w:vAlign w:val="center"/>
                </w:tcPr>
                <w:p w14:paraId="1E0A2945">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1"/>
                    </w:rPr>
                    <w:t>pH</w:t>
                  </w:r>
                  <w:r>
                    <w:rPr>
                      <w:rFonts w:ascii="Times New Roman" w:hAnsi="Times New Roman" w:eastAsia="宋体"/>
                      <w:color w:val="auto"/>
                      <w:spacing w:val="13"/>
                      <w:sz w:val="21"/>
                    </w:rPr>
                    <w:t>、</w:t>
                  </w:r>
                  <w:r>
                    <w:rPr>
                      <w:rFonts w:ascii="Times New Roman" w:hAnsi="Times New Roman" w:eastAsia="宋体" w:cs="Times New Roman"/>
                      <w:color w:val="auto"/>
                      <w:sz w:val="21"/>
                    </w:rPr>
                    <w:t>CODcr</w:t>
                  </w:r>
                  <w:r>
                    <w:rPr>
                      <w:rFonts w:ascii="Times New Roman" w:hAnsi="Times New Roman" w:eastAsia="宋体"/>
                      <w:color w:val="auto"/>
                      <w:spacing w:val="13"/>
                      <w:sz w:val="21"/>
                    </w:rPr>
                    <w:t>、</w:t>
                  </w:r>
                  <w:r>
                    <w:rPr>
                      <w:rFonts w:ascii="Times New Roman" w:hAnsi="Times New Roman" w:eastAsia="宋体" w:cs="Times New Roman"/>
                      <w:color w:val="auto"/>
                      <w:sz w:val="21"/>
                    </w:rPr>
                    <w:t>SS</w:t>
                  </w:r>
                </w:p>
              </w:tc>
            </w:tr>
            <w:tr w14:paraId="092C4B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70" w:hRule="atLeast"/>
                <w:tblHeader/>
              </w:trPr>
              <w:tc>
                <w:tcPr>
                  <w:tcW w:w="0" w:type="auto"/>
                  <w:vMerge w:val="continue"/>
                  <w:tcBorders>
                    <w:tl2br w:val="nil"/>
                    <w:tr2bl w:val="nil"/>
                  </w:tcBorders>
                  <w:vAlign w:val="center"/>
                </w:tcPr>
                <w:p w14:paraId="0CE0E029">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4935CC55">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highlight w:val="none"/>
                    </w:rPr>
                  </w:pPr>
                </w:p>
              </w:tc>
              <w:tc>
                <w:tcPr>
                  <w:tcW w:w="0" w:type="auto"/>
                  <w:tcBorders>
                    <w:tl2br w:val="nil"/>
                    <w:tr2bl w:val="nil"/>
                  </w:tcBorders>
                  <w:shd w:val="clear" w:color="auto" w:fill="auto"/>
                  <w:vAlign w:val="center"/>
                </w:tcPr>
                <w:p w14:paraId="5CF325F5">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5"/>
                      <w:sz w:val="21"/>
                    </w:rPr>
                    <w:t>员工生活</w:t>
                  </w:r>
                </w:p>
              </w:tc>
              <w:tc>
                <w:tcPr>
                  <w:tcW w:w="0" w:type="auto"/>
                  <w:tcBorders>
                    <w:tl2br w:val="nil"/>
                    <w:tr2bl w:val="nil"/>
                  </w:tcBorders>
                  <w:shd w:val="clear" w:color="auto" w:fill="auto"/>
                  <w:vAlign w:val="center"/>
                </w:tcPr>
                <w:p w14:paraId="18F4C47C">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生活污水</w:t>
                  </w:r>
                </w:p>
              </w:tc>
              <w:tc>
                <w:tcPr>
                  <w:tcW w:w="441" w:type="dxa"/>
                  <w:tcBorders>
                    <w:tl2br w:val="nil"/>
                    <w:tr2bl w:val="nil"/>
                  </w:tcBorders>
                  <w:shd w:val="clear" w:color="auto" w:fill="auto"/>
                  <w:vAlign w:val="center"/>
                </w:tcPr>
                <w:p w14:paraId="54B83B39">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kern w:val="2"/>
                      <w:sz w:val="21"/>
                      <w:szCs w:val="20"/>
                      <w:lang w:val="en-US" w:eastAsia="en-US" w:bidi="ar-SA"/>
                    </w:rPr>
                  </w:pPr>
                  <w:r>
                    <w:rPr>
                      <w:rFonts w:ascii="Times New Roman" w:hAnsi="Times New Roman" w:eastAsia="宋体" w:cs="Times New Roman"/>
                      <w:color w:val="auto"/>
                      <w:spacing w:val="4"/>
                      <w:position w:val="1"/>
                      <w:sz w:val="21"/>
                      <w:szCs w:val="20"/>
                    </w:rPr>
                    <w:t>W8</w:t>
                  </w:r>
                </w:p>
              </w:tc>
              <w:tc>
                <w:tcPr>
                  <w:tcW w:w="3047" w:type="dxa"/>
                  <w:tcBorders>
                    <w:tl2br w:val="nil"/>
                    <w:tr2bl w:val="nil"/>
                  </w:tcBorders>
                  <w:shd w:val="clear" w:color="auto" w:fill="auto"/>
                  <w:vAlign w:val="center"/>
                </w:tcPr>
                <w:p w14:paraId="700BD657">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pacing w:val="-1"/>
                      <w:sz w:val="21"/>
                    </w:rPr>
                    <w:t>COD</w:t>
                  </w:r>
                  <w:r>
                    <w:rPr>
                      <w:rFonts w:ascii="Times New Roman" w:hAnsi="Times New Roman" w:eastAsia="宋体" w:cs="Times New Roman"/>
                      <w:color w:val="auto"/>
                      <w:spacing w:val="-1"/>
                      <w:position w:val="-1"/>
                      <w:sz w:val="21"/>
                      <w:szCs w:val="13"/>
                      <w:vertAlign w:val="subscript"/>
                    </w:rPr>
                    <w:t>Cr</w:t>
                  </w:r>
                  <w:r>
                    <w:rPr>
                      <w:rFonts w:ascii="Times New Roman" w:hAnsi="Times New Roman" w:eastAsia="宋体"/>
                      <w:color w:val="auto"/>
                      <w:spacing w:val="-1"/>
                      <w:sz w:val="21"/>
                    </w:rPr>
                    <w:t>、</w:t>
                  </w:r>
                  <w:r>
                    <w:rPr>
                      <w:rFonts w:ascii="Times New Roman" w:hAnsi="Times New Roman" w:eastAsia="宋体" w:cs="Times New Roman"/>
                      <w:color w:val="auto"/>
                      <w:spacing w:val="-1"/>
                      <w:sz w:val="21"/>
                    </w:rPr>
                    <w:t>BOD</w:t>
                  </w:r>
                  <w:r>
                    <w:rPr>
                      <w:rFonts w:ascii="Times New Roman" w:hAnsi="Times New Roman" w:eastAsia="宋体" w:cs="Times New Roman"/>
                      <w:color w:val="auto"/>
                      <w:spacing w:val="-1"/>
                      <w:position w:val="-1"/>
                      <w:sz w:val="21"/>
                      <w:szCs w:val="13"/>
                      <w:vertAlign w:val="subscript"/>
                    </w:rPr>
                    <w:t>5</w:t>
                  </w:r>
                  <w:r>
                    <w:rPr>
                      <w:rFonts w:ascii="Times New Roman" w:hAnsi="Times New Roman" w:eastAsia="宋体"/>
                      <w:color w:val="auto"/>
                      <w:spacing w:val="-1"/>
                      <w:sz w:val="21"/>
                    </w:rPr>
                    <w:t>、</w:t>
                  </w:r>
                  <w:r>
                    <w:rPr>
                      <w:rFonts w:ascii="Times New Roman" w:hAnsi="Times New Roman" w:eastAsia="宋体" w:cs="Times New Roman"/>
                      <w:color w:val="auto"/>
                      <w:spacing w:val="-1"/>
                      <w:sz w:val="21"/>
                    </w:rPr>
                    <w:t>NH</w:t>
                  </w:r>
                  <w:r>
                    <w:rPr>
                      <w:rFonts w:ascii="Times New Roman" w:hAnsi="Times New Roman" w:eastAsia="宋体" w:cs="Times New Roman"/>
                      <w:color w:val="auto"/>
                      <w:spacing w:val="-1"/>
                      <w:sz w:val="21"/>
                      <w:szCs w:val="13"/>
                      <w:vertAlign w:val="subscript"/>
                    </w:rPr>
                    <w:t>3</w:t>
                  </w:r>
                  <w:r>
                    <w:rPr>
                      <w:rFonts w:ascii="Times New Roman" w:hAnsi="Times New Roman" w:eastAsia="宋体" w:cs="Times New Roman"/>
                      <w:color w:val="auto"/>
                      <w:spacing w:val="-1"/>
                      <w:sz w:val="21"/>
                    </w:rPr>
                    <w:t>-N</w:t>
                  </w:r>
                  <w:r>
                    <w:rPr>
                      <w:rFonts w:ascii="Times New Roman" w:hAnsi="Times New Roman" w:eastAsia="宋体"/>
                      <w:color w:val="auto"/>
                      <w:spacing w:val="-1"/>
                      <w:sz w:val="21"/>
                    </w:rPr>
                    <w:t>、</w:t>
                  </w:r>
                  <w:r>
                    <w:rPr>
                      <w:rFonts w:ascii="Times New Roman" w:hAnsi="Times New Roman" w:eastAsia="宋体" w:cs="Times New Roman"/>
                      <w:color w:val="auto"/>
                      <w:spacing w:val="-1"/>
                      <w:sz w:val="21"/>
                    </w:rPr>
                    <w:t>SS</w:t>
                  </w:r>
                  <w:r>
                    <w:rPr>
                      <w:rFonts w:ascii="Times New Roman" w:hAnsi="Times New Roman" w:eastAsia="宋体"/>
                      <w:color w:val="auto"/>
                      <w:spacing w:val="-1"/>
                      <w:sz w:val="21"/>
                    </w:rPr>
                    <w:t>、</w:t>
                  </w:r>
                  <w:r>
                    <w:rPr>
                      <w:rFonts w:ascii="Times New Roman" w:hAnsi="Times New Roman" w:eastAsia="宋体" w:cs="Times New Roman"/>
                      <w:color w:val="auto"/>
                      <w:spacing w:val="-1"/>
                      <w:sz w:val="21"/>
                    </w:rPr>
                    <w:t>TN</w:t>
                  </w:r>
                </w:p>
              </w:tc>
            </w:tr>
            <w:tr w14:paraId="1E1919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570" w:hRule="atLeast"/>
                <w:tblHeader/>
              </w:trPr>
              <w:tc>
                <w:tcPr>
                  <w:tcW w:w="0" w:type="auto"/>
                  <w:vMerge w:val="continue"/>
                  <w:tcBorders>
                    <w:tl2br w:val="nil"/>
                    <w:tr2bl w:val="nil"/>
                  </w:tcBorders>
                  <w:vAlign w:val="center"/>
                </w:tcPr>
                <w:p w14:paraId="2C10800D">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vMerge w:val="continue"/>
                  <w:tcBorders>
                    <w:tl2br w:val="nil"/>
                    <w:tr2bl w:val="nil"/>
                  </w:tcBorders>
                  <w:vAlign w:val="center"/>
                </w:tcPr>
                <w:p w14:paraId="627A594B">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highlight w:val="none"/>
                    </w:rPr>
                  </w:pPr>
                </w:p>
              </w:tc>
              <w:tc>
                <w:tcPr>
                  <w:tcW w:w="0" w:type="auto"/>
                  <w:tcBorders>
                    <w:tl2br w:val="nil"/>
                    <w:tr2bl w:val="nil"/>
                  </w:tcBorders>
                  <w:shd w:val="clear" w:color="auto" w:fill="auto"/>
                  <w:vAlign w:val="center"/>
                </w:tcPr>
                <w:p w14:paraId="4A3F4269">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5"/>
                      <w:sz w:val="21"/>
                    </w:rPr>
                  </w:pPr>
                  <w:r>
                    <w:rPr>
                      <w:rFonts w:ascii="Times New Roman" w:hAnsi="Times New Roman" w:eastAsia="宋体"/>
                      <w:spacing w:val="-4"/>
                      <w:sz w:val="21"/>
                    </w:rPr>
                    <w:t>喷漆</w:t>
                  </w:r>
                </w:p>
              </w:tc>
              <w:tc>
                <w:tcPr>
                  <w:tcW w:w="0" w:type="auto"/>
                  <w:tcBorders>
                    <w:tl2br w:val="nil"/>
                    <w:tr2bl w:val="nil"/>
                  </w:tcBorders>
                  <w:shd w:val="clear" w:color="auto" w:fill="auto"/>
                  <w:vAlign w:val="center"/>
                </w:tcPr>
                <w:p w14:paraId="7E2669C6">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6"/>
                      <w:sz w:val="21"/>
                      <w:lang w:val="en-US" w:eastAsia="zh-CN"/>
                    </w:rPr>
                  </w:pPr>
                  <w:r>
                    <w:rPr>
                      <w:rFonts w:hint="eastAsia" w:ascii="Times New Roman" w:hAnsi="Times New Roman"/>
                      <w:color w:val="auto"/>
                      <w:spacing w:val="6"/>
                      <w:sz w:val="21"/>
                      <w:lang w:val="en-US" w:eastAsia="zh-CN"/>
                    </w:rPr>
                    <w:t>水帘喷漆废水</w:t>
                  </w:r>
                </w:p>
              </w:tc>
              <w:tc>
                <w:tcPr>
                  <w:tcW w:w="441" w:type="dxa"/>
                  <w:tcBorders>
                    <w:tl2br w:val="nil"/>
                    <w:tr2bl w:val="nil"/>
                  </w:tcBorders>
                  <w:shd w:val="clear" w:color="auto" w:fill="auto"/>
                  <w:vAlign w:val="center"/>
                </w:tcPr>
                <w:p w14:paraId="27FECE0E">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spacing w:val="4"/>
                      <w:position w:val="1"/>
                      <w:sz w:val="21"/>
                      <w:szCs w:val="20"/>
                      <w:lang w:eastAsia="zh-CN"/>
                    </w:rPr>
                  </w:pPr>
                  <w:r>
                    <w:rPr>
                      <w:rFonts w:ascii="Times New Roman" w:hAnsi="Times New Roman" w:eastAsia="宋体" w:cs="Times New Roman"/>
                      <w:color w:val="auto"/>
                      <w:spacing w:val="4"/>
                      <w:position w:val="1"/>
                      <w:sz w:val="21"/>
                      <w:szCs w:val="20"/>
                    </w:rPr>
                    <w:t>W</w:t>
                  </w:r>
                  <w:r>
                    <w:rPr>
                      <w:rFonts w:hint="eastAsia" w:ascii="Times New Roman" w:hAnsi="Times New Roman" w:eastAsia="宋体" w:cs="Times New Roman"/>
                      <w:color w:val="auto"/>
                      <w:spacing w:val="4"/>
                      <w:position w:val="1"/>
                      <w:sz w:val="21"/>
                      <w:szCs w:val="20"/>
                      <w:lang w:val="en-US" w:eastAsia="zh-CN"/>
                    </w:rPr>
                    <w:t>9</w:t>
                  </w:r>
                </w:p>
              </w:tc>
              <w:tc>
                <w:tcPr>
                  <w:tcW w:w="3047" w:type="dxa"/>
                  <w:tcBorders>
                    <w:tl2br w:val="nil"/>
                    <w:tr2bl w:val="nil"/>
                  </w:tcBorders>
                  <w:shd w:val="clear" w:color="auto" w:fill="auto"/>
                  <w:vAlign w:val="center"/>
                </w:tcPr>
                <w:p w14:paraId="75C49435">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Times New Roman"/>
                      <w:color w:val="auto"/>
                      <w:spacing w:val="-1"/>
                      <w:sz w:val="21"/>
                    </w:rPr>
                  </w:pPr>
                  <w:r>
                    <w:rPr>
                      <w:rFonts w:ascii="Times New Roman" w:hAnsi="Times New Roman" w:eastAsia="宋体" w:cs="Times New Roman"/>
                      <w:color w:val="auto"/>
                      <w:sz w:val="21"/>
                    </w:rPr>
                    <w:t>pH</w:t>
                  </w:r>
                  <w:r>
                    <w:rPr>
                      <w:rFonts w:ascii="Times New Roman" w:hAnsi="Times New Roman" w:eastAsia="宋体"/>
                      <w:color w:val="auto"/>
                      <w:spacing w:val="5"/>
                      <w:sz w:val="21"/>
                    </w:rPr>
                    <w:t>、</w:t>
                  </w:r>
                  <w:r>
                    <w:rPr>
                      <w:rFonts w:ascii="Times New Roman" w:hAnsi="Times New Roman" w:eastAsia="宋体" w:cs="Times New Roman"/>
                      <w:color w:val="auto"/>
                      <w:sz w:val="21"/>
                    </w:rPr>
                    <w:t>CODcr</w:t>
                  </w:r>
                  <w:r>
                    <w:rPr>
                      <w:rFonts w:ascii="Times New Roman" w:hAnsi="Times New Roman" w:eastAsia="宋体"/>
                      <w:color w:val="auto"/>
                      <w:spacing w:val="5"/>
                      <w:sz w:val="21"/>
                    </w:rPr>
                    <w:t>、</w:t>
                  </w:r>
                  <w:r>
                    <w:rPr>
                      <w:rFonts w:ascii="Times New Roman" w:hAnsi="Times New Roman" w:eastAsia="宋体" w:cs="Times New Roman"/>
                      <w:color w:val="auto"/>
                      <w:sz w:val="21"/>
                    </w:rPr>
                    <w:t>BOD</w:t>
                  </w:r>
                  <w:r>
                    <w:rPr>
                      <w:rFonts w:ascii="Times New Roman" w:hAnsi="Times New Roman" w:eastAsia="宋体" w:cs="Times New Roman"/>
                      <w:color w:val="auto"/>
                      <w:spacing w:val="5"/>
                      <w:position w:val="-1"/>
                      <w:sz w:val="21"/>
                      <w:szCs w:val="13"/>
                      <w:vertAlign w:val="subscript"/>
                    </w:rPr>
                    <w:t>5</w:t>
                  </w:r>
                  <w:r>
                    <w:rPr>
                      <w:rFonts w:ascii="Times New Roman" w:hAnsi="Times New Roman" w:eastAsia="宋体"/>
                      <w:color w:val="auto"/>
                      <w:spacing w:val="5"/>
                      <w:sz w:val="21"/>
                    </w:rPr>
                    <w:t>、</w:t>
                  </w:r>
                  <w:r>
                    <w:rPr>
                      <w:rFonts w:ascii="Times New Roman" w:hAnsi="Times New Roman" w:eastAsia="宋体" w:cs="Times New Roman"/>
                      <w:color w:val="auto"/>
                      <w:sz w:val="21"/>
                    </w:rPr>
                    <w:t>SS</w:t>
                  </w:r>
                  <w:r>
                    <w:rPr>
                      <w:rFonts w:ascii="Times New Roman" w:hAnsi="Times New Roman" w:eastAsia="宋体"/>
                      <w:color w:val="auto"/>
                      <w:spacing w:val="5"/>
                      <w:sz w:val="21"/>
                    </w:rPr>
                    <w:t>、石油</w:t>
                  </w:r>
                  <w:r>
                    <w:rPr>
                      <w:rFonts w:ascii="Times New Roman" w:hAnsi="Times New Roman" w:eastAsia="宋体"/>
                      <w:color w:val="auto"/>
                      <w:sz w:val="21"/>
                    </w:rPr>
                    <w:t>类</w:t>
                  </w:r>
                </w:p>
              </w:tc>
            </w:tr>
            <w:tr w14:paraId="2093A4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389" w:type="dxa"/>
                  <w:vMerge w:val="restart"/>
                  <w:tcBorders>
                    <w:tl2br w:val="nil"/>
                    <w:tr2bl w:val="nil"/>
                  </w:tcBorders>
                  <w:vAlign w:val="center"/>
                </w:tcPr>
                <w:p w14:paraId="16359FBA">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3018FCB9">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37E9650">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408C7EE5">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9924BF1">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7E1D3B70">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19762D7A">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040FBBCD">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520DCE81">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9051AC0">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r>
                    <w:rPr>
                      <w:rFonts w:ascii="Times New Roman" w:hAnsi="Times New Roman" w:eastAsia="宋体"/>
                      <w:color w:val="auto"/>
                      <w:spacing w:val="-10"/>
                      <w:sz w:val="21"/>
                    </w:rPr>
                    <w:t>3</w:t>
                  </w:r>
                </w:p>
              </w:tc>
              <w:tc>
                <w:tcPr>
                  <w:tcW w:w="444" w:type="dxa"/>
                  <w:vMerge w:val="restart"/>
                  <w:tcBorders>
                    <w:tl2br w:val="nil"/>
                    <w:tr2bl w:val="nil"/>
                  </w:tcBorders>
                  <w:vAlign w:val="center"/>
                </w:tcPr>
                <w:p w14:paraId="2F67657A">
                  <w:pPr>
                    <w:pStyle w:val="97"/>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p>
                <w:p w14:paraId="65DAB46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z w:val="21"/>
                      <w:highlight w:val="none"/>
                      <w:lang w:val="en-US" w:eastAsia="zh-CN"/>
                    </w:rPr>
                  </w:pPr>
                  <w:r>
                    <w:rPr>
                      <w:rFonts w:ascii="Times New Roman" w:hAnsi="Times New Roman" w:eastAsia="宋体"/>
                      <w:color w:val="auto"/>
                      <w:spacing w:val="-8"/>
                      <w:sz w:val="21"/>
                    </w:rPr>
                    <w:t>固废</w:t>
                  </w:r>
                </w:p>
              </w:tc>
              <w:tc>
                <w:tcPr>
                  <w:tcW w:w="0" w:type="auto"/>
                  <w:tcBorders>
                    <w:tl2br w:val="nil"/>
                    <w:tr2bl w:val="nil"/>
                  </w:tcBorders>
                  <w:shd w:val="clear" w:color="auto" w:fill="auto"/>
                  <w:vAlign w:val="center"/>
                </w:tcPr>
                <w:p w14:paraId="5B5B7217">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4"/>
                      <w:sz w:val="21"/>
                    </w:rPr>
                    <w:t>焊接</w:t>
                  </w:r>
                </w:p>
              </w:tc>
              <w:tc>
                <w:tcPr>
                  <w:tcW w:w="0" w:type="auto"/>
                  <w:tcBorders>
                    <w:tl2br w:val="nil"/>
                    <w:tr2bl w:val="nil"/>
                  </w:tcBorders>
                  <w:shd w:val="clear" w:color="auto" w:fill="auto"/>
                  <w:vAlign w:val="center"/>
                </w:tcPr>
                <w:p w14:paraId="2F27FF47">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焊渣</w:t>
                  </w:r>
                </w:p>
              </w:tc>
              <w:tc>
                <w:tcPr>
                  <w:tcW w:w="441" w:type="dxa"/>
                  <w:tcBorders>
                    <w:tl2br w:val="nil"/>
                    <w:tr2bl w:val="nil"/>
                  </w:tcBorders>
                  <w:shd w:val="clear" w:color="auto" w:fill="auto"/>
                  <w:vAlign w:val="center"/>
                </w:tcPr>
                <w:p w14:paraId="670197EA">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7"/>
                      <w:position w:val="1"/>
                      <w:sz w:val="21"/>
                      <w:szCs w:val="20"/>
                    </w:rPr>
                    <w:t>S1</w:t>
                  </w:r>
                </w:p>
              </w:tc>
              <w:tc>
                <w:tcPr>
                  <w:tcW w:w="3047" w:type="dxa"/>
                  <w:tcBorders>
                    <w:tl2br w:val="nil"/>
                    <w:tr2bl w:val="nil"/>
                  </w:tcBorders>
                  <w:shd w:val="clear" w:color="auto" w:fill="auto"/>
                  <w:vAlign w:val="center"/>
                </w:tcPr>
                <w:p w14:paraId="57F0B18F">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焊渣</w:t>
                  </w:r>
                </w:p>
              </w:tc>
            </w:tr>
            <w:tr w14:paraId="1BAD05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389" w:type="dxa"/>
                  <w:vMerge w:val="continue"/>
                  <w:tcBorders>
                    <w:tl2br w:val="nil"/>
                    <w:tr2bl w:val="nil"/>
                  </w:tcBorders>
                  <w:vAlign w:val="center"/>
                </w:tcPr>
                <w:p w14:paraId="4565CB1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10"/>
                      <w:sz w:val="21"/>
                    </w:rPr>
                  </w:pPr>
                </w:p>
              </w:tc>
              <w:tc>
                <w:tcPr>
                  <w:tcW w:w="444" w:type="dxa"/>
                  <w:vMerge w:val="continue"/>
                  <w:tcBorders>
                    <w:tl2br w:val="nil"/>
                    <w:tr2bl w:val="nil"/>
                  </w:tcBorders>
                  <w:vAlign w:val="center"/>
                </w:tcPr>
                <w:p w14:paraId="05EBD2B6">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p>
              </w:tc>
              <w:tc>
                <w:tcPr>
                  <w:tcW w:w="0" w:type="auto"/>
                  <w:tcBorders>
                    <w:tl2br w:val="nil"/>
                    <w:tr2bl w:val="nil"/>
                  </w:tcBorders>
                  <w:shd w:val="clear" w:color="auto" w:fill="auto"/>
                  <w:vAlign w:val="center"/>
                </w:tcPr>
                <w:p w14:paraId="2493FCD3">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4"/>
                      <w:sz w:val="21"/>
                    </w:rPr>
                    <w:t>装配</w:t>
                  </w:r>
                </w:p>
              </w:tc>
              <w:tc>
                <w:tcPr>
                  <w:tcW w:w="0" w:type="auto"/>
                  <w:tcBorders>
                    <w:tl2br w:val="nil"/>
                    <w:tr2bl w:val="nil"/>
                  </w:tcBorders>
                  <w:shd w:val="clear" w:color="auto" w:fill="auto"/>
                  <w:vAlign w:val="center"/>
                </w:tcPr>
                <w:p w14:paraId="05A1BD94">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7"/>
                      <w:sz w:val="21"/>
                    </w:rPr>
                    <w:t>废金属料</w:t>
                  </w:r>
                </w:p>
              </w:tc>
              <w:tc>
                <w:tcPr>
                  <w:tcW w:w="441" w:type="dxa"/>
                  <w:tcBorders>
                    <w:tl2br w:val="nil"/>
                    <w:tr2bl w:val="nil"/>
                  </w:tcBorders>
                  <w:shd w:val="clear" w:color="auto" w:fill="auto"/>
                  <w:vAlign w:val="center"/>
                </w:tcPr>
                <w:p w14:paraId="2A26FAF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spacing w:val="7"/>
                      <w:position w:val="1"/>
                      <w:sz w:val="21"/>
                      <w:szCs w:val="20"/>
                    </w:rPr>
                  </w:pPr>
                  <w:r>
                    <w:rPr>
                      <w:rFonts w:ascii="Times New Roman" w:hAnsi="Times New Roman" w:eastAsia="宋体" w:cs="Times New Roman"/>
                      <w:color w:val="auto"/>
                      <w:spacing w:val="-3"/>
                      <w:sz w:val="21"/>
                      <w:szCs w:val="20"/>
                    </w:rPr>
                    <w:t>S5</w:t>
                  </w:r>
                </w:p>
              </w:tc>
              <w:tc>
                <w:tcPr>
                  <w:tcW w:w="3047" w:type="dxa"/>
                  <w:tcBorders>
                    <w:tl2br w:val="nil"/>
                    <w:tr2bl w:val="nil"/>
                  </w:tcBorders>
                  <w:shd w:val="clear" w:color="auto" w:fill="auto"/>
                  <w:vAlign w:val="center"/>
                </w:tcPr>
                <w:p w14:paraId="5AFEBF03">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8"/>
                      <w:sz w:val="21"/>
                    </w:rPr>
                    <w:t>废金属零件</w:t>
                  </w:r>
                </w:p>
              </w:tc>
            </w:tr>
            <w:tr w14:paraId="5E075D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26" w:hRule="atLeast"/>
                <w:tblHeader/>
              </w:trPr>
              <w:tc>
                <w:tcPr>
                  <w:tcW w:w="389" w:type="dxa"/>
                  <w:vMerge w:val="continue"/>
                  <w:tcBorders>
                    <w:tl2br w:val="nil"/>
                    <w:tr2bl w:val="nil"/>
                  </w:tcBorders>
                  <w:vAlign w:val="center"/>
                </w:tcPr>
                <w:p w14:paraId="733117FF">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10"/>
                      <w:sz w:val="21"/>
                    </w:rPr>
                  </w:pPr>
                </w:p>
              </w:tc>
              <w:tc>
                <w:tcPr>
                  <w:tcW w:w="444" w:type="dxa"/>
                  <w:vMerge w:val="continue"/>
                  <w:tcBorders>
                    <w:tl2br w:val="nil"/>
                    <w:tr2bl w:val="nil"/>
                  </w:tcBorders>
                  <w:vAlign w:val="center"/>
                </w:tcPr>
                <w:p w14:paraId="6903DFE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pacing w:val="-8"/>
                      <w:sz w:val="21"/>
                    </w:rPr>
                  </w:pPr>
                </w:p>
              </w:tc>
              <w:tc>
                <w:tcPr>
                  <w:tcW w:w="0" w:type="auto"/>
                  <w:tcBorders>
                    <w:tl2br w:val="nil"/>
                    <w:tr2bl w:val="nil"/>
                  </w:tcBorders>
                  <w:shd w:val="clear" w:color="auto" w:fill="auto"/>
                  <w:vAlign w:val="center"/>
                </w:tcPr>
                <w:p w14:paraId="20C87788">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1"/>
                      <w:sz w:val="21"/>
                    </w:rPr>
                    <w:t>原料拆包装、产</w:t>
                  </w:r>
                  <w:r>
                    <w:rPr>
                      <w:rFonts w:ascii="Times New Roman" w:hAnsi="Times New Roman" w:eastAsia="宋体"/>
                      <w:color w:val="auto"/>
                      <w:spacing w:val="1"/>
                      <w:sz w:val="21"/>
                    </w:rPr>
                    <w:t>品包装</w:t>
                  </w:r>
                </w:p>
              </w:tc>
              <w:tc>
                <w:tcPr>
                  <w:tcW w:w="0" w:type="auto"/>
                  <w:tcBorders>
                    <w:tl2br w:val="nil"/>
                    <w:tr2bl w:val="nil"/>
                  </w:tcBorders>
                  <w:shd w:val="clear" w:color="auto" w:fill="auto"/>
                  <w:vAlign w:val="center"/>
                </w:tcPr>
                <w:p w14:paraId="5F8DD29D">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8"/>
                      <w:sz w:val="21"/>
                    </w:rPr>
                    <w:t>废一般包装</w:t>
                  </w:r>
                  <w:r>
                    <w:rPr>
                      <w:rFonts w:ascii="Times New Roman" w:hAnsi="Times New Roman" w:eastAsia="宋体"/>
                      <w:color w:val="auto"/>
                      <w:spacing w:val="4"/>
                      <w:sz w:val="21"/>
                    </w:rPr>
                    <w:t>材料</w:t>
                  </w:r>
                </w:p>
              </w:tc>
              <w:tc>
                <w:tcPr>
                  <w:tcW w:w="441" w:type="dxa"/>
                  <w:tcBorders>
                    <w:tl2br w:val="nil"/>
                    <w:tr2bl w:val="nil"/>
                  </w:tcBorders>
                  <w:shd w:val="clear" w:color="auto" w:fill="auto"/>
                  <w:vAlign w:val="center"/>
                </w:tcPr>
                <w:p w14:paraId="50A15E5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spacing w:val="7"/>
                      <w:position w:val="1"/>
                      <w:sz w:val="21"/>
                      <w:szCs w:val="20"/>
                    </w:rPr>
                  </w:pPr>
                  <w:r>
                    <w:rPr>
                      <w:rFonts w:ascii="Times New Roman" w:hAnsi="Times New Roman" w:eastAsia="宋体" w:cs="Times New Roman"/>
                      <w:color w:val="auto"/>
                      <w:spacing w:val="-3"/>
                      <w:sz w:val="21"/>
                      <w:szCs w:val="20"/>
                    </w:rPr>
                    <w:t>S7</w:t>
                  </w:r>
                </w:p>
              </w:tc>
              <w:tc>
                <w:tcPr>
                  <w:tcW w:w="3047" w:type="dxa"/>
                  <w:tcBorders>
                    <w:tl2br w:val="nil"/>
                    <w:tr2bl w:val="nil"/>
                  </w:tcBorders>
                  <w:shd w:val="clear" w:color="auto" w:fill="auto"/>
                  <w:vAlign w:val="center"/>
                </w:tcPr>
                <w:p w14:paraId="3F183B39">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olor w:val="auto"/>
                      <w:spacing w:val="4"/>
                      <w:sz w:val="21"/>
                    </w:rPr>
                  </w:pPr>
                  <w:r>
                    <w:rPr>
                      <w:rFonts w:ascii="Times New Roman" w:hAnsi="Times New Roman" w:eastAsia="宋体"/>
                      <w:color w:val="auto"/>
                      <w:spacing w:val="8"/>
                      <w:position w:val="1"/>
                      <w:sz w:val="21"/>
                    </w:rPr>
                    <w:t>废纸、塑料袋</w:t>
                  </w:r>
                  <w:r>
                    <w:rPr>
                      <w:rFonts w:ascii="Times New Roman" w:hAnsi="Times New Roman" w:eastAsia="宋体" w:cs="Times New Roman"/>
                      <w:color w:val="auto"/>
                      <w:spacing w:val="8"/>
                      <w:position w:val="1"/>
                      <w:sz w:val="21"/>
                    </w:rPr>
                    <w:t>/</w:t>
                  </w:r>
                  <w:r>
                    <w:rPr>
                      <w:rFonts w:ascii="Times New Roman" w:hAnsi="Times New Roman" w:eastAsia="宋体"/>
                      <w:color w:val="auto"/>
                      <w:spacing w:val="8"/>
                      <w:position w:val="1"/>
                      <w:sz w:val="21"/>
                    </w:rPr>
                    <w:t>膜、纸箱等</w:t>
                  </w:r>
                </w:p>
              </w:tc>
            </w:tr>
            <w:tr w14:paraId="2147F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389" w:type="dxa"/>
                  <w:vMerge w:val="continue"/>
                  <w:tcBorders>
                    <w:tl2br w:val="nil"/>
                    <w:tr2bl w:val="nil"/>
                  </w:tcBorders>
                  <w:vAlign w:val="center"/>
                </w:tcPr>
                <w:p w14:paraId="268575C6">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5086BE76">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highlight w:val="none"/>
                      <w:lang w:val="en-US" w:eastAsia="zh-CN"/>
                    </w:rPr>
                  </w:pPr>
                </w:p>
              </w:tc>
              <w:tc>
                <w:tcPr>
                  <w:tcW w:w="0" w:type="auto"/>
                  <w:tcBorders>
                    <w:tl2br w:val="nil"/>
                    <w:tr2bl w:val="nil"/>
                  </w:tcBorders>
                  <w:shd w:val="clear" w:color="auto" w:fill="auto"/>
                  <w:vAlign w:val="center"/>
                </w:tcPr>
                <w:p w14:paraId="5D8A8374">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8"/>
                      <w:sz w:val="21"/>
                    </w:rPr>
                    <w:t>脱脂槽槽液过</w:t>
                  </w:r>
                  <w:r>
                    <w:rPr>
                      <w:rFonts w:ascii="Times New Roman" w:hAnsi="Times New Roman" w:eastAsia="宋体"/>
                      <w:color w:val="auto"/>
                      <w:sz w:val="21"/>
                    </w:rPr>
                    <w:t>滤</w:t>
                  </w:r>
                </w:p>
              </w:tc>
              <w:tc>
                <w:tcPr>
                  <w:tcW w:w="0" w:type="auto"/>
                  <w:tcBorders>
                    <w:tl2br w:val="nil"/>
                    <w:tr2bl w:val="nil"/>
                  </w:tcBorders>
                  <w:shd w:val="clear" w:color="auto" w:fill="auto"/>
                  <w:vAlign w:val="center"/>
                </w:tcPr>
                <w:p w14:paraId="679462AE">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废过滤物</w:t>
                  </w:r>
                </w:p>
              </w:tc>
              <w:tc>
                <w:tcPr>
                  <w:tcW w:w="441" w:type="dxa"/>
                  <w:tcBorders>
                    <w:tl2br w:val="nil"/>
                    <w:tr2bl w:val="nil"/>
                  </w:tcBorders>
                  <w:shd w:val="clear" w:color="auto" w:fill="auto"/>
                  <w:vAlign w:val="center"/>
                </w:tcPr>
                <w:p w14:paraId="4928D9B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2"/>
                      <w:sz w:val="21"/>
                      <w:szCs w:val="20"/>
                    </w:rPr>
                    <w:t>S2</w:t>
                  </w:r>
                </w:p>
              </w:tc>
              <w:tc>
                <w:tcPr>
                  <w:tcW w:w="3047" w:type="dxa"/>
                  <w:tcBorders>
                    <w:tl2br w:val="nil"/>
                    <w:tr2bl w:val="nil"/>
                  </w:tcBorders>
                  <w:shd w:val="clear" w:color="auto" w:fill="auto"/>
                  <w:vAlign w:val="center"/>
                </w:tcPr>
                <w:p w14:paraId="773E8D7B">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沾染过滤物的废过滤袋等</w:t>
                  </w:r>
                </w:p>
              </w:tc>
            </w:tr>
            <w:tr w14:paraId="6E1088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63BDA998">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2401A4D">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0" w:type="auto"/>
                  <w:tcBorders>
                    <w:tl2br w:val="nil"/>
                    <w:tr2bl w:val="nil"/>
                  </w:tcBorders>
                  <w:shd w:val="clear" w:color="auto" w:fill="auto"/>
                  <w:vAlign w:val="center"/>
                </w:tcPr>
                <w:p w14:paraId="4C71DDB2">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化学品拆包装</w:t>
                  </w:r>
                </w:p>
              </w:tc>
              <w:tc>
                <w:tcPr>
                  <w:tcW w:w="0" w:type="auto"/>
                  <w:tcBorders>
                    <w:tl2br w:val="nil"/>
                    <w:tr2bl w:val="nil"/>
                  </w:tcBorders>
                  <w:shd w:val="clear" w:color="auto" w:fill="auto"/>
                  <w:vAlign w:val="center"/>
                </w:tcPr>
                <w:p w14:paraId="7A6ED4D8">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废化学品包</w:t>
                  </w:r>
                  <w:r>
                    <w:rPr>
                      <w:rFonts w:ascii="Times New Roman" w:hAnsi="Times New Roman" w:eastAsia="宋体"/>
                      <w:color w:val="auto"/>
                      <w:sz w:val="21"/>
                    </w:rPr>
                    <w:t>装</w:t>
                  </w:r>
                </w:p>
              </w:tc>
              <w:tc>
                <w:tcPr>
                  <w:tcW w:w="441" w:type="dxa"/>
                  <w:tcBorders>
                    <w:tl2br w:val="nil"/>
                    <w:tr2bl w:val="nil"/>
                  </w:tcBorders>
                  <w:shd w:val="clear" w:color="auto" w:fill="auto"/>
                  <w:vAlign w:val="center"/>
                </w:tcPr>
                <w:p w14:paraId="2BBA4C4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2"/>
                      <w:sz w:val="21"/>
                      <w:szCs w:val="20"/>
                    </w:rPr>
                    <w:t>S3</w:t>
                  </w:r>
                </w:p>
              </w:tc>
              <w:tc>
                <w:tcPr>
                  <w:tcW w:w="3047" w:type="dxa"/>
                  <w:tcBorders>
                    <w:tl2br w:val="nil"/>
                    <w:tr2bl w:val="nil"/>
                  </w:tcBorders>
                  <w:shd w:val="clear" w:color="auto" w:fill="auto"/>
                  <w:vAlign w:val="center"/>
                </w:tcPr>
                <w:p w14:paraId="4C16FD82">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沾有化学品的包装物</w:t>
                  </w:r>
                </w:p>
              </w:tc>
            </w:tr>
            <w:tr w14:paraId="04A808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3745BBE3">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488262D">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highlight w:val="none"/>
                      <w:lang w:val="en-US" w:eastAsia="zh-CN"/>
                    </w:rPr>
                  </w:pPr>
                </w:p>
              </w:tc>
              <w:tc>
                <w:tcPr>
                  <w:tcW w:w="0" w:type="auto"/>
                  <w:tcBorders>
                    <w:tl2br w:val="nil"/>
                    <w:tr2bl w:val="nil"/>
                  </w:tcBorders>
                  <w:shd w:val="clear" w:color="auto" w:fill="auto"/>
                  <w:vAlign w:val="center"/>
                </w:tcPr>
                <w:p w14:paraId="2D675761">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ascii="Times New Roman" w:hAnsi="Times New Roman" w:eastAsia="宋体"/>
                      <w:color w:val="auto"/>
                      <w:spacing w:val="-8"/>
                      <w:sz w:val="21"/>
                    </w:rPr>
                    <w:t>电泳</w:t>
                  </w:r>
                </w:p>
              </w:tc>
              <w:tc>
                <w:tcPr>
                  <w:tcW w:w="0" w:type="auto"/>
                  <w:tcBorders>
                    <w:tl2br w:val="nil"/>
                    <w:tr2bl w:val="nil"/>
                  </w:tcBorders>
                  <w:shd w:val="clear" w:color="auto" w:fill="auto"/>
                  <w:vAlign w:val="center"/>
                </w:tcPr>
                <w:p w14:paraId="3E49905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废涂料桶</w:t>
                  </w:r>
                </w:p>
              </w:tc>
              <w:tc>
                <w:tcPr>
                  <w:tcW w:w="441" w:type="dxa"/>
                  <w:tcBorders>
                    <w:tl2br w:val="nil"/>
                    <w:tr2bl w:val="nil"/>
                  </w:tcBorders>
                  <w:shd w:val="clear" w:color="auto" w:fill="auto"/>
                  <w:vAlign w:val="center"/>
                </w:tcPr>
                <w:p w14:paraId="0542867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1"/>
                      <w:sz w:val="21"/>
                      <w:szCs w:val="20"/>
                    </w:rPr>
                    <w:t>S4</w:t>
                  </w:r>
                </w:p>
              </w:tc>
              <w:tc>
                <w:tcPr>
                  <w:tcW w:w="3047" w:type="dxa"/>
                  <w:tcBorders>
                    <w:tl2br w:val="nil"/>
                    <w:tr2bl w:val="nil"/>
                  </w:tcBorders>
                  <w:shd w:val="clear" w:color="auto" w:fill="auto"/>
                  <w:vAlign w:val="center"/>
                </w:tcPr>
                <w:p w14:paraId="660FE3D9">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沾有水性涂料的包装物</w:t>
                  </w:r>
                </w:p>
              </w:tc>
            </w:tr>
            <w:tr w14:paraId="77713B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6C1D4EC0">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05CA10C9">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olor w:val="auto"/>
                      <w:sz w:val="21"/>
                      <w:highlight w:val="none"/>
                      <w:lang w:eastAsia="zh-CN"/>
                    </w:rPr>
                  </w:pPr>
                </w:p>
              </w:tc>
              <w:tc>
                <w:tcPr>
                  <w:tcW w:w="0" w:type="auto"/>
                  <w:tcBorders>
                    <w:tl2br w:val="nil"/>
                    <w:tr2bl w:val="nil"/>
                  </w:tcBorders>
                  <w:shd w:val="clear" w:color="auto" w:fill="auto"/>
                  <w:vAlign w:val="center"/>
                </w:tcPr>
                <w:p w14:paraId="58171260">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1"/>
                      <w:sz w:val="21"/>
                    </w:rPr>
                    <w:t>装配、设备维护</w:t>
                  </w:r>
                </w:p>
                <w:p w14:paraId="72D0C737">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保养</w:t>
                  </w:r>
                </w:p>
              </w:tc>
              <w:tc>
                <w:tcPr>
                  <w:tcW w:w="0" w:type="auto"/>
                  <w:tcBorders>
                    <w:tl2br w:val="nil"/>
                    <w:tr2bl w:val="nil"/>
                  </w:tcBorders>
                  <w:shd w:val="clear" w:color="auto" w:fill="auto"/>
                  <w:vAlign w:val="center"/>
                </w:tcPr>
                <w:p w14:paraId="7E626AD8">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8"/>
                      <w:sz w:val="21"/>
                    </w:rPr>
                    <w:t>废含油抹布</w:t>
                  </w:r>
                </w:p>
                <w:p w14:paraId="27BEE04A">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4"/>
                      <w:sz w:val="21"/>
                    </w:rPr>
                    <w:t>手套</w:t>
                  </w:r>
                </w:p>
              </w:tc>
              <w:tc>
                <w:tcPr>
                  <w:tcW w:w="441" w:type="dxa"/>
                  <w:tcBorders>
                    <w:tl2br w:val="nil"/>
                    <w:tr2bl w:val="nil"/>
                  </w:tcBorders>
                  <w:shd w:val="clear" w:color="auto" w:fill="auto"/>
                  <w:vAlign w:val="center"/>
                </w:tcPr>
                <w:p w14:paraId="215FA3D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2"/>
                      <w:sz w:val="21"/>
                      <w:szCs w:val="20"/>
                    </w:rPr>
                    <w:t>S6</w:t>
                  </w:r>
                </w:p>
              </w:tc>
              <w:tc>
                <w:tcPr>
                  <w:tcW w:w="3047" w:type="dxa"/>
                  <w:tcBorders>
                    <w:tl2br w:val="nil"/>
                    <w:tr2bl w:val="nil"/>
                  </w:tcBorders>
                  <w:shd w:val="clear" w:color="auto" w:fill="auto"/>
                  <w:vAlign w:val="center"/>
                </w:tcPr>
                <w:p w14:paraId="696684A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沾染机油的抹布、手套</w:t>
                  </w:r>
                </w:p>
              </w:tc>
            </w:tr>
            <w:tr w14:paraId="1AD9B4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3429F1F4">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527427E">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6B0C2302">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6"/>
                      <w:sz w:val="21"/>
                    </w:rPr>
                    <w:t>纯水制备</w:t>
                  </w:r>
                </w:p>
              </w:tc>
              <w:tc>
                <w:tcPr>
                  <w:tcW w:w="0" w:type="auto"/>
                  <w:tcBorders>
                    <w:tl2br w:val="nil"/>
                    <w:tr2bl w:val="nil"/>
                  </w:tcBorders>
                  <w:shd w:val="clear" w:color="auto" w:fill="auto"/>
                  <w:vAlign w:val="center"/>
                </w:tcPr>
                <w:p w14:paraId="60DBCDDE">
                  <w:pPr>
                    <w:pStyle w:val="115"/>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rPr>
                  </w:pPr>
                  <w:r>
                    <w:rPr>
                      <w:rFonts w:ascii="Times New Roman" w:hAnsi="Times New Roman" w:eastAsia="宋体"/>
                      <w:color w:val="auto"/>
                      <w:spacing w:val="8"/>
                      <w:sz w:val="21"/>
                    </w:rPr>
                    <w:t>废弃纯水制</w:t>
                  </w:r>
                </w:p>
                <w:p w14:paraId="347CAA25">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备耗材</w:t>
                  </w:r>
                </w:p>
              </w:tc>
              <w:tc>
                <w:tcPr>
                  <w:tcW w:w="441" w:type="dxa"/>
                  <w:tcBorders>
                    <w:tl2br w:val="nil"/>
                    <w:tr2bl w:val="nil"/>
                  </w:tcBorders>
                  <w:shd w:val="clear" w:color="auto" w:fill="auto"/>
                  <w:vAlign w:val="center"/>
                </w:tcPr>
                <w:p w14:paraId="1A92BE9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2"/>
                      <w:sz w:val="21"/>
                      <w:szCs w:val="20"/>
                    </w:rPr>
                    <w:t>S8</w:t>
                  </w:r>
                </w:p>
              </w:tc>
              <w:tc>
                <w:tcPr>
                  <w:tcW w:w="3047" w:type="dxa"/>
                  <w:tcBorders>
                    <w:tl2br w:val="nil"/>
                    <w:tr2bl w:val="nil"/>
                  </w:tcBorders>
                  <w:shd w:val="clear" w:color="auto" w:fill="auto"/>
                  <w:vAlign w:val="center"/>
                </w:tcPr>
                <w:p w14:paraId="5582924A">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9"/>
                      <w:sz w:val="21"/>
                    </w:rPr>
                    <w:t>废</w:t>
                  </w:r>
                  <w:r>
                    <w:rPr>
                      <w:rFonts w:ascii="Times New Roman" w:hAnsi="Times New Roman" w:eastAsia="宋体" w:cs="Times New Roman"/>
                      <w:color w:val="auto"/>
                      <w:sz w:val="21"/>
                    </w:rPr>
                    <w:t>RO</w:t>
                  </w:r>
                  <w:r>
                    <w:rPr>
                      <w:rFonts w:ascii="Times New Roman" w:hAnsi="Times New Roman" w:eastAsia="宋体"/>
                      <w:color w:val="auto"/>
                      <w:spacing w:val="9"/>
                      <w:sz w:val="21"/>
                    </w:rPr>
                    <w:t>膜、废过滤器、废离子交</w:t>
                  </w:r>
                  <w:r>
                    <w:rPr>
                      <w:rFonts w:ascii="Times New Roman" w:hAnsi="Times New Roman" w:eastAsia="宋体"/>
                      <w:color w:val="auto"/>
                      <w:spacing w:val="6"/>
                      <w:sz w:val="21"/>
                    </w:rPr>
                    <w:t>换树脂</w:t>
                  </w:r>
                </w:p>
              </w:tc>
            </w:tr>
            <w:tr w14:paraId="1466CA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389" w:type="dxa"/>
                  <w:vMerge w:val="continue"/>
                  <w:tcBorders>
                    <w:tl2br w:val="nil"/>
                    <w:tr2bl w:val="nil"/>
                  </w:tcBorders>
                  <w:vAlign w:val="center"/>
                </w:tcPr>
                <w:p w14:paraId="1AB5F151">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DD3F572">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62486F97">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设备维护保养</w:t>
                  </w:r>
                </w:p>
              </w:tc>
              <w:tc>
                <w:tcPr>
                  <w:tcW w:w="0" w:type="auto"/>
                  <w:tcBorders>
                    <w:tl2br w:val="nil"/>
                    <w:tr2bl w:val="nil"/>
                  </w:tcBorders>
                  <w:shd w:val="clear" w:color="auto" w:fill="auto"/>
                  <w:vAlign w:val="center"/>
                </w:tcPr>
                <w:p w14:paraId="41D2DB17">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废机油</w:t>
                  </w:r>
                </w:p>
              </w:tc>
              <w:tc>
                <w:tcPr>
                  <w:tcW w:w="441" w:type="dxa"/>
                  <w:tcBorders>
                    <w:tl2br w:val="nil"/>
                    <w:tr2bl w:val="nil"/>
                  </w:tcBorders>
                  <w:shd w:val="clear" w:color="auto" w:fill="auto"/>
                  <w:vAlign w:val="center"/>
                </w:tcPr>
                <w:p w14:paraId="22B9D9F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3"/>
                      <w:position w:val="1"/>
                      <w:sz w:val="21"/>
                      <w:szCs w:val="20"/>
                    </w:rPr>
                    <w:t>S9</w:t>
                  </w:r>
                </w:p>
              </w:tc>
              <w:tc>
                <w:tcPr>
                  <w:tcW w:w="3047" w:type="dxa"/>
                  <w:tcBorders>
                    <w:tl2br w:val="nil"/>
                    <w:tr2bl w:val="nil"/>
                  </w:tcBorders>
                  <w:shd w:val="clear" w:color="auto" w:fill="auto"/>
                  <w:vAlign w:val="center"/>
                </w:tcPr>
                <w:p w14:paraId="657DAD74">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废矿物油</w:t>
                  </w:r>
                </w:p>
              </w:tc>
            </w:tr>
            <w:tr w14:paraId="459F5A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4A82F5DC">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0BD7423">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070F6AC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设备维护保养</w:t>
                  </w:r>
                </w:p>
              </w:tc>
              <w:tc>
                <w:tcPr>
                  <w:tcW w:w="0" w:type="auto"/>
                  <w:tcBorders>
                    <w:tl2br w:val="nil"/>
                    <w:tr2bl w:val="nil"/>
                  </w:tcBorders>
                  <w:shd w:val="clear" w:color="auto" w:fill="auto"/>
                  <w:vAlign w:val="center"/>
                </w:tcPr>
                <w:p w14:paraId="0459CA2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废油桶</w:t>
                  </w:r>
                </w:p>
              </w:tc>
              <w:tc>
                <w:tcPr>
                  <w:tcW w:w="441" w:type="dxa"/>
                  <w:tcBorders>
                    <w:tl2br w:val="nil"/>
                    <w:tr2bl w:val="nil"/>
                  </w:tcBorders>
                  <w:shd w:val="clear" w:color="auto" w:fill="auto"/>
                  <w:vAlign w:val="center"/>
                </w:tcPr>
                <w:p w14:paraId="09B954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10</w:t>
                  </w:r>
                </w:p>
              </w:tc>
              <w:tc>
                <w:tcPr>
                  <w:tcW w:w="3047" w:type="dxa"/>
                  <w:tcBorders>
                    <w:tl2br w:val="nil"/>
                    <w:tr2bl w:val="nil"/>
                  </w:tcBorders>
                  <w:shd w:val="clear" w:color="auto" w:fill="auto"/>
                  <w:vAlign w:val="center"/>
                </w:tcPr>
                <w:p w14:paraId="27716886">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沾染矿物油的包装物</w:t>
                  </w:r>
                </w:p>
              </w:tc>
            </w:tr>
            <w:tr w14:paraId="251E4B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rPr>
              <w:tc>
                <w:tcPr>
                  <w:tcW w:w="389" w:type="dxa"/>
                  <w:vMerge w:val="continue"/>
                  <w:tcBorders>
                    <w:tl2br w:val="nil"/>
                    <w:tr2bl w:val="nil"/>
                  </w:tcBorders>
                  <w:vAlign w:val="center"/>
                </w:tcPr>
                <w:p w14:paraId="25C6C491">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4F77E1CC">
                  <w:pPr>
                    <w:keepNext w:val="0"/>
                    <w:keepLines w:val="0"/>
                    <w:pageBreakBefore w:val="0"/>
                    <w:widowControl w:val="0"/>
                    <w:tabs>
                      <w:tab w:val="left" w:pos="2604"/>
                    </w:tabs>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376BE7E3">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hint="eastAsia" w:ascii="Times New Roman" w:hAnsi="Times New Roman"/>
                      <w:color w:val="auto"/>
                      <w:spacing w:val="7"/>
                      <w:sz w:val="21"/>
                      <w:lang w:eastAsia="zh-CN"/>
                    </w:rPr>
                    <w:t>废水处理设施</w:t>
                  </w:r>
                </w:p>
              </w:tc>
              <w:tc>
                <w:tcPr>
                  <w:tcW w:w="0" w:type="auto"/>
                  <w:tcBorders>
                    <w:tl2br w:val="nil"/>
                    <w:tr2bl w:val="nil"/>
                  </w:tcBorders>
                  <w:shd w:val="clear" w:color="auto" w:fill="auto"/>
                  <w:vAlign w:val="center"/>
                </w:tcPr>
                <w:p w14:paraId="4E7487A7">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8"/>
                      <w:sz w:val="21"/>
                    </w:rPr>
                    <w:t>废水处理污</w:t>
                  </w:r>
                  <w:r>
                    <w:rPr>
                      <w:rFonts w:ascii="Times New Roman" w:hAnsi="Times New Roman" w:eastAsia="宋体"/>
                      <w:color w:val="auto"/>
                      <w:sz w:val="21"/>
                    </w:rPr>
                    <w:t>泥</w:t>
                  </w:r>
                </w:p>
              </w:tc>
              <w:tc>
                <w:tcPr>
                  <w:tcW w:w="441" w:type="dxa"/>
                  <w:tcBorders>
                    <w:tl2br w:val="nil"/>
                    <w:tr2bl w:val="nil"/>
                  </w:tcBorders>
                  <w:shd w:val="clear" w:color="auto" w:fill="auto"/>
                  <w:vAlign w:val="center"/>
                </w:tcPr>
                <w:p w14:paraId="227E6F2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2"/>
                      <w:sz w:val="21"/>
                      <w:szCs w:val="20"/>
                    </w:rPr>
                    <w:t>S</w:t>
                  </w:r>
                  <w:r>
                    <w:rPr>
                      <w:rFonts w:ascii="Times New Roman" w:hAnsi="Times New Roman" w:eastAsia="宋体" w:cs="Times New Roman"/>
                      <w:color w:val="auto"/>
                      <w:spacing w:val="-27"/>
                      <w:position w:val="2"/>
                      <w:sz w:val="21"/>
                      <w:szCs w:val="20"/>
                    </w:rPr>
                    <w:t xml:space="preserve"> </w:t>
                  </w:r>
                  <w:r>
                    <w:rPr>
                      <w:rFonts w:ascii="Times New Roman" w:hAnsi="Times New Roman" w:eastAsia="宋体" w:cs="Times New Roman"/>
                      <w:color w:val="auto"/>
                      <w:spacing w:val="-8"/>
                      <w:position w:val="2"/>
                      <w:sz w:val="21"/>
                      <w:szCs w:val="20"/>
                    </w:rPr>
                    <w:t>11</w:t>
                  </w:r>
                </w:p>
              </w:tc>
              <w:tc>
                <w:tcPr>
                  <w:tcW w:w="3047" w:type="dxa"/>
                  <w:tcBorders>
                    <w:tl2br w:val="nil"/>
                    <w:tr2bl w:val="nil"/>
                  </w:tcBorders>
                  <w:shd w:val="clear" w:color="auto" w:fill="auto"/>
                  <w:vAlign w:val="center"/>
                </w:tcPr>
                <w:p w14:paraId="5EC99098">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3"/>
                      <w:sz w:val="21"/>
                    </w:rPr>
                    <w:t>污泥</w:t>
                  </w:r>
                </w:p>
              </w:tc>
            </w:tr>
            <w:tr w14:paraId="3D3BEA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3079CD64">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7035EB3">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7FDD6DD3">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活性炭装置</w:t>
                  </w:r>
                </w:p>
              </w:tc>
              <w:tc>
                <w:tcPr>
                  <w:tcW w:w="0" w:type="auto"/>
                  <w:tcBorders>
                    <w:tl2br w:val="nil"/>
                    <w:tr2bl w:val="nil"/>
                  </w:tcBorders>
                  <w:shd w:val="clear" w:color="auto" w:fill="auto"/>
                  <w:vAlign w:val="center"/>
                </w:tcPr>
                <w:p w14:paraId="6A275493">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废活性炭</w:t>
                  </w:r>
                </w:p>
              </w:tc>
              <w:tc>
                <w:tcPr>
                  <w:tcW w:w="441" w:type="dxa"/>
                  <w:tcBorders>
                    <w:tl2br w:val="nil"/>
                    <w:tr2bl w:val="nil"/>
                  </w:tcBorders>
                  <w:shd w:val="clear" w:color="auto" w:fill="auto"/>
                  <w:vAlign w:val="center"/>
                </w:tcPr>
                <w:p w14:paraId="60F7D6B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12</w:t>
                  </w:r>
                </w:p>
              </w:tc>
              <w:tc>
                <w:tcPr>
                  <w:tcW w:w="3047" w:type="dxa"/>
                  <w:tcBorders>
                    <w:tl2br w:val="nil"/>
                    <w:tr2bl w:val="nil"/>
                  </w:tcBorders>
                  <w:shd w:val="clear" w:color="auto" w:fill="auto"/>
                  <w:vAlign w:val="center"/>
                </w:tcPr>
                <w:p w14:paraId="2E0C06A2">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吸附废气的活性炭</w:t>
                  </w:r>
                </w:p>
              </w:tc>
            </w:tr>
            <w:tr w14:paraId="09BD0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6CF4C4EC">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5C64C3E">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0DABC4A1">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超滤系统</w:t>
                  </w:r>
                </w:p>
              </w:tc>
              <w:tc>
                <w:tcPr>
                  <w:tcW w:w="0" w:type="auto"/>
                  <w:tcBorders>
                    <w:tl2br w:val="nil"/>
                    <w:tr2bl w:val="nil"/>
                  </w:tcBorders>
                  <w:shd w:val="clear" w:color="auto" w:fill="auto"/>
                  <w:vAlign w:val="center"/>
                </w:tcPr>
                <w:p w14:paraId="775FE230">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废滤膜</w:t>
                  </w:r>
                </w:p>
              </w:tc>
              <w:tc>
                <w:tcPr>
                  <w:tcW w:w="441" w:type="dxa"/>
                  <w:tcBorders>
                    <w:tl2br w:val="nil"/>
                    <w:tr2bl w:val="nil"/>
                  </w:tcBorders>
                  <w:shd w:val="clear" w:color="auto" w:fill="auto"/>
                  <w:vAlign w:val="center"/>
                </w:tcPr>
                <w:p w14:paraId="5EEC0FC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13</w:t>
                  </w:r>
                </w:p>
              </w:tc>
              <w:tc>
                <w:tcPr>
                  <w:tcW w:w="3047" w:type="dxa"/>
                  <w:tcBorders>
                    <w:tl2br w:val="nil"/>
                    <w:tr2bl w:val="nil"/>
                  </w:tcBorders>
                  <w:shd w:val="clear" w:color="auto" w:fill="auto"/>
                  <w:vAlign w:val="center"/>
                </w:tcPr>
                <w:p w14:paraId="237507F8">
                  <w:pPr>
                    <w:pStyle w:val="115"/>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7"/>
                      <w:sz w:val="21"/>
                    </w:rPr>
                    <w:t>沾染杂物的滤膜</w:t>
                  </w:r>
                </w:p>
              </w:tc>
            </w:tr>
            <w:tr w14:paraId="0D413F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639D3D6D">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26700FA8">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08175EB1">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5"/>
                      <w:sz w:val="21"/>
                    </w:rPr>
                    <w:t>员工生活</w:t>
                  </w:r>
                </w:p>
              </w:tc>
              <w:tc>
                <w:tcPr>
                  <w:tcW w:w="0" w:type="auto"/>
                  <w:tcBorders>
                    <w:tl2br w:val="nil"/>
                    <w:tr2bl w:val="nil"/>
                  </w:tcBorders>
                  <w:shd w:val="clear" w:color="auto" w:fill="auto"/>
                  <w:vAlign w:val="center"/>
                </w:tcPr>
                <w:p w14:paraId="0CFFA23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sz w:val="21"/>
                    </w:rPr>
                    <w:t>生活垃圾</w:t>
                  </w:r>
                </w:p>
              </w:tc>
              <w:tc>
                <w:tcPr>
                  <w:tcW w:w="441" w:type="dxa"/>
                  <w:tcBorders>
                    <w:tl2br w:val="nil"/>
                    <w:tr2bl w:val="nil"/>
                  </w:tcBorders>
                  <w:shd w:val="clear" w:color="auto" w:fill="auto"/>
                  <w:vAlign w:val="center"/>
                </w:tcPr>
                <w:p w14:paraId="1F1D1468">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14</w:t>
                  </w:r>
                </w:p>
              </w:tc>
              <w:tc>
                <w:tcPr>
                  <w:tcW w:w="3047" w:type="dxa"/>
                  <w:tcBorders>
                    <w:tl2br w:val="nil"/>
                    <w:tr2bl w:val="nil"/>
                  </w:tcBorders>
                  <w:shd w:val="clear" w:color="auto" w:fill="auto"/>
                  <w:vAlign w:val="center"/>
                </w:tcPr>
                <w:p w14:paraId="579BF403">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s="宋体"/>
                      <w:color w:val="auto"/>
                      <w:kern w:val="2"/>
                      <w:sz w:val="21"/>
                      <w:szCs w:val="24"/>
                      <w:lang w:val="en-US" w:eastAsia="en-US" w:bidi="ar-SA"/>
                    </w:rPr>
                  </w:pPr>
                  <w:r>
                    <w:rPr>
                      <w:rFonts w:ascii="Times New Roman" w:hAnsi="Times New Roman" w:eastAsia="宋体"/>
                      <w:color w:val="auto"/>
                      <w:spacing w:val="9"/>
                      <w:sz w:val="21"/>
                    </w:rPr>
                    <w:t>废纸、废塑料和有机垃圾等</w:t>
                  </w:r>
                </w:p>
              </w:tc>
            </w:tr>
            <w:tr w14:paraId="15972F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19F7F567">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25C4AFD">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483D418A">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pacing w:val="5"/>
                      <w:sz w:val="21"/>
                      <w:lang w:val="en-US" w:eastAsia="zh-CN"/>
                    </w:rPr>
                  </w:pPr>
                  <w:r>
                    <w:rPr>
                      <w:rFonts w:hint="eastAsia" w:ascii="Times New Roman" w:hAnsi="Times New Roman"/>
                      <w:color w:val="auto"/>
                      <w:spacing w:val="5"/>
                      <w:sz w:val="21"/>
                      <w:lang w:val="en-US" w:eastAsia="zh-CN"/>
                    </w:rPr>
                    <w:t>喷粉</w:t>
                  </w:r>
                </w:p>
              </w:tc>
              <w:tc>
                <w:tcPr>
                  <w:tcW w:w="0" w:type="auto"/>
                  <w:tcBorders>
                    <w:tl2br w:val="nil"/>
                    <w:tr2bl w:val="nil"/>
                  </w:tcBorders>
                  <w:shd w:val="clear" w:color="auto" w:fill="auto"/>
                  <w:vAlign w:val="center"/>
                </w:tcPr>
                <w:p w14:paraId="536237EC">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6"/>
                      <w:sz w:val="21"/>
                      <w:lang w:val="en-US" w:eastAsia="zh-CN"/>
                    </w:rPr>
                  </w:pPr>
                  <w:r>
                    <w:rPr>
                      <w:rFonts w:hint="eastAsia" w:ascii="Times New Roman" w:hAnsi="Times New Roman"/>
                      <w:color w:val="auto"/>
                      <w:spacing w:val="6"/>
                      <w:sz w:val="21"/>
                      <w:lang w:val="en-US" w:eastAsia="zh-CN"/>
                    </w:rPr>
                    <w:t>喷粉滤芯除尘系统</w:t>
                  </w:r>
                </w:p>
              </w:tc>
              <w:tc>
                <w:tcPr>
                  <w:tcW w:w="441" w:type="dxa"/>
                  <w:tcBorders>
                    <w:tl2br w:val="nil"/>
                    <w:tr2bl w:val="nil"/>
                  </w:tcBorders>
                  <w:shd w:val="clear" w:color="auto" w:fill="auto"/>
                  <w:vAlign w:val="center"/>
                </w:tcPr>
                <w:p w14:paraId="126895D8">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spacing w:val="-8"/>
                      <w:position w:val="1"/>
                      <w:sz w:val="21"/>
                      <w:szCs w:val="20"/>
                      <w:lang w:eastAsia="zh-CN"/>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w:t>
                  </w:r>
                  <w:r>
                    <w:rPr>
                      <w:rFonts w:hint="eastAsia" w:ascii="Times New Roman" w:hAnsi="Times New Roman" w:eastAsia="宋体" w:cs="Times New Roman"/>
                      <w:color w:val="auto"/>
                      <w:spacing w:val="-8"/>
                      <w:position w:val="1"/>
                      <w:sz w:val="21"/>
                      <w:szCs w:val="20"/>
                      <w:lang w:val="en-US" w:eastAsia="zh-CN"/>
                    </w:rPr>
                    <w:t>5</w:t>
                  </w:r>
                </w:p>
              </w:tc>
              <w:tc>
                <w:tcPr>
                  <w:tcW w:w="3047" w:type="dxa"/>
                  <w:tcBorders>
                    <w:tl2br w:val="nil"/>
                    <w:tr2bl w:val="nil"/>
                  </w:tcBorders>
                  <w:shd w:val="clear" w:color="auto" w:fill="auto"/>
                  <w:vAlign w:val="center"/>
                </w:tcPr>
                <w:p w14:paraId="17628147">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9"/>
                      <w:sz w:val="21"/>
                      <w:lang w:val="en-US" w:eastAsia="zh-CN"/>
                    </w:rPr>
                  </w:pPr>
                  <w:r>
                    <w:rPr>
                      <w:rFonts w:hint="eastAsia" w:ascii="Times New Roman" w:hAnsi="Times New Roman"/>
                      <w:color w:val="auto"/>
                      <w:spacing w:val="9"/>
                      <w:sz w:val="21"/>
                      <w:lang w:val="en-US" w:eastAsia="zh-CN"/>
                    </w:rPr>
                    <w:t>废滤筒滤芯</w:t>
                  </w:r>
                </w:p>
              </w:tc>
            </w:tr>
            <w:tr w14:paraId="32D9B2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1E375FCB">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6CA8D73E">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239DE7E6">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pacing w:val="5"/>
                      <w:sz w:val="21"/>
                      <w:lang w:val="en-US" w:eastAsia="zh-CN"/>
                    </w:rPr>
                  </w:pPr>
                  <w:r>
                    <w:rPr>
                      <w:rFonts w:hint="eastAsia" w:ascii="Times New Roman" w:hAnsi="Times New Roman"/>
                      <w:color w:val="auto"/>
                      <w:spacing w:val="5"/>
                      <w:sz w:val="21"/>
                      <w:lang w:val="en-US" w:eastAsia="zh-CN"/>
                    </w:rPr>
                    <w:t>喷漆</w:t>
                  </w:r>
                </w:p>
              </w:tc>
              <w:tc>
                <w:tcPr>
                  <w:tcW w:w="0" w:type="auto"/>
                  <w:tcBorders>
                    <w:tl2br w:val="nil"/>
                    <w:tr2bl w:val="nil"/>
                  </w:tcBorders>
                  <w:shd w:val="clear" w:color="auto" w:fill="auto"/>
                  <w:vAlign w:val="center"/>
                </w:tcPr>
                <w:p w14:paraId="020E4F63">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6"/>
                      <w:sz w:val="21"/>
                      <w:lang w:val="en-US" w:eastAsia="zh-CN"/>
                    </w:rPr>
                  </w:pPr>
                  <w:r>
                    <w:rPr>
                      <w:rFonts w:hint="eastAsia" w:ascii="Times New Roman" w:hAnsi="Times New Roman"/>
                      <w:color w:val="auto"/>
                      <w:spacing w:val="6"/>
                      <w:sz w:val="21"/>
                      <w:lang w:val="en-US" w:eastAsia="zh-CN"/>
                    </w:rPr>
                    <w:t>喷漆漆渣</w:t>
                  </w:r>
                </w:p>
              </w:tc>
              <w:tc>
                <w:tcPr>
                  <w:tcW w:w="441" w:type="dxa"/>
                  <w:tcBorders>
                    <w:tl2br w:val="nil"/>
                    <w:tr2bl w:val="nil"/>
                  </w:tcBorders>
                  <w:shd w:val="clear" w:color="auto" w:fill="auto"/>
                  <w:vAlign w:val="center"/>
                </w:tcPr>
                <w:p w14:paraId="1A300870">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s="Times New Roman"/>
                      <w:color w:val="auto"/>
                      <w:spacing w:val="-8"/>
                      <w:position w:val="1"/>
                      <w:sz w:val="21"/>
                      <w:szCs w:val="20"/>
                      <w:lang w:eastAsia="zh-CN"/>
                    </w:rPr>
                  </w:pPr>
                  <w:r>
                    <w:rPr>
                      <w:rFonts w:ascii="Times New Roman" w:hAnsi="Times New Roman" w:eastAsia="宋体" w:cs="Times New Roman"/>
                      <w:color w:val="auto"/>
                      <w:spacing w:val="-8"/>
                      <w:position w:val="1"/>
                      <w:sz w:val="21"/>
                      <w:szCs w:val="20"/>
                    </w:rPr>
                    <w:t>S</w:t>
                  </w:r>
                  <w:r>
                    <w:rPr>
                      <w:rFonts w:ascii="Times New Roman" w:hAnsi="Times New Roman" w:eastAsia="宋体" w:cs="Times New Roman"/>
                      <w:color w:val="auto"/>
                      <w:spacing w:val="-27"/>
                      <w:position w:val="1"/>
                      <w:sz w:val="21"/>
                      <w:szCs w:val="20"/>
                    </w:rPr>
                    <w:t xml:space="preserve"> </w:t>
                  </w:r>
                  <w:r>
                    <w:rPr>
                      <w:rFonts w:ascii="Times New Roman" w:hAnsi="Times New Roman" w:eastAsia="宋体" w:cs="Times New Roman"/>
                      <w:color w:val="auto"/>
                      <w:spacing w:val="-8"/>
                      <w:position w:val="1"/>
                      <w:sz w:val="21"/>
                      <w:szCs w:val="20"/>
                    </w:rPr>
                    <w:t>1</w:t>
                  </w:r>
                  <w:r>
                    <w:rPr>
                      <w:rFonts w:hint="eastAsia" w:ascii="Times New Roman" w:hAnsi="Times New Roman" w:eastAsia="宋体" w:cs="Times New Roman"/>
                      <w:color w:val="auto"/>
                      <w:spacing w:val="-8"/>
                      <w:position w:val="1"/>
                      <w:sz w:val="21"/>
                      <w:szCs w:val="20"/>
                      <w:lang w:val="en-US" w:eastAsia="zh-CN"/>
                    </w:rPr>
                    <w:t>6</w:t>
                  </w:r>
                </w:p>
              </w:tc>
              <w:tc>
                <w:tcPr>
                  <w:tcW w:w="3047" w:type="dxa"/>
                  <w:tcBorders>
                    <w:tl2br w:val="nil"/>
                    <w:tr2bl w:val="nil"/>
                  </w:tcBorders>
                  <w:shd w:val="clear" w:color="auto" w:fill="auto"/>
                  <w:vAlign w:val="center"/>
                </w:tcPr>
                <w:p w14:paraId="3D132C19">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olor w:val="auto"/>
                      <w:spacing w:val="9"/>
                      <w:sz w:val="21"/>
                      <w:lang w:val="en-US" w:eastAsia="zh-CN"/>
                    </w:rPr>
                  </w:pPr>
                  <w:r>
                    <w:rPr>
                      <w:rFonts w:hint="eastAsia" w:ascii="Times New Roman" w:hAnsi="Times New Roman"/>
                      <w:color w:val="auto"/>
                      <w:spacing w:val="9"/>
                      <w:sz w:val="21"/>
                      <w:lang w:val="en-US" w:eastAsia="zh-CN"/>
                    </w:rPr>
                    <w:t>漆渣</w:t>
                  </w:r>
                </w:p>
              </w:tc>
            </w:tr>
            <w:tr w14:paraId="09607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389" w:type="dxa"/>
                  <w:vMerge w:val="continue"/>
                  <w:tcBorders>
                    <w:tl2br w:val="nil"/>
                    <w:tr2bl w:val="nil"/>
                  </w:tcBorders>
                  <w:vAlign w:val="center"/>
                </w:tcPr>
                <w:p w14:paraId="1815BDD2">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ascii="Times New Roman" w:hAnsi="Times New Roman" w:eastAsia="宋体"/>
                      <w:color w:val="auto"/>
                      <w:sz w:val="21"/>
                      <w:szCs w:val="21"/>
                      <w:highlight w:val="none"/>
                    </w:rPr>
                  </w:pPr>
                </w:p>
              </w:tc>
              <w:tc>
                <w:tcPr>
                  <w:tcW w:w="444" w:type="dxa"/>
                  <w:vMerge w:val="continue"/>
                  <w:tcBorders>
                    <w:tl2br w:val="nil"/>
                    <w:tr2bl w:val="nil"/>
                  </w:tcBorders>
                  <w:vAlign w:val="center"/>
                </w:tcPr>
                <w:p w14:paraId="19700122">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p>
              </w:tc>
              <w:tc>
                <w:tcPr>
                  <w:tcW w:w="0" w:type="auto"/>
                  <w:tcBorders>
                    <w:tl2br w:val="nil"/>
                    <w:tr2bl w:val="nil"/>
                  </w:tcBorders>
                  <w:shd w:val="clear" w:color="auto" w:fill="auto"/>
                  <w:vAlign w:val="center"/>
                </w:tcPr>
                <w:p w14:paraId="26C53EBD">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olor w:val="auto"/>
                      <w:spacing w:val="5"/>
                      <w:sz w:val="21"/>
                      <w:lang w:val="en-US" w:eastAsia="zh-CN"/>
                    </w:rPr>
                  </w:pPr>
                  <w:r>
                    <w:rPr>
                      <w:rFonts w:hint="eastAsia" w:ascii="Times New Roman" w:hAnsi="Times New Roman"/>
                      <w:color w:val="auto"/>
                      <w:spacing w:val="5"/>
                      <w:sz w:val="21"/>
                      <w:lang w:val="en-US" w:eastAsia="zh-CN"/>
                    </w:rPr>
                    <w:t>电泳</w:t>
                  </w:r>
                </w:p>
              </w:tc>
              <w:tc>
                <w:tcPr>
                  <w:tcW w:w="0" w:type="auto"/>
                  <w:tcBorders>
                    <w:tl2br w:val="nil"/>
                    <w:tr2bl w:val="nil"/>
                  </w:tcBorders>
                  <w:shd w:val="clear" w:color="auto" w:fill="auto"/>
                  <w:vAlign w:val="center"/>
                </w:tcPr>
                <w:p w14:paraId="280F5A81">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olor w:val="auto"/>
                      <w:spacing w:val="6"/>
                      <w:sz w:val="21"/>
                      <w:lang w:val="en-US" w:eastAsia="zh-CN"/>
                    </w:rPr>
                  </w:pPr>
                  <w:r>
                    <w:rPr>
                      <w:rFonts w:hint="eastAsia" w:ascii="Times New Roman" w:hAnsi="Times New Roman"/>
                      <w:color w:val="auto"/>
                      <w:spacing w:val="6"/>
                      <w:sz w:val="21"/>
                      <w:lang w:val="en-US" w:eastAsia="zh-CN"/>
                    </w:rPr>
                    <w:t>废槽液</w:t>
                  </w:r>
                </w:p>
              </w:tc>
              <w:tc>
                <w:tcPr>
                  <w:tcW w:w="441" w:type="dxa"/>
                  <w:tcBorders>
                    <w:tl2br w:val="nil"/>
                    <w:tr2bl w:val="nil"/>
                  </w:tcBorders>
                  <w:shd w:val="clear" w:color="auto" w:fill="auto"/>
                  <w:vAlign w:val="center"/>
                </w:tcPr>
                <w:p w14:paraId="623DE4D6">
                  <w:pPr>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color w:val="auto"/>
                      <w:spacing w:val="-8"/>
                      <w:position w:val="1"/>
                      <w:sz w:val="21"/>
                      <w:szCs w:val="20"/>
                      <w:lang w:val="en-US" w:eastAsia="zh-CN"/>
                    </w:rPr>
                  </w:pPr>
                  <w:r>
                    <w:rPr>
                      <w:rFonts w:hint="eastAsia" w:cs="Times New Roman"/>
                      <w:color w:val="auto"/>
                      <w:spacing w:val="-8"/>
                      <w:position w:val="1"/>
                      <w:sz w:val="21"/>
                      <w:szCs w:val="20"/>
                      <w:lang w:val="en-US" w:eastAsia="zh-CN"/>
                    </w:rPr>
                    <w:t>S17</w:t>
                  </w:r>
                </w:p>
              </w:tc>
              <w:tc>
                <w:tcPr>
                  <w:tcW w:w="3047" w:type="dxa"/>
                  <w:tcBorders>
                    <w:tl2br w:val="nil"/>
                    <w:tr2bl w:val="nil"/>
                  </w:tcBorders>
                  <w:shd w:val="clear" w:color="auto" w:fill="auto"/>
                  <w:vAlign w:val="center"/>
                </w:tcPr>
                <w:p w14:paraId="7524149F">
                  <w:pPr>
                    <w:pStyle w:val="115"/>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color w:val="auto"/>
                      <w:spacing w:val="9"/>
                      <w:sz w:val="21"/>
                      <w:lang w:val="en-US" w:eastAsia="zh-CN"/>
                    </w:rPr>
                  </w:pPr>
                  <w:r>
                    <w:rPr>
                      <w:rFonts w:hint="eastAsia" w:ascii="Times New Roman" w:hAnsi="Times New Roman"/>
                      <w:color w:val="auto"/>
                      <w:spacing w:val="6"/>
                      <w:sz w:val="21"/>
                      <w:lang w:val="en-US" w:eastAsia="zh-CN"/>
                    </w:rPr>
                    <w:t>废槽液</w:t>
                  </w:r>
                </w:p>
              </w:tc>
            </w:tr>
            <w:tr w14:paraId="22E7B5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38" w:hRule="atLeast"/>
              </w:trPr>
              <w:tc>
                <w:tcPr>
                  <w:tcW w:w="0" w:type="auto"/>
                  <w:tcBorders>
                    <w:tl2br w:val="nil"/>
                    <w:tr2bl w:val="nil"/>
                  </w:tcBorders>
                  <w:vAlign w:val="center"/>
                </w:tcPr>
                <w:p w14:paraId="1F0D78A6">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w:t>
                  </w:r>
                </w:p>
              </w:tc>
              <w:tc>
                <w:tcPr>
                  <w:tcW w:w="0" w:type="auto"/>
                  <w:tcBorders>
                    <w:tl2br w:val="nil"/>
                    <w:tr2bl w:val="nil"/>
                  </w:tcBorders>
                  <w:vAlign w:val="center"/>
                </w:tcPr>
                <w:p w14:paraId="5AA5919F">
                  <w:pPr>
                    <w:pStyle w:val="97"/>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eastAsia" w:ascii="Times New Roman" w:hAnsi="Times New Roman" w:eastAsia="宋体"/>
                      <w:color w:val="auto"/>
                      <w:sz w:val="21"/>
                      <w:szCs w:val="21"/>
                      <w:highlight w:val="none"/>
                      <w:lang w:val="en-US" w:eastAsia="zh-CN"/>
                    </w:rPr>
                  </w:pPr>
                  <w:r>
                    <w:rPr>
                      <w:rFonts w:ascii="Times New Roman" w:hAnsi="Times New Roman" w:eastAsia="宋体"/>
                      <w:color w:val="auto"/>
                      <w:spacing w:val="-8"/>
                      <w:sz w:val="21"/>
                    </w:rPr>
                    <w:t>噪声</w:t>
                  </w:r>
                </w:p>
              </w:tc>
              <w:tc>
                <w:tcPr>
                  <w:tcW w:w="0" w:type="auto"/>
                  <w:gridSpan w:val="4"/>
                  <w:tcBorders>
                    <w:tl2br w:val="nil"/>
                    <w:tr2bl w:val="nil"/>
                  </w:tcBorders>
                  <w:shd w:val="clear" w:color="auto" w:fill="auto"/>
                  <w:vAlign w:val="center"/>
                </w:tcPr>
                <w:p w14:paraId="0054D069">
                  <w:pPr>
                    <w:pStyle w:val="97"/>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ascii="Times New Roman" w:hAnsi="Times New Roman" w:eastAsia="宋体"/>
                      <w:color w:val="auto"/>
                      <w:spacing w:val="9"/>
                      <w:sz w:val="21"/>
                    </w:rPr>
                    <w:t>本项目新增噪声源主要是焊接设备、废气处</w:t>
                  </w:r>
                  <w:r>
                    <w:rPr>
                      <w:rFonts w:ascii="Times New Roman" w:hAnsi="Times New Roman" w:eastAsia="宋体"/>
                      <w:color w:val="auto"/>
                      <w:spacing w:val="8"/>
                      <w:sz w:val="21"/>
                    </w:rPr>
                    <w:t>理风机等设备运行产生的噪声。</w:t>
                  </w:r>
                </w:p>
              </w:tc>
            </w:tr>
          </w:tbl>
          <w:p w14:paraId="08D5C9FF">
            <w:pPr>
              <w:pStyle w:val="25"/>
              <w:rPr>
                <w:rFonts w:hint="eastAsia" w:eastAsia="宋体"/>
                <w:lang w:eastAsia="zh-CN"/>
              </w:rPr>
            </w:pPr>
          </w:p>
        </w:tc>
      </w:tr>
      <w:tr w14:paraId="5E55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4" w:hRule="atLeast"/>
        </w:trPr>
        <w:tc>
          <w:tcPr>
            <w:tcW w:w="429" w:type="dxa"/>
            <w:vAlign w:val="center"/>
          </w:tcPr>
          <w:p w14:paraId="3CBF110F">
            <w:pPr>
              <w:keepNext w:val="0"/>
              <w:keepLines w:val="0"/>
              <w:pageBreakBefore w:val="0"/>
              <w:widowControl w:val="0"/>
              <w:kinsoku/>
              <w:wordWrap/>
              <w:overflowPunct/>
              <w:topLinePunct w:val="0"/>
              <w:autoSpaceDE/>
              <w:autoSpaceDN/>
              <w:bidi w:val="0"/>
              <w:adjustRightInd/>
              <w:snapToGrid/>
              <w:jc w:val="center"/>
              <w:textAlignment w:val="auto"/>
              <w:rPr>
                <w:rFonts w:hint="eastAsia" w:cs="宋体"/>
                <w:color w:val="auto"/>
                <w:sz w:val="21"/>
                <w:szCs w:val="21"/>
                <w:highlight w:val="none"/>
              </w:rPr>
            </w:pPr>
            <w:r>
              <w:rPr>
                <w:rFonts w:ascii="Times New Roman" w:hAnsi="Times New Roman"/>
                <w:bCs/>
                <w:kern w:val="2"/>
                <w:sz w:val="21"/>
                <w:szCs w:val="21"/>
              </w:rPr>
              <w:t>与项目有关的原有环境污染问题</w:t>
            </w:r>
          </w:p>
        </w:tc>
        <w:tc>
          <w:tcPr>
            <w:tcW w:w="8949" w:type="dxa"/>
            <w:vAlign w:val="center"/>
          </w:tcPr>
          <w:p w14:paraId="319A4378">
            <w:pPr>
              <w:pStyle w:val="3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leftChars="0" w:right="0" w:rightChars="0" w:firstLine="420" w:firstLineChars="0"/>
              <w:textAlignment w:val="auto"/>
              <w:rPr>
                <w:rFonts w:hint="eastAsia" w:eastAsia="宋体"/>
                <w:lang w:eastAsia="zh-CN"/>
              </w:rPr>
            </w:pPr>
            <w:r>
              <w:rPr>
                <w:rFonts w:hint="eastAsia"/>
                <w:lang w:eastAsia="zh-CN"/>
              </w:rPr>
              <w:t>新建项目，</w:t>
            </w:r>
            <w:r>
              <w:rPr>
                <w:rFonts w:hint="eastAsia"/>
                <w:lang w:val="en-US" w:eastAsia="zh-CN"/>
              </w:rPr>
              <w:t>租赁</w:t>
            </w:r>
            <w:r>
              <w:rPr>
                <w:rFonts w:hint="eastAsia"/>
                <w:lang w:eastAsia="zh-CN"/>
              </w:rPr>
              <w:t>已建厂房进行生产，不涉及项目有关的原有环境污染问题。</w:t>
            </w:r>
          </w:p>
        </w:tc>
      </w:tr>
    </w:tbl>
    <w:p w14:paraId="1AE7A7C6">
      <w:pPr>
        <w:pStyle w:val="30"/>
        <w:adjustRightInd w:val="0"/>
        <w:snapToGrid w:val="0"/>
        <w:spacing w:before="0" w:beforeAutospacing="0" w:after="0" w:afterAutospacing="0"/>
        <w:jc w:val="center"/>
        <w:rPr>
          <w:rFonts w:cs="宋体"/>
          <w:color w:val="auto"/>
          <w:sz w:val="21"/>
          <w:szCs w:val="21"/>
          <w:highlight w:val="none"/>
        </w:rPr>
        <w:sectPr>
          <w:pgSz w:w="11906" w:h="16838"/>
          <w:pgMar w:top="1531" w:right="1304" w:bottom="1531" w:left="1304" w:header="851" w:footer="1077" w:gutter="0"/>
          <w:pgBorders>
            <w:top w:val="none" w:sz="0" w:space="0"/>
            <w:left w:val="none" w:sz="0" w:space="0"/>
            <w:bottom w:val="none" w:sz="0" w:space="0"/>
            <w:right w:val="none" w:sz="0" w:space="0"/>
          </w:pgBorders>
          <w:pgNumType w:fmt="decimal"/>
          <w:cols w:space="0" w:num="1"/>
          <w:docGrid w:linePitch="312" w:charSpace="0"/>
        </w:sectPr>
      </w:pPr>
    </w:p>
    <w:p w14:paraId="4208EB82">
      <w:pPr>
        <w:rPr>
          <w:color w:val="auto"/>
        </w:rPr>
      </w:pPr>
    </w:p>
    <w:p w14:paraId="75E7E6A9">
      <w:pPr>
        <w:pStyle w:val="2"/>
        <w:numPr>
          <w:ilvl w:val="0"/>
          <w:numId w:val="1"/>
        </w:numPr>
        <w:bidi w:val="0"/>
        <w:ind w:left="432" w:leftChars="0" w:hanging="432" w:firstLineChars="0"/>
        <w:rPr>
          <w:rFonts w:hint="eastAsia"/>
          <w:color w:val="auto"/>
          <w:highlight w:val="none"/>
        </w:rPr>
      </w:pPr>
      <w:bookmarkStart w:id="23" w:name="_Toc6808"/>
      <w:bookmarkStart w:id="24" w:name="_Toc19680"/>
      <w:bookmarkStart w:id="25" w:name="_Toc25824"/>
      <w:bookmarkStart w:id="26" w:name="_Toc26415"/>
      <w:bookmarkStart w:id="27" w:name="_Toc24049"/>
      <w:r>
        <w:rPr>
          <w:rFonts w:hint="eastAsia"/>
          <w:color w:val="auto"/>
          <w:highlight w:val="none"/>
        </w:rPr>
        <w:t>区域环境质量现状、环境保护目标及评价标准</w:t>
      </w:r>
      <w:bookmarkEnd w:id="23"/>
      <w:bookmarkEnd w:id="24"/>
      <w:bookmarkEnd w:id="25"/>
      <w:bookmarkEnd w:id="26"/>
      <w:bookmarkEnd w:id="27"/>
    </w:p>
    <w:tbl>
      <w:tblPr>
        <w:tblStyle w:val="34"/>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864"/>
      </w:tblGrid>
      <w:tr w14:paraId="35D1F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6" w:type="dxa"/>
            <w:vAlign w:val="center"/>
          </w:tcPr>
          <w:p w14:paraId="216FEEF9">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区域</w:t>
            </w:r>
          </w:p>
          <w:p w14:paraId="04B9811A">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2688789B">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质量</w:t>
            </w:r>
          </w:p>
          <w:p w14:paraId="1199C783">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461" w:type="dxa"/>
            <w:vAlign w:val="center"/>
          </w:tcPr>
          <w:p w14:paraId="495E2674">
            <w:pPr>
              <w:pStyle w:val="3"/>
              <w:numPr>
                <w:ilvl w:val="1"/>
                <w:numId w:val="1"/>
              </w:numPr>
              <w:bidi w:val="0"/>
              <w:ind w:left="0" w:leftChars="0" w:firstLine="0" w:firstLineChars="0"/>
              <w:rPr>
                <w:color w:val="auto"/>
                <w:highlight w:val="none"/>
              </w:rPr>
            </w:pPr>
            <w:bookmarkStart w:id="28" w:name="_Toc12042"/>
            <w:r>
              <w:rPr>
                <w:rFonts w:hint="eastAsia"/>
                <w:color w:val="auto"/>
                <w:highlight w:val="none"/>
              </w:rPr>
              <w:t>区域环境质量现状</w:t>
            </w:r>
            <w:bookmarkEnd w:id="28"/>
          </w:p>
          <w:p w14:paraId="7687DC4A">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地表水环境质量现状</w:t>
            </w:r>
          </w:p>
          <w:p w14:paraId="38C375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1</w:t>
            </w:r>
            <w:r>
              <w:rPr>
                <w:rFonts w:hint="eastAsia" w:ascii="Times New Roman" w:hAnsi="Times New Roman" w:eastAsia="宋体" w:cs="Times New Roman"/>
                <w:color w:val="auto"/>
                <w:kern w:val="2"/>
                <w:sz w:val="24"/>
                <w:szCs w:val="20"/>
                <w:highlight w:val="none"/>
                <w:lang w:val="en-US" w:eastAsia="zh-CN" w:bidi="ar-SA"/>
              </w:rPr>
              <w:t>）地表水功能区划</w:t>
            </w:r>
          </w:p>
          <w:p w14:paraId="50AEC930">
            <w:pPr>
              <w:pStyle w:val="46"/>
              <w:keepNext w:val="0"/>
              <w:keepLines w:val="0"/>
              <w:pageBreakBefore w:val="0"/>
              <w:widowControl w:val="0"/>
              <w:shd w:val="clear"/>
              <w:kinsoku/>
              <w:wordWrap/>
              <w:overflowPunct/>
              <w:topLinePunct w:val="0"/>
              <w:autoSpaceDE w:val="0"/>
              <w:autoSpaceDN w:val="0"/>
              <w:bidi w:val="0"/>
              <w:adjustRightInd/>
              <w:snapToGrid/>
              <w:ind w:firstLine="48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本项目废水排入福清市第二污水处理厂，福清市第二污水处理厂尾水达到 《城镇污水处理厂污染物排放标准》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GB18918-2002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一级A标准后排放至龙江，龙江水质执行《地表水环境质量标准》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GB3838-2002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中V类标准，水质执行《地表水环境质量标准》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GB3838-2002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V类水质标准，具体详见表3.1-1。</w:t>
            </w:r>
          </w:p>
          <w:p w14:paraId="63A1DBB8">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bookmarkStart w:id="29" w:name="_Ref6142"/>
            <w:r>
              <w:rPr>
                <w:rFonts w:hint="eastAsia" w:ascii="Times New Roman" w:hAnsi="Times New Roman" w:eastAsia="宋体"/>
                <w:color w:val="auto"/>
                <w:highlight w:val="none"/>
              </w:rPr>
              <w:t xml:space="preserve"> </w:t>
            </w:r>
            <w:bookmarkEnd w:id="29"/>
            <w:r>
              <w:rPr>
                <w:rFonts w:hint="eastAsia" w:ascii="Times New Roman" w:hAnsi="Times New Roman" w:eastAsia="宋体"/>
                <w:color w:val="auto"/>
                <w:highlight w:val="none"/>
              </w:rPr>
              <w:t>地表水环境质量标准（摘录） 单位：mg/L（除pH外）</w:t>
            </w: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42"/>
              <w:gridCol w:w="2909"/>
              <w:gridCol w:w="1240"/>
              <w:gridCol w:w="1204"/>
              <w:gridCol w:w="1171"/>
              <w:gridCol w:w="1179"/>
            </w:tblGrid>
            <w:tr w14:paraId="321729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bottom w:val="single" w:color="000000" w:sz="12" w:space="0"/>
                  </w:tcBorders>
                  <w:vAlign w:val="center"/>
                </w:tcPr>
                <w:p w14:paraId="4063BE8F">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8"/>
                      <w:sz w:val="21"/>
                    </w:rPr>
                    <w:t>序号</w:t>
                  </w:r>
                </w:p>
              </w:tc>
              <w:tc>
                <w:tcPr>
                  <w:tcW w:w="1682" w:type="pct"/>
                  <w:tcBorders>
                    <w:bottom w:val="single" w:color="000000" w:sz="12" w:space="0"/>
                  </w:tcBorders>
                  <w:vAlign w:val="center"/>
                </w:tcPr>
                <w:p w14:paraId="55EC8EED">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8"/>
                      <w:sz w:val="21"/>
                    </w:rPr>
                    <w:t>项目</w:t>
                  </w:r>
                </w:p>
              </w:tc>
              <w:tc>
                <w:tcPr>
                  <w:tcW w:w="717" w:type="pct"/>
                  <w:tcBorders>
                    <w:bottom w:val="single" w:color="000000" w:sz="12" w:space="0"/>
                  </w:tcBorders>
                  <w:vAlign w:val="center"/>
                </w:tcPr>
                <w:p w14:paraId="1C61DA50">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6"/>
                      <w:sz w:val="21"/>
                    </w:rPr>
                    <w:t>Ⅱ类</w:t>
                  </w:r>
                </w:p>
              </w:tc>
              <w:tc>
                <w:tcPr>
                  <w:tcW w:w="696" w:type="pct"/>
                  <w:tcBorders>
                    <w:bottom w:val="single" w:color="000000" w:sz="12" w:space="0"/>
                  </w:tcBorders>
                  <w:shd w:val="clear" w:color="auto" w:fill="auto"/>
                  <w:vAlign w:val="center"/>
                </w:tcPr>
                <w:p w14:paraId="33B807BC">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8"/>
                      <w:sz w:val="21"/>
                    </w:rPr>
                    <w:t>Ⅲ类</w:t>
                  </w:r>
                </w:p>
              </w:tc>
              <w:tc>
                <w:tcPr>
                  <w:tcW w:w="677" w:type="pct"/>
                  <w:tcBorders>
                    <w:bottom w:val="single" w:color="000000" w:sz="12" w:space="0"/>
                  </w:tcBorders>
                  <w:vAlign w:val="center"/>
                </w:tcPr>
                <w:p w14:paraId="1287CEDC">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6"/>
                      <w:sz w:val="21"/>
                    </w:rPr>
                    <w:t>Ⅳ类</w:t>
                  </w:r>
                </w:p>
              </w:tc>
              <w:tc>
                <w:tcPr>
                  <w:tcW w:w="680" w:type="pct"/>
                  <w:tcBorders>
                    <w:bottom w:val="single" w:color="000000" w:sz="12" w:space="0"/>
                  </w:tcBorders>
                  <w:shd w:val="clear" w:color="auto" w:fill="BEBEBE" w:themeFill="background1" w:themeFillShade="BF"/>
                  <w:vAlign w:val="center"/>
                </w:tcPr>
                <w:p w14:paraId="43E73DE7">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color w:val="auto"/>
                      <w:sz w:val="21"/>
                    </w:rPr>
                  </w:pPr>
                  <w:r>
                    <w:rPr>
                      <w:color w:val="auto"/>
                      <w:spacing w:val="-6"/>
                      <w:sz w:val="21"/>
                    </w:rPr>
                    <w:t>Ⅴ类</w:t>
                  </w:r>
                </w:p>
              </w:tc>
            </w:tr>
            <w:tr w14:paraId="7DAAC4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op w:val="single" w:color="000000" w:sz="12" w:space="0"/>
                    <w:tl2br w:val="nil"/>
                    <w:tr2bl w:val="nil"/>
                  </w:tcBorders>
                  <w:vAlign w:val="center"/>
                </w:tcPr>
                <w:p w14:paraId="6FA220CC">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1</w:t>
                  </w:r>
                </w:p>
              </w:tc>
              <w:tc>
                <w:tcPr>
                  <w:tcW w:w="1682" w:type="pct"/>
                  <w:tcBorders>
                    <w:top w:val="single" w:color="000000" w:sz="12" w:space="0"/>
                    <w:tl2br w:val="nil"/>
                    <w:tr2bl w:val="nil"/>
                  </w:tcBorders>
                  <w:vAlign w:val="center"/>
                </w:tcPr>
                <w:p w14:paraId="6A82FBAE">
                  <w:pPr>
                    <w:pStyle w:val="97"/>
                    <w:keepNext w:val="0"/>
                    <w:keepLines w:val="0"/>
                    <w:pageBreakBefore w:val="0"/>
                    <w:widowControl w:val="0"/>
                    <w:kinsoku/>
                    <w:wordWrap/>
                    <w:overflowPunct/>
                    <w:topLinePunct w:val="0"/>
                    <w:autoSpaceDE/>
                    <w:autoSpaceDN/>
                    <w:bidi w:val="0"/>
                    <w:adjustRightInd/>
                    <w:snapToGrid/>
                    <w:ind w:left="0" w:right="0"/>
                    <w:textAlignment w:val="auto"/>
                    <w:rPr>
                      <w:rFonts w:ascii="Times New Roman" w:eastAsia="Times New Roman"/>
                      <w:color w:val="auto"/>
                      <w:sz w:val="21"/>
                    </w:rPr>
                  </w:pPr>
                  <w:r>
                    <w:rPr>
                      <w:rFonts w:ascii="Times New Roman" w:eastAsia="Times New Roman"/>
                      <w:color w:val="auto"/>
                      <w:spacing w:val="-2"/>
                      <w:sz w:val="21"/>
                    </w:rPr>
                    <w:t>pH</w:t>
                  </w:r>
                  <w:r>
                    <w:rPr>
                      <w:rFonts w:hint="eastAsia" w:ascii="Times New Roman" w:eastAsia="宋体"/>
                      <w:color w:val="auto"/>
                      <w:spacing w:val="-2"/>
                      <w:sz w:val="21"/>
                      <w:lang w:eastAsia="zh-CN"/>
                    </w:rPr>
                    <w:t>（</w:t>
                  </w:r>
                  <w:r>
                    <w:rPr>
                      <w:color w:val="auto"/>
                      <w:spacing w:val="-2"/>
                      <w:sz w:val="21"/>
                    </w:rPr>
                    <w:t>无量纲</w:t>
                  </w:r>
                  <w:r>
                    <w:rPr>
                      <w:rFonts w:hint="eastAsia"/>
                      <w:color w:val="auto"/>
                      <w:spacing w:val="-2"/>
                      <w:sz w:val="21"/>
                      <w:lang w:eastAsia="zh-CN"/>
                    </w:rPr>
                    <w:t>）</w:t>
                  </w:r>
                </w:p>
              </w:tc>
              <w:tc>
                <w:tcPr>
                  <w:tcW w:w="2772" w:type="pct"/>
                  <w:gridSpan w:val="4"/>
                  <w:tcBorders>
                    <w:top w:val="single" w:color="000000" w:sz="12" w:space="0"/>
                    <w:tl2br w:val="nil"/>
                    <w:tr2bl w:val="nil"/>
                  </w:tcBorders>
                  <w:shd w:val="clear" w:color="auto" w:fill="BEBEBE" w:themeFill="background1" w:themeFillShade="BF"/>
                  <w:vAlign w:val="center"/>
                </w:tcPr>
                <w:p w14:paraId="6035B0D7">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eastAsia="Times New Roman"/>
                      <w:color w:val="auto"/>
                      <w:sz w:val="21"/>
                    </w:rPr>
                  </w:pPr>
                  <w:r>
                    <w:rPr>
                      <w:rFonts w:ascii="Times New Roman" w:eastAsia="Times New Roman"/>
                      <w:color w:val="auto"/>
                      <w:spacing w:val="-5"/>
                      <w:sz w:val="21"/>
                    </w:rPr>
                    <w:t>6</w:t>
                  </w:r>
                  <w:r>
                    <w:rPr>
                      <w:rFonts w:hint="eastAsia" w:ascii="Times New Roman" w:eastAsia="宋体"/>
                      <w:color w:val="auto"/>
                      <w:spacing w:val="-5"/>
                      <w:sz w:val="21"/>
                      <w:lang w:eastAsia="zh-CN"/>
                    </w:rPr>
                    <w:t>~</w:t>
                  </w:r>
                  <w:r>
                    <w:rPr>
                      <w:rFonts w:ascii="Times New Roman" w:eastAsia="Times New Roman"/>
                      <w:color w:val="auto"/>
                      <w:spacing w:val="-5"/>
                      <w:sz w:val="21"/>
                    </w:rPr>
                    <w:t>9</w:t>
                  </w:r>
                </w:p>
              </w:tc>
            </w:tr>
            <w:tr w14:paraId="323744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7BFC9AF1">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2</w:t>
                  </w:r>
                </w:p>
              </w:tc>
              <w:tc>
                <w:tcPr>
                  <w:tcW w:w="1682" w:type="pct"/>
                  <w:tcBorders>
                    <w:tl2br w:val="nil"/>
                    <w:tr2bl w:val="nil"/>
                  </w:tcBorders>
                  <w:vAlign w:val="center"/>
                </w:tcPr>
                <w:p w14:paraId="28491C7E">
                  <w:pPr>
                    <w:pStyle w:val="97"/>
                    <w:keepNext w:val="0"/>
                    <w:keepLines w:val="0"/>
                    <w:pageBreakBefore w:val="0"/>
                    <w:widowControl w:val="0"/>
                    <w:kinsoku/>
                    <w:wordWrap/>
                    <w:overflowPunct/>
                    <w:topLinePunct w:val="0"/>
                    <w:autoSpaceDE/>
                    <w:autoSpaceDN/>
                    <w:bidi w:val="0"/>
                    <w:adjustRightInd/>
                    <w:snapToGrid/>
                    <w:ind w:left="0" w:right="0"/>
                    <w:textAlignment w:val="auto"/>
                    <w:rPr>
                      <w:rFonts w:ascii="Times New Roman" w:hAnsi="Times New Roman" w:eastAsia="Times New Roman"/>
                      <w:color w:val="auto"/>
                      <w:sz w:val="21"/>
                    </w:rPr>
                  </w:pPr>
                  <w:r>
                    <w:rPr>
                      <w:color w:val="auto"/>
                      <w:sz w:val="21"/>
                    </w:rPr>
                    <w:t>溶解氧</w:t>
                  </w:r>
                  <w:r>
                    <w:rPr>
                      <w:rFonts w:hint="eastAsia"/>
                      <w:color w:val="auto"/>
                      <w:sz w:val="21"/>
                      <w:lang w:eastAsia="zh-CN"/>
                    </w:rPr>
                    <w:t>（</w:t>
                  </w:r>
                  <w:r>
                    <w:rPr>
                      <w:rFonts w:ascii="Times New Roman" w:hAnsi="Times New Roman" w:eastAsia="Times New Roman"/>
                      <w:color w:val="auto"/>
                      <w:sz w:val="21"/>
                    </w:rPr>
                    <w:t>DO</w:t>
                  </w:r>
                  <w:r>
                    <w:rPr>
                      <w:rFonts w:hint="eastAsia" w:ascii="Times New Roman" w:hAnsi="Times New Roman" w:eastAsia="宋体"/>
                      <w:color w:val="auto"/>
                      <w:sz w:val="21"/>
                      <w:lang w:eastAsia="zh-CN"/>
                    </w:rPr>
                    <w:t>）</w:t>
                  </w:r>
                  <w:r>
                    <w:rPr>
                      <w:rFonts w:ascii="Times New Roman" w:hAnsi="Times New Roman" w:eastAsia="Times New Roman"/>
                      <w:color w:val="auto"/>
                      <w:spacing w:val="-9"/>
                      <w:sz w:val="21"/>
                    </w:rPr>
                    <w:t>≥</w:t>
                  </w:r>
                </w:p>
              </w:tc>
              <w:tc>
                <w:tcPr>
                  <w:tcW w:w="717" w:type="pct"/>
                  <w:tcBorders>
                    <w:tl2br w:val="nil"/>
                    <w:tr2bl w:val="nil"/>
                  </w:tcBorders>
                  <w:vAlign w:val="center"/>
                </w:tcPr>
                <w:p w14:paraId="0AC7BC3D">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696" w:type="pct"/>
                  <w:tcBorders>
                    <w:tl2br w:val="nil"/>
                    <w:tr2bl w:val="nil"/>
                  </w:tcBorders>
                  <w:shd w:val="clear" w:color="auto" w:fill="auto"/>
                  <w:vAlign w:val="center"/>
                </w:tcPr>
                <w:p w14:paraId="06784EDE">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5</w:t>
                  </w:r>
                </w:p>
              </w:tc>
              <w:tc>
                <w:tcPr>
                  <w:tcW w:w="677" w:type="pct"/>
                  <w:tcBorders>
                    <w:tl2br w:val="nil"/>
                    <w:tr2bl w:val="nil"/>
                  </w:tcBorders>
                  <w:vAlign w:val="center"/>
                </w:tcPr>
                <w:p w14:paraId="1C8E49EC">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3</w:t>
                  </w:r>
                </w:p>
              </w:tc>
              <w:tc>
                <w:tcPr>
                  <w:tcW w:w="680" w:type="pct"/>
                  <w:tcBorders>
                    <w:tl2br w:val="nil"/>
                    <w:tr2bl w:val="nil"/>
                  </w:tcBorders>
                  <w:shd w:val="clear" w:color="auto" w:fill="BEBEBE" w:themeFill="background1" w:themeFillShade="BF"/>
                  <w:vAlign w:val="center"/>
                </w:tcPr>
                <w:p w14:paraId="4CACB29E">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2</w:t>
                  </w:r>
                </w:p>
              </w:tc>
            </w:tr>
            <w:tr w14:paraId="2673E7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186D1704">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3</w:t>
                  </w:r>
                </w:p>
              </w:tc>
              <w:tc>
                <w:tcPr>
                  <w:tcW w:w="1682" w:type="pct"/>
                  <w:tcBorders>
                    <w:tl2br w:val="nil"/>
                    <w:tr2bl w:val="nil"/>
                  </w:tcBorders>
                  <w:vAlign w:val="center"/>
                </w:tcPr>
                <w:p w14:paraId="4D0B984C">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position w:val="2"/>
                      <w:sz w:val="21"/>
                    </w:rPr>
                  </w:pPr>
                  <w:r>
                    <w:rPr>
                      <w:rFonts w:ascii="Times New Roman" w:hAnsi="Times New Roman"/>
                      <w:color w:val="auto"/>
                      <w:spacing w:val="-2"/>
                      <w:position w:val="2"/>
                      <w:sz w:val="21"/>
                    </w:rPr>
                    <w:t>COD</w:t>
                  </w:r>
                  <w:r>
                    <w:rPr>
                      <w:rFonts w:ascii="Times New Roman" w:hAnsi="Times New Roman"/>
                      <w:color w:val="auto"/>
                      <w:spacing w:val="-2"/>
                      <w:sz w:val="13"/>
                    </w:rPr>
                    <w:t>Mn</w:t>
                  </w:r>
                  <w:r>
                    <w:rPr>
                      <w:rFonts w:ascii="Times New Roman" w:hAnsi="Times New Roman"/>
                      <w:color w:val="auto"/>
                      <w:spacing w:val="-2"/>
                      <w:position w:val="2"/>
                      <w:sz w:val="21"/>
                    </w:rPr>
                    <w:t>≤</w:t>
                  </w:r>
                </w:p>
              </w:tc>
              <w:tc>
                <w:tcPr>
                  <w:tcW w:w="717" w:type="pct"/>
                  <w:tcBorders>
                    <w:tl2br w:val="nil"/>
                    <w:tr2bl w:val="nil"/>
                  </w:tcBorders>
                  <w:vAlign w:val="center"/>
                </w:tcPr>
                <w:p w14:paraId="4E1CAB36">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4</w:t>
                  </w:r>
                </w:p>
              </w:tc>
              <w:tc>
                <w:tcPr>
                  <w:tcW w:w="696" w:type="pct"/>
                  <w:tcBorders>
                    <w:tl2br w:val="nil"/>
                    <w:tr2bl w:val="nil"/>
                  </w:tcBorders>
                  <w:shd w:val="clear" w:color="auto" w:fill="auto"/>
                  <w:vAlign w:val="center"/>
                </w:tcPr>
                <w:p w14:paraId="415EA68B">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677" w:type="pct"/>
                  <w:tcBorders>
                    <w:tl2br w:val="nil"/>
                    <w:tr2bl w:val="nil"/>
                  </w:tcBorders>
                  <w:vAlign w:val="center"/>
                </w:tcPr>
                <w:p w14:paraId="3B85040E">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10</w:t>
                  </w:r>
                </w:p>
              </w:tc>
              <w:tc>
                <w:tcPr>
                  <w:tcW w:w="680" w:type="pct"/>
                  <w:tcBorders>
                    <w:tl2br w:val="nil"/>
                    <w:tr2bl w:val="nil"/>
                  </w:tcBorders>
                  <w:shd w:val="clear" w:color="auto" w:fill="BEBEBE" w:themeFill="background1" w:themeFillShade="BF"/>
                  <w:vAlign w:val="center"/>
                </w:tcPr>
                <w:p w14:paraId="6745B82A">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15</w:t>
                  </w:r>
                </w:p>
              </w:tc>
            </w:tr>
            <w:tr w14:paraId="6DA0A7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17169542">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4</w:t>
                  </w:r>
                </w:p>
              </w:tc>
              <w:tc>
                <w:tcPr>
                  <w:tcW w:w="1682" w:type="pct"/>
                  <w:tcBorders>
                    <w:tl2br w:val="nil"/>
                    <w:tr2bl w:val="nil"/>
                  </w:tcBorders>
                  <w:vAlign w:val="center"/>
                </w:tcPr>
                <w:p w14:paraId="70E44241">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sz w:val="21"/>
                    </w:rPr>
                  </w:pPr>
                  <w:r>
                    <w:rPr>
                      <w:rFonts w:ascii="Times New Roman" w:hAnsi="Times New Roman"/>
                      <w:color w:val="auto"/>
                      <w:spacing w:val="-5"/>
                      <w:sz w:val="21"/>
                    </w:rPr>
                    <w:t>DO≤</w:t>
                  </w:r>
                </w:p>
              </w:tc>
              <w:tc>
                <w:tcPr>
                  <w:tcW w:w="717" w:type="pct"/>
                  <w:tcBorders>
                    <w:tl2br w:val="nil"/>
                    <w:tr2bl w:val="nil"/>
                  </w:tcBorders>
                  <w:vAlign w:val="center"/>
                </w:tcPr>
                <w:p w14:paraId="6E2D838E">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696" w:type="pct"/>
                  <w:tcBorders>
                    <w:tl2br w:val="nil"/>
                    <w:tr2bl w:val="nil"/>
                  </w:tcBorders>
                  <w:shd w:val="clear" w:color="auto" w:fill="auto"/>
                  <w:vAlign w:val="center"/>
                </w:tcPr>
                <w:p w14:paraId="541BD815">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5</w:t>
                  </w:r>
                </w:p>
              </w:tc>
              <w:tc>
                <w:tcPr>
                  <w:tcW w:w="677" w:type="pct"/>
                  <w:tcBorders>
                    <w:tl2br w:val="nil"/>
                    <w:tr2bl w:val="nil"/>
                  </w:tcBorders>
                  <w:vAlign w:val="center"/>
                </w:tcPr>
                <w:p w14:paraId="0F121D09">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3</w:t>
                  </w:r>
                </w:p>
              </w:tc>
              <w:tc>
                <w:tcPr>
                  <w:tcW w:w="680" w:type="pct"/>
                  <w:tcBorders>
                    <w:tl2br w:val="nil"/>
                    <w:tr2bl w:val="nil"/>
                  </w:tcBorders>
                  <w:shd w:val="clear" w:color="auto" w:fill="BEBEBE" w:themeFill="background1" w:themeFillShade="BF"/>
                  <w:vAlign w:val="center"/>
                </w:tcPr>
                <w:p w14:paraId="7CB9AFA3">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2</w:t>
                  </w:r>
                </w:p>
              </w:tc>
            </w:tr>
            <w:tr w14:paraId="57F25F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45" w:type="pct"/>
                  <w:tcBorders>
                    <w:tl2br w:val="nil"/>
                    <w:tr2bl w:val="nil"/>
                  </w:tcBorders>
                  <w:vAlign w:val="center"/>
                </w:tcPr>
                <w:p w14:paraId="1886FADB">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5</w:t>
                  </w:r>
                </w:p>
              </w:tc>
              <w:tc>
                <w:tcPr>
                  <w:tcW w:w="1682" w:type="pct"/>
                  <w:tcBorders>
                    <w:tl2br w:val="nil"/>
                    <w:tr2bl w:val="nil"/>
                  </w:tcBorders>
                  <w:vAlign w:val="center"/>
                </w:tcPr>
                <w:p w14:paraId="64AFB4B9">
                  <w:pPr>
                    <w:pStyle w:val="97"/>
                    <w:keepNext w:val="0"/>
                    <w:keepLines w:val="0"/>
                    <w:pageBreakBefore w:val="0"/>
                    <w:widowControl w:val="0"/>
                    <w:kinsoku/>
                    <w:wordWrap/>
                    <w:overflowPunct/>
                    <w:topLinePunct w:val="0"/>
                    <w:autoSpaceDE/>
                    <w:autoSpaceDN/>
                    <w:bidi w:val="0"/>
                    <w:adjustRightInd/>
                    <w:snapToGrid/>
                    <w:ind w:left="0" w:right="0"/>
                    <w:textAlignment w:val="auto"/>
                    <w:rPr>
                      <w:rFonts w:ascii="Times New Roman" w:hAnsi="Times New Roman"/>
                      <w:color w:val="auto"/>
                      <w:position w:val="2"/>
                      <w:sz w:val="21"/>
                    </w:rPr>
                  </w:pPr>
                  <w:r>
                    <w:rPr>
                      <w:rFonts w:ascii="Times New Roman" w:hAnsi="Times New Roman"/>
                      <w:color w:val="auto"/>
                      <w:spacing w:val="-2"/>
                      <w:position w:val="2"/>
                      <w:sz w:val="21"/>
                    </w:rPr>
                    <w:t>NH</w:t>
                  </w:r>
                  <w:r>
                    <w:rPr>
                      <w:rFonts w:ascii="Times New Roman" w:hAnsi="Times New Roman"/>
                      <w:color w:val="auto"/>
                      <w:spacing w:val="-2"/>
                      <w:sz w:val="13"/>
                    </w:rPr>
                    <w:t>3</w:t>
                  </w:r>
                  <w:r>
                    <w:rPr>
                      <w:rFonts w:ascii="Times New Roman" w:hAnsi="Times New Roman"/>
                      <w:color w:val="auto"/>
                      <w:spacing w:val="-2"/>
                      <w:position w:val="2"/>
                      <w:sz w:val="21"/>
                    </w:rPr>
                    <w:t>-</w:t>
                  </w:r>
                  <w:r>
                    <w:rPr>
                      <w:rFonts w:ascii="Times New Roman" w:hAnsi="Times New Roman"/>
                      <w:color w:val="auto"/>
                      <w:spacing w:val="-5"/>
                      <w:position w:val="2"/>
                      <w:sz w:val="21"/>
                    </w:rPr>
                    <w:t>N≤</w:t>
                  </w:r>
                </w:p>
              </w:tc>
              <w:tc>
                <w:tcPr>
                  <w:tcW w:w="717" w:type="pct"/>
                  <w:tcBorders>
                    <w:tl2br w:val="nil"/>
                    <w:tr2bl w:val="nil"/>
                  </w:tcBorders>
                  <w:vAlign w:val="center"/>
                </w:tcPr>
                <w:p w14:paraId="5A544E45">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0.5</w:t>
                  </w:r>
                </w:p>
              </w:tc>
              <w:tc>
                <w:tcPr>
                  <w:tcW w:w="696" w:type="pct"/>
                  <w:tcBorders>
                    <w:tl2br w:val="nil"/>
                    <w:tr2bl w:val="nil"/>
                  </w:tcBorders>
                  <w:shd w:val="clear" w:color="auto" w:fill="auto"/>
                  <w:vAlign w:val="center"/>
                </w:tcPr>
                <w:p w14:paraId="6207C83D">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1.0</w:t>
                  </w:r>
                </w:p>
              </w:tc>
              <w:tc>
                <w:tcPr>
                  <w:tcW w:w="677" w:type="pct"/>
                  <w:tcBorders>
                    <w:tl2br w:val="nil"/>
                    <w:tr2bl w:val="nil"/>
                  </w:tcBorders>
                  <w:vAlign w:val="center"/>
                </w:tcPr>
                <w:p w14:paraId="023B08C0">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1.5</w:t>
                  </w:r>
                </w:p>
              </w:tc>
              <w:tc>
                <w:tcPr>
                  <w:tcW w:w="680" w:type="pct"/>
                  <w:tcBorders>
                    <w:tl2br w:val="nil"/>
                    <w:tr2bl w:val="nil"/>
                  </w:tcBorders>
                  <w:shd w:val="clear" w:color="auto" w:fill="BEBEBE" w:themeFill="background1" w:themeFillShade="BF"/>
                  <w:vAlign w:val="center"/>
                </w:tcPr>
                <w:p w14:paraId="17C49C0B">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2.0</w:t>
                  </w:r>
                </w:p>
              </w:tc>
            </w:tr>
            <w:tr w14:paraId="05D7B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45" w:type="pct"/>
                  <w:tcBorders>
                    <w:tl2br w:val="nil"/>
                    <w:tr2bl w:val="nil"/>
                  </w:tcBorders>
                  <w:vAlign w:val="center"/>
                </w:tcPr>
                <w:p w14:paraId="286BAC48">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1682" w:type="pct"/>
                  <w:tcBorders>
                    <w:tl2br w:val="nil"/>
                    <w:tr2bl w:val="nil"/>
                  </w:tcBorders>
                  <w:vAlign w:val="center"/>
                </w:tcPr>
                <w:p w14:paraId="4B200140">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color w:val="auto"/>
                      <w:position w:val="2"/>
                      <w:sz w:val="21"/>
                    </w:rPr>
                  </w:pPr>
                  <w:r>
                    <w:rPr>
                      <w:rFonts w:ascii="Times New Roman" w:hAnsi="Times New Roman"/>
                      <w:color w:val="auto"/>
                      <w:spacing w:val="-2"/>
                      <w:position w:val="2"/>
                      <w:sz w:val="21"/>
                    </w:rPr>
                    <w:t>BOD</w:t>
                  </w:r>
                  <w:r>
                    <w:rPr>
                      <w:rFonts w:ascii="Times New Roman" w:hAnsi="Times New Roman"/>
                      <w:color w:val="auto"/>
                      <w:spacing w:val="-2"/>
                      <w:sz w:val="13"/>
                    </w:rPr>
                    <w:t>5</w:t>
                  </w:r>
                  <w:r>
                    <w:rPr>
                      <w:rFonts w:ascii="Times New Roman" w:hAnsi="Times New Roman"/>
                      <w:color w:val="auto"/>
                      <w:spacing w:val="-2"/>
                      <w:position w:val="2"/>
                      <w:sz w:val="21"/>
                    </w:rPr>
                    <w:t>≤</w:t>
                  </w:r>
                </w:p>
              </w:tc>
              <w:tc>
                <w:tcPr>
                  <w:tcW w:w="717" w:type="pct"/>
                  <w:tcBorders>
                    <w:tl2br w:val="nil"/>
                    <w:tr2bl w:val="nil"/>
                  </w:tcBorders>
                  <w:vAlign w:val="center"/>
                </w:tcPr>
                <w:p w14:paraId="47F01E36">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3</w:t>
                  </w:r>
                </w:p>
              </w:tc>
              <w:tc>
                <w:tcPr>
                  <w:tcW w:w="696" w:type="pct"/>
                  <w:tcBorders>
                    <w:tl2br w:val="nil"/>
                    <w:tr2bl w:val="nil"/>
                  </w:tcBorders>
                  <w:shd w:val="clear" w:color="auto" w:fill="auto"/>
                  <w:vAlign w:val="center"/>
                </w:tcPr>
                <w:p w14:paraId="4F165038">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4</w:t>
                  </w:r>
                </w:p>
              </w:tc>
              <w:tc>
                <w:tcPr>
                  <w:tcW w:w="677" w:type="pct"/>
                  <w:tcBorders>
                    <w:tl2br w:val="nil"/>
                    <w:tr2bl w:val="nil"/>
                  </w:tcBorders>
                  <w:vAlign w:val="center"/>
                </w:tcPr>
                <w:p w14:paraId="5DE15F13">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10"/>
                      <w:sz w:val="21"/>
                    </w:rPr>
                    <w:t>6</w:t>
                  </w:r>
                </w:p>
              </w:tc>
              <w:tc>
                <w:tcPr>
                  <w:tcW w:w="680" w:type="pct"/>
                  <w:tcBorders>
                    <w:tl2br w:val="nil"/>
                    <w:tr2bl w:val="nil"/>
                  </w:tcBorders>
                  <w:shd w:val="clear" w:color="auto" w:fill="BEBEBE" w:themeFill="background1" w:themeFillShade="BF"/>
                  <w:vAlign w:val="center"/>
                </w:tcPr>
                <w:p w14:paraId="3F302990">
                  <w:pPr>
                    <w:pStyle w:val="97"/>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color w:val="auto"/>
                      <w:sz w:val="21"/>
                    </w:rPr>
                  </w:pPr>
                  <w:r>
                    <w:rPr>
                      <w:rFonts w:ascii="Times New Roman"/>
                      <w:color w:val="auto"/>
                      <w:spacing w:val="-5"/>
                      <w:sz w:val="21"/>
                    </w:rPr>
                    <w:t>10</w:t>
                  </w:r>
                </w:p>
              </w:tc>
            </w:tr>
          </w:tbl>
          <w:p w14:paraId="53406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2</w:t>
            </w:r>
            <w:r>
              <w:rPr>
                <w:rFonts w:hint="eastAsia" w:ascii="Times New Roman" w:hAnsi="Times New Roman" w:eastAsia="宋体" w:cs="Times New Roman"/>
                <w:color w:val="auto"/>
                <w:kern w:val="2"/>
                <w:sz w:val="24"/>
                <w:szCs w:val="20"/>
                <w:highlight w:val="none"/>
                <w:lang w:val="en-US" w:eastAsia="zh-CN" w:bidi="ar-SA"/>
              </w:rPr>
              <w:t>）地表水环境现状</w:t>
            </w:r>
          </w:p>
          <w:p w14:paraId="13ADCD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①</w:t>
            </w:r>
            <w:r>
              <w:rPr>
                <w:rFonts w:hint="eastAsia" w:ascii="Times New Roman" w:hAnsi="Times New Roman" w:eastAsia="宋体" w:cs="Times New Roman"/>
                <w:color w:val="auto"/>
                <w:kern w:val="2"/>
                <w:sz w:val="24"/>
                <w:szCs w:val="20"/>
                <w:highlight w:val="none"/>
                <w:lang w:val="en-US" w:eastAsia="zh-CN" w:bidi="ar-SA"/>
              </w:rPr>
              <w:t>地表水水质现状调查</w:t>
            </w:r>
          </w:p>
          <w:p w14:paraId="5FF9AB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为了解项目地表水水质环境质量现状，根据福建省生态环境厅网站发布的福建省主要流域水环境质量状况</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202</w:t>
            </w:r>
            <w:r>
              <w:rPr>
                <w:rFonts w:hint="eastAsia" w:cs="Times New Roman"/>
                <w:color w:val="auto"/>
                <w:kern w:val="2"/>
                <w:sz w:val="24"/>
                <w:szCs w:val="20"/>
                <w:highlight w:val="none"/>
                <w:lang w:val="en-US" w:eastAsia="zh-CN" w:bidi="ar-SA"/>
              </w:rPr>
              <w:t>5</w:t>
            </w:r>
            <w:r>
              <w:rPr>
                <w:rFonts w:hint="eastAsia" w:ascii="Times New Roman" w:hAnsi="Times New Roman" w:eastAsia="宋体" w:cs="Times New Roman"/>
                <w:color w:val="auto"/>
                <w:kern w:val="2"/>
                <w:sz w:val="24"/>
                <w:szCs w:val="20"/>
                <w:highlight w:val="none"/>
                <w:lang w:val="en-US" w:eastAsia="zh-CN" w:bidi="ar-SA"/>
              </w:rPr>
              <w:t>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2025年1-12月，全省主要流域总体水质为优，国控断面Ⅰ～Ⅲ类水质比例100％,Ⅰ～Ⅱ类水质比例84.8％；国控及省控断面Ⅰ～Ⅲ类水质比例100％，其中Ⅰ～Ⅱ类水质比例83.5％，各类水质比例如下：Ⅰ类占4.5％，Ⅱ类占78.9％，Ⅲ类占16.5％，无Ⅳ类、Ⅴ类和劣Ⅴ类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详见</w:t>
            </w:r>
            <w:r>
              <w:rPr>
                <w:rFonts w:hint="eastAsia" w:cs="Times New Roman"/>
                <w:color w:val="auto"/>
                <w:kern w:val="2"/>
                <w:sz w:val="24"/>
                <w:szCs w:val="20"/>
                <w:highlight w:val="none"/>
                <w:lang w:val="en-US" w:eastAsia="zh-CN" w:bidi="ar-SA"/>
              </w:rPr>
              <w:t>图3.1-1）</w:t>
            </w:r>
            <w:r>
              <w:rPr>
                <w:rFonts w:hint="eastAsia" w:ascii="Times New Roman" w:hAnsi="Times New Roman" w:eastAsia="宋体" w:cs="Times New Roman"/>
                <w:color w:val="auto"/>
                <w:kern w:val="2"/>
                <w:sz w:val="24"/>
                <w:szCs w:val="20"/>
                <w:highlight w:val="none"/>
                <w:lang w:val="en-US" w:eastAsia="zh-CN" w:bidi="ar-SA"/>
              </w:rPr>
              <w:t>。</w:t>
            </w:r>
          </w:p>
          <w:p w14:paraId="13BE6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由此，可知龙江水质可达到《地表水环境质量标准》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GB3838-2002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V类水标准。</w:t>
            </w:r>
            <w:r>
              <w:rPr>
                <w:color w:val="auto"/>
              </w:rPr>
              <w:drawing>
                <wp:inline distT="0" distB="0" distL="114300" distR="114300">
                  <wp:extent cx="5577840" cy="2901950"/>
                  <wp:effectExtent l="0" t="0" r="3810" b="12700"/>
                  <wp:docPr id="2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
                          <pic:cNvPicPr>
                            <a:picLocks noChangeAspect="1"/>
                          </pic:cNvPicPr>
                        </pic:nvPicPr>
                        <pic:blipFill>
                          <a:blip r:embed="rId17"/>
                          <a:stretch>
                            <a:fillRect/>
                          </a:stretch>
                        </pic:blipFill>
                        <pic:spPr>
                          <a:xfrm>
                            <a:off x="0" y="0"/>
                            <a:ext cx="5577840" cy="2901950"/>
                          </a:xfrm>
                          <a:prstGeom prst="rect">
                            <a:avLst/>
                          </a:prstGeom>
                          <a:noFill/>
                          <a:ln>
                            <a:noFill/>
                          </a:ln>
                        </pic:spPr>
                      </pic:pic>
                    </a:graphicData>
                  </a:graphic>
                </wp:inline>
              </w:drawing>
            </w:r>
          </w:p>
          <w:p w14:paraId="6BA8E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cs="Times New Roman"/>
                <w:b/>
                <w:bCs/>
                <w:color w:val="auto"/>
                <w:kern w:val="2"/>
                <w:sz w:val="24"/>
                <w:szCs w:val="20"/>
                <w:highlight w:val="none"/>
                <w:lang w:val="en-US" w:eastAsia="zh-CN" w:bidi="ar-SA"/>
              </w:rPr>
            </w:pPr>
            <w:r>
              <w:rPr>
                <w:rFonts w:hint="eastAsia" w:cs="Times New Roman"/>
                <w:b/>
                <w:bCs/>
                <w:color w:val="auto"/>
                <w:kern w:val="2"/>
                <w:sz w:val="24"/>
                <w:szCs w:val="20"/>
                <w:highlight w:val="none"/>
                <w:lang w:val="en-US" w:eastAsia="zh-CN" w:bidi="ar-SA"/>
              </w:rPr>
              <w:t>图3.1-1 福建省流域水环境质量状况（2025年）</w:t>
            </w:r>
          </w:p>
          <w:p w14:paraId="2C144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②</w:t>
            </w:r>
            <w:r>
              <w:rPr>
                <w:rFonts w:hint="eastAsia" w:ascii="Times New Roman" w:hAnsi="Times New Roman" w:eastAsia="宋体" w:cs="Times New Roman"/>
                <w:color w:val="auto"/>
                <w:kern w:val="2"/>
                <w:sz w:val="24"/>
                <w:szCs w:val="20"/>
                <w:highlight w:val="none"/>
                <w:lang w:val="en-US" w:eastAsia="zh-CN" w:bidi="ar-SA"/>
              </w:rPr>
              <w:t>引用资料的有效性分析</w:t>
            </w:r>
          </w:p>
          <w:p w14:paraId="4CCBE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根据《建设项目环境影响报告表编制技术指南（污染影响类）（试行）》（环办环评</w:t>
            </w:r>
            <w:r>
              <w:rPr>
                <w:rFonts w:hint="eastAsia"/>
                <w:color w:val="auto"/>
                <w:sz w:val="24"/>
                <w:szCs w:val="24"/>
                <w:highlight w:val="none"/>
              </w:rPr>
              <w:t>〔</w:t>
            </w:r>
            <w:r>
              <w:rPr>
                <w:color w:val="auto"/>
                <w:sz w:val="24"/>
                <w:szCs w:val="24"/>
                <w:highlight w:val="none"/>
              </w:rPr>
              <w:t>202</w:t>
            </w:r>
            <w:r>
              <w:rPr>
                <w:rFonts w:hint="eastAsia"/>
                <w:color w:val="auto"/>
                <w:sz w:val="24"/>
                <w:szCs w:val="24"/>
                <w:highlight w:val="none"/>
                <w:lang w:val="en-US" w:eastAsia="zh-CN"/>
              </w:rPr>
              <w:t>0</w:t>
            </w:r>
            <w:r>
              <w:rPr>
                <w:rFonts w:hint="eastAsia"/>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州市人民政府网站发布的水环境质量状</w:t>
            </w:r>
            <w:r>
              <w:rPr>
                <w:rFonts w:hint="eastAsia" w:cs="Times New Roman"/>
                <w:color w:val="auto"/>
                <w:kern w:val="2"/>
                <w:sz w:val="24"/>
                <w:szCs w:val="20"/>
                <w:highlight w:val="none"/>
                <w:lang w:val="en-US" w:eastAsia="zh-CN" w:bidi="ar-SA"/>
              </w:rPr>
              <w:t>况</w:t>
            </w:r>
            <w:r>
              <w:rPr>
                <w:rFonts w:hint="eastAsia" w:ascii="Times New Roman" w:hAnsi="Times New Roman" w:eastAsia="宋体" w:cs="Times New Roman"/>
                <w:color w:val="auto"/>
                <w:kern w:val="2"/>
                <w:sz w:val="24"/>
                <w:szCs w:val="20"/>
                <w:highlight w:val="none"/>
                <w:lang w:val="en-US" w:eastAsia="zh-CN" w:bidi="ar-SA"/>
              </w:rPr>
              <w:t>，符合</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建设项目环境影响报告表编制技术指南（污染影响类）（试行）》（环办环评</w:t>
            </w:r>
            <w:r>
              <w:rPr>
                <w:rFonts w:hint="eastAsia"/>
                <w:color w:val="auto"/>
                <w:sz w:val="24"/>
                <w:szCs w:val="24"/>
                <w:highlight w:val="none"/>
              </w:rPr>
              <w:t>〔</w:t>
            </w:r>
            <w:r>
              <w:rPr>
                <w:color w:val="auto"/>
                <w:sz w:val="24"/>
                <w:szCs w:val="24"/>
                <w:highlight w:val="none"/>
              </w:rPr>
              <w:t>202</w:t>
            </w:r>
            <w:r>
              <w:rPr>
                <w:rFonts w:hint="eastAsia"/>
                <w:color w:val="auto"/>
                <w:sz w:val="24"/>
                <w:szCs w:val="24"/>
                <w:highlight w:val="none"/>
                <w:lang w:val="en-US" w:eastAsia="zh-CN"/>
              </w:rPr>
              <w:t>0</w:t>
            </w:r>
            <w:r>
              <w:rPr>
                <w:rFonts w:hint="eastAsia"/>
                <w:color w:val="auto"/>
                <w:sz w:val="24"/>
                <w:szCs w:val="24"/>
                <w:highlight w:val="none"/>
              </w:rPr>
              <w:t>〕</w:t>
            </w:r>
            <w:r>
              <w:rPr>
                <w:rFonts w:hint="eastAsia" w:ascii="Times New Roman" w:hAnsi="Times New Roman" w:eastAsia="宋体" w:cs="Times New Roman"/>
                <w:color w:val="auto"/>
                <w:kern w:val="2"/>
                <w:sz w:val="24"/>
                <w:szCs w:val="20"/>
                <w:highlight w:val="none"/>
                <w:lang w:val="en-US" w:eastAsia="zh-CN" w:bidi="ar-SA"/>
              </w:rPr>
              <w:t>33号）的要求。</w:t>
            </w:r>
          </w:p>
          <w:p w14:paraId="7BE40050">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大气环境质量现状</w:t>
            </w:r>
          </w:p>
          <w:p w14:paraId="15B55FAD">
            <w:pPr>
              <w:pStyle w:val="5"/>
              <w:bidi w:val="0"/>
              <w:rPr>
                <w:rFonts w:hint="default"/>
                <w:color w:val="auto"/>
                <w:highlight w:val="none"/>
              </w:rPr>
            </w:pPr>
            <w:r>
              <w:rPr>
                <w:rFonts w:hint="default"/>
                <w:color w:val="auto"/>
                <w:highlight w:val="none"/>
                <w:lang w:val="en-US" w:eastAsia="zh-CN"/>
              </w:rPr>
              <w:t>区域达标判断</w:t>
            </w:r>
          </w:p>
          <w:p w14:paraId="33CB12D4">
            <w:pPr>
              <w:pStyle w:val="46"/>
              <w:keepNext w:val="0"/>
              <w:keepLines w:val="0"/>
              <w:pageBreakBefore w:val="0"/>
              <w:widowControl w:val="0"/>
              <w:kinsoku/>
              <w:wordWrap/>
              <w:overflowPunct/>
              <w:topLinePunct w:val="0"/>
              <w:autoSpaceDE w:val="0"/>
              <w:autoSpaceDN w:val="0"/>
              <w:bidi w:val="0"/>
              <w:adjustRightInd/>
              <w:snapToGrid/>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根据福州市人民政府榕政综</w:t>
            </w:r>
            <w:r>
              <w:rPr>
                <w:rFonts w:hint="eastAsia" w:cs="宋体"/>
                <w:color w:val="auto"/>
                <w:highlight w:val="none"/>
                <w:lang w:val="en-US" w:eastAsia="zh-CN"/>
              </w:rPr>
              <w:t>〔2014〕30号</w:t>
            </w:r>
            <w:r>
              <w:rPr>
                <w:rFonts w:hint="eastAsia" w:ascii="Times New Roman" w:hAnsi="Times New Roman" w:eastAsia="宋体" w:cs="宋体"/>
                <w:color w:val="auto"/>
                <w:highlight w:val="none"/>
                <w:lang w:val="en-US" w:eastAsia="zh-CN"/>
              </w:rPr>
              <w:t>文件正式批准实施《福州市环境空气质量功能区划</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报批稿</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》的规定，项目所在区域环境空气功能规划为二类区，环境空气质量执行《环境空气质量标准》</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GB3095-20</w:t>
            </w:r>
            <w:r>
              <w:rPr>
                <w:rFonts w:hint="eastAsia" w:cs="宋体"/>
                <w:color w:val="auto"/>
                <w:highlight w:val="none"/>
                <w:lang w:val="en-US" w:eastAsia="zh-CN"/>
              </w:rPr>
              <w:t>26）</w:t>
            </w:r>
            <w:r>
              <w:rPr>
                <w:rFonts w:hint="eastAsia" w:ascii="Times New Roman" w:hAnsi="Times New Roman" w:eastAsia="宋体" w:cs="宋体"/>
                <w:color w:val="auto"/>
                <w:highlight w:val="none"/>
                <w:lang w:val="en-US" w:eastAsia="zh-CN"/>
              </w:rPr>
              <w:t>中的二级标准</w:t>
            </w:r>
            <w:r>
              <w:rPr>
                <w:rFonts w:hint="eastAsia" w:cs="宋体"/>
                <w:color w:val="auto"/>
                <w:highlight w:val="none"/>
                <w:lang w:val="en-US" w:eastAsia="zh-CN"/>
              </w:rPr>
              <w:t>（过渡阶段浓度限值）</w:t>
            </w:r>
            <w:r>
              <w:rPr>
                <w:rFonts w:hint="eastAsia" w:ascii="Times New Roman" w:hAnsi="Times New Roman" w:eastAsia="宋体" w:cs="宋体"/>
                <w:color w:val="auto"/>
                <w:highlight w:val="none"/>
                <w:lang w:val="en-US" w:eastAsia="zh-CN"/>
              </w:rPr>
              <w:t>。非甲烷总烃参照执行《大气污染物综合排放标准详解》</w:t>
            </w:r>
            <w:r>
              <w:rPr>
                <w:rFonts w:hint="eastAsia" w:cs="宋体"/>
                <w:color w:val="auto"/>
                <w:highlight w:val="none"/>
                <w:lang w:val="en-US" w:eastAsia="zh-CN"/>
              </w:rPr>
              <w:t>（生态环境部</w:t>
            </w:r>
            <w:r>
              <w:rPr>
                <w:rFonts w:hint="eastAsia" w:ascii="Times New Roman" w:hAnsi="Times New Roman" w:eastAsia="宋体" w:cs="宋体"/>
                <w:color w:val="auto"/>
                <w:highlight w:val="none"/>
                <w:lang w:val="en-US" w:eastAsia="zh-CN"/>
              </w:rPr>
              <w:t>科技标准司</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中规定的标准限值，具体详见表3.1-2。</w:t>
            </w:r>
          </w:p>
          <w:p w14:paraId="384CC22B">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default" w:ascii="Times New Roman" w:hAnsi="Times New Roman" w:eastAsia="宋体"/>
                <w:color w:val="auto"/>
                <w:highlight w:val="none"/>
              </w:rPr>
            </w:pPr>
            <w:r>
              <w:rPr>
                <w:rFonts w:hint="eastAsia" w:ascii="Times New Roman" w:hAnsi="Times New Roman" w:eastAsia="宋体"/>
                <w:color w:val="auto"/>
                <w:highlight w:val="none"/>
              </w:rPr>
              <w:t>环境空气标准一览表</w:t>
            </w:r>
          </w:p>
          <w:tbl>
            <w:tblPr>
              <w:tblStyle w:val="35"/>
              <w:tblW w:w="499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82"/>
              <w:gridCol w:w="2418"/>
              <w:gridCol w:w="1927"/>
              <w:gridCol w:w="2611"/>
            </w:tblGrid>
            <w:tr w14:paraId="7D03B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tcBorders>
                    <w:bottom w:val="single" w:color="000000" w:sz="12" w:space="0"/>
                  </w:tcBorders>
                  <w:vAlign w:val="center"/>
                </w:tcPr>
                <w:p w14:paraId="2DA4BBEE">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4"/>
                      <w:sz w:val="21"/>
                    </w:rPr>
                    <w:t>污染物名称</w:t>
                  </w:r>
                </w:p>
              </w:tc>
              <w:tc>
                <w:tcPr>
                  <w:tcW w:w="1399" w:type="pct"/>
                  <w:tcBorders>
                    <w:bottom w:val="single" w:color="000000" w:sz="12" w:space="0"/>
                  </w:tcBorders>
                  <w:vAlign w:val="center"/>
                </w:tcPr>
                <w:p w14:paraId="6CCD0304">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取值时间</w:t>
                  </w:r>
                </w:p>
              </w:tc>
              <w:tc>
                <w:tcPr>
                  <w:tcW w:w="1115" w:type="pct"/>
                  <w:tcBorders>
                    <w:bottom w:val="single" w:color="000000" w:sz="12" w:space="0"/>
                  </w:tcBorders>
                  <w:vAlign w:val="center"/>
                </w:tcPr>
                <w:p w14:paraId="5C6051E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浓度限值</w:t>
                  </w:r>
                </w:p>
              </w:tc>
              <w:tc>
                <w:tcPr>
                  <w:tcW w:w="1511" w:type="pct"/>
                  <w:tcBorders>
                    <w:bottom w:val="single" w:color="000000" w:sz="12" w:space="0"/>
                  </w:tcBorders>
                  <w:vAlign w:val="center"/>
                </w:tcPr>
                <w:p w14:paraId="1D860380">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color w:val="auto"/>
                      <w:vertAlign w:val="baseline"/>
                    </w:rPr>
                  </w:pPr>
                  <w:r>
                    <w:rPr>
                      <w:rFonts w:ascii="Times New Roman" w:hAnsi="Times New Roman" w:eastAsia="宋体"/>
                      <w:color w:val="auto"/>
                      <w:spacing w:val="-7"/>
                      <w:sz w:val="21"/>
                    </w:rPr>
                    <w:t>标准来源</w:t>
                  </w:r>
                </w:p>
              </w:tc>
            </w:tr>
            <w:tr w14:paraId="765DB6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op w:val="single" w:color="000000" w:sz="12" w:space="0"/>
                    <w:tl2br w:val="nil"/>
                    <w:tr2bl w:val="nil"/>
                  </w:tcBorders>
                  <w:vAlign w:val="center"/>
                </w:tcPr>
                <w:p w14:paraId="089CFDF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13"/>
                    </w:rPr>
                  </w:pPr>
                </w:p>
                <w:p w14:paraId="699DD67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4"/>
                      <w:position w:val="2"/>
                      <w:sz w:val="21"/>
                    </w:rPr>
                    <w:t>PM</w:t>
                  </w:r>
                  <w:r>
                    <w:rPr>
                      <w:rFonts w:ascii="Times New Roman" w:hAnsi="Times New Roman" w:eastAsia="宋体"/>
                      <w:color w:val="auto"/>
                      <w:spacing w:val="-4"/>
                      <w:sz w:val="13"/>
                    </w:rPr>
                    <w:t>10</w:t>
                  </w:r>
                </w:p>
              </w:tc>
              <w:tc>
                <w:tcPr>
                  <w:tcW w:w="1399" w:type="pct"/>
                  <w:tcBorders>
                    <w:top w:val="single" w:color="000000" w:sz="12" w:space="0"/>
                    <w:tl2br w:val="nil"/>
                    <w:tr2bl w:val="nil"/>
                  </w:tcBorders>
                  <w:vAlign w:val="center"/>
                </w:tcPr>
                <w:p w14:paraId="2DF7C9A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115" w:type="pct"/>
                  <w:tcBorders>
                    <w:top w:val="single" w:color="000000" w:sz="12" w:space="0"/>
                    <w:tl2br w:val="nil"/>
                    <w:tr2bl w:val="nil"/>
                  </w:tcBorders>
                  <w:vAlign w:val="center"/>
                </w:tcPr>
                <w:p w14:paraId="13E1B49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hint="eastAsia" w:ascii="Times New Roman" w:hAnsi="Times New Roman"/>
                      <w:color w:val="auto"/>
                      <w:spacing w:val="-2"/>
                      <w:sz w:val="21"/>
                      <w:lang w:val="en-US" w:eastAsia="zh-CN"/>
                    </w:rPr>
                    <w:t>6</w:t>
                  </w:r>
                  <w:r>
                    <w:rPr>
                      <w:rFonts w:ascii="Times New Roman" w:hAnsi="Times New Roman" w:eastAsia="宋体"/>
                      <w:color w:val="auto"/>
                      <w:spacing w:val="-2"/>
                      <w:sz w:val="21"/>
                    </w:rPr>
                    <w:t>0μg/m</w:t>
                  </w:r>
                  <w:r>
                    <w:rPr>
                      <w:rFonts w:ascii="Times New Roman" w:hAnsi="Times New Roman" w:eastAsia="宋体"/>
                      <w:color w:val="auto"/>
                      <w:spacing w:val="-2"/>
                      <w:sz w:val="21"/>
                      <w:vertAlign w:val="superscript"/>
                    </w:rPr>
                    <w:t>3</w:t>
                  </w:r>
                </w:p>
              </w:tc>
              <w:tc>
                <w:tcPr>
                  <w:tcW w:w="1511" w:type="pct"/>
                  <w:vMerge w:val="restart"/>
                  <w:tcBorders>
                    <w:top w:val="single" w:color="000000" w:sz="12" w:space="0"/>
                    <w:tl2br w:val="nil"/>
                    <w:tr2bl w:val="nil"/>
                  </w:tcBorders>
                  <w:vAlign w:val="center"/>
                </w:tcPr>
                <w:p w14:paraId="783FB34D">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3"/>
                      <w:sz w:val="21"/>
                    </w:rPr>
                    <w:t>《环境空气质量标准》</w:t>
                  </w:r>
                </w:p>
                <w:p w14:paraId="527C8788">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vertAlign w:val="baseline"/>
                      <w:lang w:val="en-US" w:eastAsia="zh-CN"/>
                    </w:rPr>
                  </w:pPr>
                  <w:r>
                    <w:rPr>
                      <w:rFonts w:hint="eastAsia" w:ascii="Times New Roman" w:hAnsi="Times New Roman"/>
                      <w:color w:val="auto"/>
                      <w:spacing w:val="-2"/>
                      <w:sz w:val="21"/>
                      <w:lang w:eastAsia="zh-CN"/>
                    </w:rPr>
                    <w:t>（</w:t>
                  </w:r>
                  <w:r>
                    <w:rPr>
                      <w:rFonts w:ascii="Times New Roman" w:hAnsi="Times New Roman" w:eastAsia="宋体"/>
                      <w:color w:val="auto"/>
                      <w:spacing w:val="-2"/>
                      <w:sz w:val="21"/>
                    </w:rPr>
                    <w:t>GB3095-20</w:t>
                  </w:r>
                  <w:r>
                    <w:rPr>
                      <w:rFonts w:hint="eastAsia" w:ascii="Times New Roman" w:hAnsi="Times New Roman"/>
                      <w:color w:val="auto"/>
                      <w:spacing w:val="-2"/>
                      <w:sz w:val="21"/>
                      <w:lang w:val="en-US" w:eastAsia="zh-CN"/>
                    </w:rPr>
                    <w:t>26</w:t>
                  </w:r>
                  <w:r>
                    <w:rPr>
                      <w:rFonts w:hint="eastAsia" w:ascii="Times New Roman" w:hAnsi="Times New Roman"/>
                      <w:color w:val="auto"/>
                      <w:spacing w:val="-2"/>
                      <w:sz w:val="21"/>
                      <w:lang w:eastAsia="zh-CN"/>
                    </w:rPr>
                    <w:t>）</w:t>
                  </w:r>
                  <w:r>
                    <w:rPr>
                      <w:rFonts w:ascii="Times New Roman" w:hAnsi="Times New Roman" w:eastAsia="宋体"/>
                      <w:color w:val="auto"/>
                      <w:spacing w:val="-4"/>
                      <w:sz w:val="21"/>
                    </w:rPr>
                    <w:t>中的二级标准</w:t>
                  </w:r>
                  <w:r>
                    <w:rPr>
                      <w:rFonts w:hint="eastAsia" w:ascii="Times New Roman" w:hAnsi="Times New Roman"/>
                      <w:color w:val="auto"/>
                      <w:spacing w:val="-4"/>
                      <w:sz w:val="21"/>
                      <w:lang w:eastAsia="zh-CN"/>
                    </w:rPr>
                    <w:t>（</w:t>
                  </w:r>
                  <w:r>
                    <w:rPr>
                      <w:rFonts w:hint="eastAsia" w:ascii="Times New Roman" w:hAnsi="Times New Roman"/>
                      <w:color w:val="auto"/>
                      <w:spacing w:val="-4"/>
                      <w:sz w:val="21"/>
                      <w:lang w:val="en-US" w:eastAsia="zh-CN"/>
                    </w:rPr>
                    <w:t>过渡阶段浓度限值）</w:t>
                  </w:r>
                </w:p>
              </w:tc>
            </w:tr>
            <w:tr w14:paraId="03550A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20F63058">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727BD641">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115" w:type="pct"/>
                  <w:tcBorders>
                    <w:tl2br w:val="nil"/>
                    <w:tr2bl w:val="nil"/>
                  </w:tcBorders>
                  <w:vAlign w:val="center"/>
                </w:tcPr>
                <w:p w14:paraId="2358C0E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w:t>
                  </w:r>
                  <w:r>
                    <w:rPr>
                      <w:rFonts w:hint="eastAsia" w:ascii="Times New Roman" w:hAnsi="Times New Roman"/>
                      <w:color w:val="auto"/>
                      <w:spacing w:val="-2"/>
                      <w:sz w:val="21"/>
                      <w:lang w:val="en-US" w:eastAsia="zh-CN"/>
                    </w:rPr>
                    <w:t>2</w:t>
                  </w:r>
                  <w:r>
                    <w:rPr>
                      <w:rFonts w:ascii="Times New Roman" w:hAnsi="Times New Roman" w:eastAsia="宋体"/>
                      <w:color w:val="auto"/>
                      <w:spacing w:val="-2"/>
                      <w:sz w:val="21"/>
                    </w:rPr>
                    <w:t>0μg/m</w:t>
                  </w:r>
                  <w:r>
                    <w:rPr>
                      <w:rFonts w:ascii="Times New Roman" w:hAnsi="Times New Roman" w:eastAsia="宋体"/>
                      <w:color w:val="auto"/>
                      <w:spacing w:val="-2"/>
                      <w:sz w:val="21"/>
                      <w:vertAlign w:val="superscript"/>
                    </w:rPr>
                    <w:t>3</w:t>
                  </w:r>
                </w:p>
              </w:tc>
              <w:tc>
                <w:tcPr>
                  <w:tcW w:w="1511" w:type="pct"/>
                  <w:vMerge w:val="continue"/>
                  <w:tcBorders>
                    <w:tl2br w:val="nil"/>
                    <w:tr2bl w:val="nil"/>
                  </w:tcBorders>
                  <w:vAlign w:val="center"/>
                </w:tcPr>
                <w:p w14:paraId="5B1BA7F8">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34D94C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0331F2DB">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13"/>
                    </w:rPr>
                  </w:pPr>
                </w:p>
                <w:p w14:paraId="4A0DFDB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textAlignment w:val="auto"/>
                    <w:rPr>
                      <w:rFonts w:hint="default" w:ascii="Times New Roman" w:hAnsi="Times New Roman" w:eastAsia="宋体"/>
                      <w:color w:val="auto"/>
                      <w:vertAlign w:val="baseline"/>
                    </w:rPr>
                  </w:pPr>
                  <w:r>
                    <w:rPr>
                      <w:rFonts w:ascii="Times New Roman" w:hAnsi="Times New Roman" w:eastAsia="宋体"/>
                      <w:color w:val="auto"/>
                      <w:spacing w:val="-2"/>
                      <w:w w:val="105"/>
                      <w:position w:val="2"/>
                      <w:sz w:val="21"/>
                    </w:rPr>
                    <w:t>PM</w:t>
                  </w:r>
                  <w:r>
                    <w:rPr>
                      <w:rFonts w:ascii="Times New Roman" w:hAnsi="Times New Roman" w:eastAsia="宋体"/>
                      <w:color w:val="auto"/>
                      <w:spacing w:val="-2"/>
                      <w:w w:val="105"/>
                      <w:sz w:val="13"/>
                    </w:rPr>
                    <w:t>2.5</w:t>
                  </w:r>
                </w:p>
              </w:tc>
              <w:tc>
                <w:tcPr>
                  <w:tcW w:w="1399" w:type="pct"/>
                  <w:tcBorders>
                    <w:tl2br w:val="nil"/>
                    <w:tr2bl w:val="nil"/>
                  </w:tcBorders>
                  <w:vAlign w:val="center"/>
                </w:tcPr>
                <w:p w14:paraId="6B02A61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115" w:type="pct"/>
                  <w:tcBorders>
                    <w:tl2br w:val="nil"/>
                    <w:tr2bl w:val="nil"/>
                  </w:tcBorders>
                  <w:vAlign w:val="center"/>
                </w:tcPr>
                <w:p w14:paraId="5A846D5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3</w:t>
                  </w:r>
                  <w:r>
                    <w:rPr>
                      <w:rFonts w:hint="eastAsia" w:ascii="Times New Roman" w:hAnsi="Times New Roman"/>
                      <w:color w:val="auto"/>
                      <w:spacing w:val="-2"/>
                      <w:sz w:val="21"/>
                      <w:lang w:val="en-US" w:eastAsia="zh-CN"/>
                    </w:rPr>
                    <w:t>0</w:t>
                  </w:r>
                  <w:r>
                    <w:rPr>
                      <w:rFonts w:ascii="Times New Roman" w:hAnsi="Times New Roman" w:eastAsia="宋体"/>
                      <w:color w:val="auto"/>
                      <w:spacing w:val="-2"/>
                      <w:sz w:val="21"/>
                    </w:rPr>
                    <w:t>μg/m</w:t>
                  </w:r>
                  <w:r>
                    <w:rPr>
                      <w:rFonts w:ascii="Times New Roman" w:hAnsi="Times New Roman" w:eastAsia="宋体"/>
                      <w:color w:val="auto"/>
                      <w:spacing w:val="-2"/>
                      <w:position w:val="7"/>
                      <w:sz w:val="13"/>
                    </w:rPr>
                    <w:t>3</w:t>
                  </w:r>
                </w:p>
              </w:tc>
              <w:tc>
                <w:tcPr>
                  <w:tcW w:w="1511" w:type="pct"/>
                  <w:vMerge w:val="continue"/>
                  <w:tcBorders>
                    <w:tl2br w:val="nil"/>
                    <w:tr2bl w:val="nil"/>
                  </w:tcBorders>
                  <w:vAlign w:val="center"/>
                </w:tcPr>
                <w:p w14:paraId="774C8BDC">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634071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6369C889">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1FAF514E">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115" w:type="pct"/>
                  <w:tcBorders>
                    <w:tl2br w:val="nil"/>
                    <w:tr2bl w:val="nil"/>
                  </w:tcBorders>
                  <w:vAlign w:val="center"/>
                </w:tcPr>
                <w:p w14:paraId="317B399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hint="eastAsia" w:ascii="Times New Roman" w:hAnsi="Times New Roman"/>
                      <w:color w:val="auto"/>
                      <w:spacing w:val="-2"/>
                      <w:sz w:val="21"/>
                      <w:lang w:val="en-US" w:eastAsia="zh-CN"/>
                    </w:rPr>
                    <w:t>60</w:t>
                  </w:r>
                  <w:r>
                    <w:rPr>
                      <w:rFonts w:ascii="Times New Roman" w:hAnsi="Times New Roman" w:eastAsia="宋体"/>
                      <w:color w:val="auto"/>
                      <w:spacing w:val="-2"/>
                      <w:sz w:val="21"/>
                    </w:rPr>
                    <w:t>μg/m</w:t>
                  </w:r>
                  <w:r>
                    <w:rPr>
                      <w:rFonts w:ascii="Times New Roman" w:hAnsi="Times New Roman" w:eastAsia="宋体"/>
                      <w:color w:val="auto"/>
                      <w:spacing w:val="-2"/>
                      <w:sz w:val="21"/>
                      <w:vertAlign w:val="superscript"/>
                    </w:rPr>
                    <w:t>3</w:t>
                  </w:r>
                </w:p>
              </w:tc>
              <w:tc>
                <w:tcPr>
                  <w:tcW w:w="1511" w:type="pct"/>
                  <w:vMerge w:val="continue"/>
                  <w:tcBorders>
                    <w:tl2br w:val="nil"/>
                    <w:tr2bl w:val="nil"/>
                  </w:tcBorders>
                  <w:vAlign w:val="center"/>
                </w:tcPr>
                <w:p w14:paraId="71A9C821">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0DFAC5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2DD966E0">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rPr>
                  </w:pPr>
                </w:p>
                <w:p w14:paraId="1322327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position w:val="2"/>
                      <w:sz w:val="21"/>
                    </w:rPr>
                    <w:t>SO</w:t>
                  </w:r>
                  <w:r>
                    <w:rPr>
                      <w:rFonts w:ascii="Times New Roman" w:hAnsi="Times New Roman" w:eastAsia="宋体"/>
                      <w:color w:val="auto"/>
                      <w:spacing w:val="-5"/>
                      <w:sz w:val="13"/>
                    </w:rPr>
                    <w:t>2</w:t>
                  </w:r>
                </w:p>
              </w:tc>
              <w:tc>
                <w:tcPr>
                  <w:tcW w:w="1399" w:type="pct"/>
                  <w:tcBorders>
                    <w:tl2br w:val="nil"/>
                    <w:tr2bl w:val="nil"/>
                  </w:tcBorders>
                  <w:vAlign w:val="center"/>
                </w:tcPr>
                <w:p w14:paraId="505AC09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年平均</w:t>
                  </w:r>
                </w:p>
              </w:tc>
              <w:tc>
                <w:tcPr>
                  <w:tcW w:w="1115" w:type="pct"/>
                  <w:tcBorders>
                    <w:tl2br w:val="nil"/>
                    <w:tr2bl w:val="nil"/>
                  </w:tcBorders>
                  <w:vAlign w:val="center"/>
                </w:tcPr>
                <w:p w14:paraId="1317280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60μg/m</w:t>
                  </w:r>
                  <w:r>
                    <w:rPr>
                      <w:rFonts w:ascii="Times New Roman" w:hAnsi="Times New Roman" w:eastAsia="宋体"/>
                      <w:color w:val="auto"/>
                      <w:spacing w:val="-2"/>
                      <w:sz w:val="21"/>
                      <w:vertAlign w:val="superscript"/>
                    </w:rPr>
                    <w:t>3</w:t>
                  </w:r>
                </w:p>
              </w:tc>
              <w:tc>
                <w:tcPr>
                  <w:tcW w:w="1511" w:type="pct"/>
                  <w:vMerge w:val="continue"/>
                  <w:tcBorders>
                    <w:tl2br w:val="nil"/>
                    <w:tr2bl w:val="nil"/>
                  </w:tcBorders>
                  <w:vAlign w:val="center"/>
                </w:tcPr>
                <w:p w14:paraId="67110E9E">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51982A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2399442B">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2A1CEB11">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115" w:type="pct"/>
                  <w:tcBorders>
                    <w:tl2br w:val="nil"/>
                    <w:tr2bl w:val="nil"/>
                  </w:tcBorders>
                  <w:vAlign w:val="center"/>
                </w:tcPr>
                <w:p w14:paraId="5894FBFB">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150μg/m</w:t>
                  </w:r>
                  <w:r>
                    <w:rPr>
                      <w:rFonts w:ascii="Times New Roman" w:hAnsi="Times New Roman" w:eastAsia="宋体"/>
                      <w:color w:val="auto"/>
                      <w:spacing w:val="-2"/>
                      <w:position w:val="7"/>
                      <w:sz w:val="13"/>
                    </w:rPr>
                    <w:t>3</w:t>
                  </w:r>
                </w:p>
              </w:tc>
              <w:tc>
                <w:tcPr>
                  <w:tcW w:w="1511" w:type="pct"/>
                  <w:vMerge w:val="continue"/>
                  <w:tcBorders>
                    <w:tl2br w:val="nil"/>
                    <w:tr2bl w:val="nil"/>
                  </w:tcBorders>
                  <w:vAlign w:val="center"/>
                </w:tcPr>
                <w:p w14:paraId="4DA40863">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380AB8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0A245EE4">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09DAE79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z w:val="21"/>
                    </w:rPr>
                    <w:t>1</w:t>
                  </w:r>
                  <w:r>
                    <w:rPr>
                      <w:rFonts w:ascii="Times New Roman" w:hAnsi="Times New Roman" w:eastAsia="宋体"/>
                      <w:color w:val="auto"/>
                      <w:spacing w:val="-3"/>
                      <w:sz w:val="21"/>
                    </w:rPr>
                    <w:t>小时平均</w:t>
                  </w:r>
                </w:p>
              </w:tc>
              <w:tc>
                <w:tcPr>
                  <w:tcW w:w="1115" w:type="pct"/>
                  <w:tcBorders>
                    <w:tl2br w:val="nil"/>
                    <w:tr2bl w:val="nil"/>
                  </w:tcBorders>
                  <w:vAlign w:val="center"/>
                </w:tcPr>
                <w:p w14:paraId="3A75AD8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500μg/m</w:t>
                  </w:r>
                  <w:r>
                    <w:rPr>
                      <w:rFonts w:ascii="Times New Roman" w:hAnsi="Times New Roman" w:eastAsia="宋体"/>
                      <w:color w:val="auto"/>
                      <w:spacing w:val="-2"/>
                      <w:sz w:val="21"/>
                      <w:vertAlign w:val="superscript"/>
                    </w:rPr>
                    <w:t>3</w:t>
                  </w:r>
                </w:p>
              </w:tc>
              <w:tc>
                <w:tcPr>
                  <w:tcW w:w="1511" w:type="pct"/>
                  <w:vMerge w:val="continue"/>
                  <w:tcBorders>
                    <w:tl2br w:val="nil"/>
                    <w:tr2bl w:val="nil"/>
                  </w:tcBorders>
                  <w:vAlign w:val="center"/>
                </w:tcPr>
                <w:p w14:paraId="42D81C2B">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0F1322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50493F1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sz w:val="21"/>
                    </w:rPr>
                    <w:t>CO</w:t>
                  </w:r>
                </w:p>
              </w:tc>
              <w:tc>
                <w:tcPr>
                  <w:tcW w:w="1399" w:type="pct"/>
                  <w:tcBorders>
                    <w:tl2br w:val="nil"/>
                    <w:tr2bl w:val="nil"/>
                  </w:tcBorders>
                  <w:vAlign w:val="center"/>
                </w:tcPr>
                <w:p w14:paraId="76D7D42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24</w:t>
                  </w:r>
                  <w:r>
                    <w:rPr>
                      <w:rFonts w:ascii="Times New Roman" w:hAnsi="Times New Roman" w:eastAsia="宋体"/>
                      <w:color w:val="auto"/>
                      <w:spacing w:val="-4"/>
                      <w:sz w:val="21"/>
                    </w:rPr>
                    <w:t>小时平均</w:t>
                  </w:r>
                </w:p>
              </w:tc>
              <w:tc>
                <w:tcPr>
                  <w:tcW w:w="1115" w:type="pct"/>
                  <w:tcBorders>
                    <w:tl2br w:val="nil"/>
                    <w:tr2bl w:val="nil"/>
                  </w:tcBorders>
                  <w:vAlign w:val="center"/>
                </w:tcPr>
                <w:p w14:paraId="6548FFD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4mg/m</w:t>
                  </w:r>
                  <w:r>
                    <w:rPr>
                      <w:rFonts w:ascii="Times New Roman" w:hAnsi="Times New Roman" w:eastAsia="宋体"/>
                      <w:color w:val="auto"/>
                      <w:spacing w:val="-2"/>
                      <w:sz w:val="21"/>
                      <w:vertAlign w:val="superscript"/>
                    </w:rPr>
                    <w:t>3</w:t>
                  </w:r>
                </w:p>
              </w:tc>
              <w:tc>
                <w:tcPr>
                  <w:tcW w:w="1511" w:type="pct"/>
                  <w:vMerge w:val="continue"/>
                  <w:tcBorders>
                    <w:tl2br w:val="nil"/>
                    <w:tr2bl w:val="nil"/>
                  </w:tcBorders>
                  <w:vAlign w:val="center"/>
                </w:tcPr>
                <w:p w14:paraId="00252FF8">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3DA4D3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3F10EF9D">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038568C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1</w:t>
                  </w:r>
                  <w:r>
                    <w:rPr>
                      <w:rFonts w:ascii="Times New Roman" w:hAnsi="Times New Roman" w:eastAsia="宋体"/>
                      <w:color w:val="auto"/>
                      <w:spacing w:val="-4"/>
                      <w:sz w:val="21"/>
                    </w:rPr>
                    <w:t>小时平均</w:t>
                  </w:r>
                </w:p>
              </w:tc>
              <w:tc>
                <w:tcPr>
                  <w:tcW w:w="1115" w:type="pct"/>
                  <w:tcBorders>
                    <w:tl2br w:val="nil"/>
                    <w:tr2bl w:val="nil"/>
                  </w:tcBorders>
                  <w:vAlign w:val="center"/>
                </w:tcPr>
                <w:p w14:paraId="25140D9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10mg/m</w:t>
                  </w:r>
                  <w:r>
                    <w:rPr>
                      <w:rFonts w:ascii="Times New Roman" w:hAnsi="Times New Roman" w:eastAsia="宋体"/>
                      <w:color w:val="auto"/>
                      <w:spacing w:val="-2"/>
                      <w:sz w:val="21"/>
                      <w:vertAlign w:val="superscript"/>
                    </w:rPr>
                    <w:t>3</w:t>
                  </w:r>
                </w:p>
              </w:tc>
              <w:tc>
                <w:tcPr>
                  <w:tcW w:w="1511" w:type="pct"/>
                  <w:vMerge w:val="continue"/>
                  <w:tcBorders>
                    <w:tl2br w:val="nil"/>
                    <w:tr2bl w:val="nil"/>
                  </w:tcBorders>
                  <w:vAlign w:val="center"/>
                </w:tcPr>
                <w:p w14:paraId="5999CE32">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60EB29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431C51A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position w:val="2"/>
                      <w:sz w:val="21"/>
                    </w:rPr>
                    <w:t>O</w:t>
                  </w:r>
                  <w:r>
                    <w:rPr>
                      <w:rFonts w:ascii="Times New Roman" w:hAnsi="Times New Roman" w:eastAsia="宋体"/>
                      <w:color w:val="auto"/>
                      <w:spacing w:val="-5"/>
                      <w:sz w:val="13"/>
                    </w:rPr>
                    <w:t>3</w:t>
                  </w:r>
                </w:p>
              </w:tc>
              <w:tc>
                <w:tcPr>
                  <w:tcW w:w="1399" w:type="pct"/>
                  <w:tcBorders>
                    <w:tl2br w:val="nil"/>
                    <w:tr2bl w:val="nil"/>
                  </w:tcBorders>
                  <w:vAlign w:val="center"/>
                </w:tcPr>
                <w:p w14:paraId="7D11A04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日最大8</w:t>
                  </w:r>
                  <w:r>
                    <w:rPr>
                      <w:rFonts w:ascii="Times New Roman" w:hAnsi="Times New Roman" w:eastAsia="宋体"/>
                      <w:color w:val="auto"/>
                      <w:spacing w:val="-4"/>
                      <w:sz w:val="21"/>
                    </w:rPr>
                    <w:t>小时平均</w:t>
                  </w:r>
                </w:p>
              </w:tc>
              <w:tc>
                <w:tcPr>
                  <w:tcW w:w="1115" w:type="pct"/>
                  <w:tcBorders>
                    <w:tl2br w:val="nil"/>
                    <w:tr2bl w:val="nil"/>
                  </w:tcBorders>
                  <w:vAlign w:val="center"/>
                </w:tcPr>
                <w:p w14:paraId="323D398C">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160μg/m</w:t>
                  </w:r>
                  <w:r>
                    <w:rPr>
                      <w:rFonts w:ascii="Times New Roman" w:hAnsi="Times New Roman" w:eastAsia="宋体"/>
                      <w:color w:val="auto"/>
                      <w:spacing w:val="-2"/>
                      <w:position w:val="7"/>
                      <w:sz w:val="13"/>
                    </w:rPr>
                    <w:t>3</w:t>
                  </w:r>
                </w:p>
              </w:tc>
              <w:tc>
                <w:tcPr>
                  <w:tcW w:w="1511" w:type="pct"/>
                  <w:vMerge w:val="continue"/>
                  <w:tcBorders>
                    <w:tl2br w:val="nil"/>
                    <w:tr2bl w:val="nil"/>
                  </w:tcBorders>
                  <w:vAlign w:val="center"/>
                </w:tcPr>
                <w:p w14:paraId="0E59EC65">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700E8F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437C78B3">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32ADF58E">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olor w:val="auto"/>
                      <w:sz w:val="21"/>
                    </w:rPr>
                  </w:pPr>
                  <w:r>
                    <w:rPr>
                      <w:rFonts w:ascii="Times New Roman" w:hAnsi="Times New Roman" w:eastAsia="宋体"/>
                      <w:color w:val="auto"/>
                      <w:spacing w:val="-2"/>
                      <w:sz w:val="21"/>
                    </w:rPr>
                    <w:t>1</w:t>
                  </w:r>
                  <w:r>
                    <w:rPr>
                      <w:rFonts w:ascii="Times New Roman" w:hAnsi="Times New Roman" w:eastAsia="宋体"/>
                      <w:color w:val="auto"/>
                      <w:spacing w:val="-4"/>
                      <w:sz w:val="21"/>
                    </w:rPr>
                    <w:t>小时平均</w:t>
                  </w:r>
                </w:p>
              </w:tc>
              <w:tc>
                <w:tcPr>
                  <w:tcW w:w="1115" w:type="pct"/>
                  <w:tcBorders>
                    <w:tl2br w:val="nil"/>
                    <w:tr2bl w:val="nil"/>
                  </w:tcBorders>
                  <w:vAlign w:val="center"/>
                </w:tcPr>
                <w:p w14:paraId="47E7A76B">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2"/>
                      <w:sz w:val="21"/>
                    </w:rPr>
                    <w:t>200μg/m</w:t>
                  </w:r>
                  <w:r>
                    <w:rPr>
                      <w:rFonts w:ascii="Times New Roman" w:hAnsi="Times New Roman" w:eastAsia="宋体"/>
                      <w:color w:val="auto"/>
                      <w:spacing w:val="-2"/>
                      <w:sz w:val="21"/>
                      <w:vertAlign w:val="superscript"/>
                    </w:rPr>
                    <w:t>3</w:t>
                  </w:r>
                </w:p>
              </w:tc>
              <w:tc>
                <w:tcPr>
                  <w:tcW w:w="1511" w:type="pct"/>
                  <w:vMerge w:val="continue"/>
                  <w:tcBorders>
                    <w:tl2br w:val="nil"/>
                    <w:tr2bl w:val="nil"/>
                  </w:tcBorders>
                  <w:vAlign w:val="center"/>
                </w:tcPr>
                <w:p w14:paraId="32106C71">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4F8D81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2B24FCC3">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rPr>
                  </w:pPr>
                </w:p>
                <w:p w14:paraId="29D738A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vertAlign w:val="baseline"/>
                    </w:rPr>
                  </w:pPr>
                  <w:r>
                    <w:rPr>
                      <w:rFonts w:ascii="Times New Roman" w:hAnsi="Times New Roman" w:eastAsia="宋体"/>
                      <w:color w:val="auto"/>
                      <w:spacing w:val="-5"/>
                      <w:position w:val="2"/>
                      <w:sz w:val="21"/>
                    </w:rPr>
                    <w:t>NO</w:t>
                  </w:r>
                  <w:r>
                    <w:rPr>
                      <w:rFonts w:ascii="Times New Roman" w:hAnsi="Times New Roman" w:eastAsia="宋体"/>
                      <w:color w:val="auto"/>
                      <w:spacing w:val="-5"/>
                      <w:sz w:val="13"/>
                    </w:rPr>
                    <w:t>2</w:t>
                  </w:r>
                </w:p>
              </w:tc>
              <w:tc>
                <w:tcPr>
                  <w:tcW w:w="1399" w:type="pct"/>
                  <w:tcBorders>
                    <w:tl2br w:val="nil"/>
                    <w:tr2bl w:val="nil"/>
                  </w:tcBorders>
                  <w:vAlign w:val="center"/>
                </w:tcPr>
                <w:p w14:paraId="235F0249">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2"/>
                      <w:sz w:val="21"/>
                    </w:rPr>
                  </w:pPr>
                  <w:r>
                    <w:rPr>
                      <w:rFonts w:ascii="Times New Roman" w:hAnsi="Times New Roman" w:eastAsia="宋体"/>
                      <w:color w:val="auto"/>
                      <w:spacing w:val="-5"/>
                      <w:sz w:val="21"/>
                    </w:rPr>
                    <w:t>年平均</w:t>
                  </w:r>
                </w:p>
              </w:tc>
              <w:tc>
                <w:tcPr>
                  <w:tcW w:w="1115" w:type="pct"/>
                  <w:tcBorders>
                    <w:tl2br w:val="nil"/>
                    <w:tr2bl w:val="nil"/>
                  </w:tcBorders>
                  <w:vAlign w:val="center"/>
                </w:tcPr>
                <w:p w14:paraId="22074339">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2"/>
                      <w:sz w:val="21"/>
                    </w:rPr>
                  </w:pPr>
                  <w:r>
                    <w:rPr>
                      <w:rFonts w:ascii="Times New Roman" w:hAnsi="Times New Roman" w:eastAsia="宋体"/>
                      <w:color w:val="auto"/>
                      <w:spacing w:val="-2"/>
                      <w:sz w:val="21"/>
                    </w:rPr>
                    <w:t>40μg/m</w:t>
                  </w:r>
                  <w:r>
                    <w:rPr>
                      <w:rFonts w:ascii="Times New Roman" w:hAnsi="Times New Roman" w:eastAsia="宋体"/>
                      <w:color w:val="auto"/>
                      <w:spacing w:val="-2"/>
                      <w:sz w:val="21"/>
                      <w:vertAlign w:val="superscript"/>
                    </w:rPr>
                    <w:t>3</w:t>
                  </w:r>
                </w:p>
              </w:tc>
              <w:tc>
                <w:tcPr>
                  <w:tcW w:w="1511" w:type="pct"/>
                  <w:vMerge w:val="restart"/>
                  <w:tcBorders>
                    <w:tl2br w:val="nil"/>
                    <w:tr2bl w:val="nil"/>
                  </w:tcBorders>
                  <w:vAlign w:val="center"/>
                </w:tcPr>
                <w:p w14:paraId="63EF99C5">
                  <w:pPr>
                    <w:pStyle w:val="9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rPr>
                  </w:pPr>
                  <w:r>
                    <w:rPr>
                      <w:rFonts w:ascii="Times New Roman" w:hAnsi="Times New Roman" w:eastAsia="宋体"/>
                      <w:color w:val="auto"/>
                      <w:spacing w:val="-3"/>
                      <w:sz w:val="21"/>
                    </w:rPr>
                    <w:t>《环境空气质量标准》</w:t>
                  </w:r>
                </w:p>
                <w:p w14:paraId="5A1C5BC0">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r>
                    <w:rPr>
                      <w:rFonts w:hint="eastAsia" w:ascii="Times New Roman" w:hAnsi="Times New Roman"/>
                      <w:color w:val="auto"/>
                      <w:spacing w:val="-2"/>
                      <w:sz w:val="21"/>
                      <w:lang w:eastAsia="zh-CN"/>
                    </w:rPr>
                    <w:t>（</w:t>
                  </w:r>
                  <w:r>
                    <w:rPr>
                      <w:rFonts w:ascii="Times New Roman" w:hAnsi="Times New Roman" w:eastAsia="宋体"/>
                      <w:color w:val="auto"/>
                      <w:spacing w:val="-2"/>
                      <w:sz w:val="21"/>
                    </w:rPr>
                    <w:t>GB3095-20</w:t>
                  </w:r>
                  <w:r>
                    <w:rPr>
                      <w:rFonts w:hint="eastAsia" w:ascii="Times New Roman" w:hAnsi="Times New Roman"/>
                      <w:color w:val="auto"/>
                      <w:spacing w:val="-2"/>
                      <w:sz w:val="21"/>
                      <w:lang w:val="en-US" w:eastAsia="zh-CN"/>
                    </w:rPr>
                    <w:t>26</w:t>
                  </w:r>
                  <w:r>
                    <w:rPr>
                      <w:rFonts w:hint="eastAsia" w:ascii="Times New Roman" w:hAnsi="Times New Roman"/>
                      <w:color w:val="auto"/>
                      <w:spacing w:val="-2"/>
                      <w:sz w:val="21"/>
                      <w:lang w:eastAsia="zh-CN"/>
                    </w:rPr>
                    <w:t>）</w:t>
                  </w:r>
                  <w:r>
                    <w:rPr>
                      <w:rFonts w:ascii="Times New Roman" w:hAnsi="Times New Roman" w:eastAsia="宋体"/>
                      <w:color w:val="auto"/>
                      <w:spacing w:val="-4"/>
                      <w:sz w:val="21"/>
                    </w:rPr>
                    <w:t>中的二级标准</w:t>
                  </w:r>
                </w:p>
              </w:tc>
            </w:tr>
            <w:tr w14:paraId="676334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01F2FD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1FD2064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2"/>
                      <w:sz w:val="21"/>
                    </w:rPr>
                  </w:pPr>
                  <w:r>
                    <w:rPr>
                      <w:rFonts w:ascii="Times New Roman" w:hAnsi="Times New Roman" w:eastAsia="宋体"/>
                      <w:color w:val="auto"/>
                      <w:sz w:val="21"/>
                    </w:rPr>
                    <w:t>24</w:t>
                  </w:r>
                  <w:r>
                    <w:rPr>
                      <w:rFonts w:ascii="Times New Roman" w:hAnsi="Times New Roman" w:eastAsia="宋体"/>
                      <w:color w:val="auto"/>
                      <w:spacing w:val="-3"/>
                      <w:sz w:val="21"/>
                    </w:rPr>
                    <w:t>小时平均</w:t>
                  </w:r>
                </w:p>
              </w:tc>
              <w:tc>
                <w:tcPr>
                  <w:tcW w:w="1115" w:type="pct"/>
                  <w:tcBorders>
                    <w:tl2br w:val="nil"/>
                    <w:tr2bl w:val="nil"/>
                  </w:tcBorders>
                  <w:vAlign w:val="center"/>
                </w:tcPr>
                <w:p w14:paraId="5C909373">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2"/>
                      <w:sz w:val="21"/>
                    </w:rPr>
                  </w:pPr>
                  <w:r>
                    <w:rPr>
                      <w:rFonts w:ascii="Times New Roman" w:hAnsi="Times New Roman" w:eastAsia="宋体"/>
                      <w:color w:val="auto"/>
                      <w:spacing w:val="-2"/>
                      <w:sz w:val="21"/>
                    </w:rPr>
                    <w:t>80μg/m</w:t>
                  </w:r>
                  <w:r>
                    <w:rPr>
                      <w:rFonts w:ascii="Times New Roman" w:hAnsi="Times New Roman" w:eastAsia="宋体"/>
                      <w:color w:val="auto"/>
                      <w:spacing w:val="-2"/>
                      <w:position w:val="7"/>
                      <w:sz w:val="13"/>
                    </w:rPr>
                    <w:t>3</w:t>
                  </w:r>
                </w:p>
              </w:tc>
              <w:tc>
                <w:tcPr>
                  <w:tcW w:w="1511" w:type="pct"/>
                  <w:vMerge w:val="continue"/>
                  <w:tcBorders>
                    <w:tl2br w:val="nil"/>
                    <w:tr2bl w:val="nil"/>
                  </w:tcBorders>
                  <w:vAlign w:val="center"/>
                </w:tcPr>
                <w:p w14:paraId="193DFAAA">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248B9F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7977F6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olor w:val="auto"/>
                      <w:vertAlign w:val="baseline"/>
                    </w:rPr>
                  </w:pPr>
                </w:p>
              </w:tc>
              <w:tc>
                <w:tcPr>
                  <w:tcW w:w="1399" w:type="pct"/>
                  <w:tcBorders>
                    <w:tl2br w:val="nil"/>
                    <w:tr2bl w:val="nil"/>
                  </w:tcBorders>
                  <w:vAlign w:val="center"/>
                </w:tcPr>
                <w:p w14:paraId="390835C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2"/>
                      <w:sz w:val="21"/>
                    </w:rPr>
                  </w:pPr>
                  <w:r>
                    <w:rPr>
                      <w:rFonts w:ascii="Times New Roman" w:hAnsi="Times New Roman" w:eastAsia="宋体"/>
                      <w:color w:val="auto"/>
                      <w:sz w:val="21"/>
                    </w:rPr>
                    <w:t>1</w:t>
                  </w:r>
                  <w:r>
                    <w:rPr>
                      <w:rFonts w:ascii="Times New Roman" w:hAnsi="Times New Roman" w:eastAsia="宋体"/>
                      <w:color w:val="auto"/>
                      <w:spacing w:val="-3"/>
                      <w:sz w:val="21"/>
                    </w:rPr>
                    <w:t>小时平均</w:t>
                  </w:r>
                </w:p>
              </w:tc>
              <w:tc>
                <w:tcPr>
                  <w:tcW w:w="1115" w:type="pct"/>
                  <w:tcBorders>
                    <w:tl2br w:val="nil"/>
                    <w:tr2bl w:val="nil"/>
                  </w:tcBorders>
                  <w:vAlign w:val="center"/>
                </w:tcPr>
                <w:p w14:paraId="5313A99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olor w:val="auto"/>
                      <w:spacing w:val="-2"/>
                      <w:sz w:val="21"/>
                    </w:rPr>
                  </w:pPr>
                  <w:r>
                    <w:rPr>
                      <w:rFonts w:ascii="Times New Roman" w:hAnsi="Times New Roman" w:eastAsia="宋体"/>
                      <w:color w:val="auto"/>
                      <w:spacing w:val="-2"/>
                      <w:sz w:val="21"/>
                    </w:rPr>
                    <w:t>200μg/m</w:t>
                  </w:r>
                  <w:r>
                    <w:rPr>
                      <w:rFonts w:ascii="Times New Roman" w:hAnsi="Times New Roman" w:eastAsia="宋体"/>
                      <w:color w:val="auto"/>
                      <w:spacing w:val="-2"/>
                      <w:sz w:val="21"/>
                      <w:vertAlign w:val="superscript"/>
                    </w:rPr>
                    <w:t>3</w:t>
                  </w:r>
                </w:p>
              </w:tc>
              <w:tc>
                <w:tcPr>
                  <w:tcW w:w="1511" w:type="pct"/>
                  <w:vMerge w:val="continue"/>
                  <w:tcBorders>
                    <w:tl2br w:val="nil"/>
                    <w:tr2bl w:val="nil"/>
                  </w:tcBorders>
                  <w:vAlign w:val="center"/>
                </w:tcPr>
                <w:p w14:paraId="59049857">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0DF29B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6B696CD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vertAlign w:val="baseline"/>
                      <w:lang w:val="en-US" w:eastAsia="zh-CN"/>
                    </w:rPr>
                  </w:pPr>
                  <w:r>
                    <w:rPr>
                      <w:rFonts w:hint="eastAsia"/>
                      <w:color w:val="auto"/>
                      <w:vertAlign w:val="baseline"/>
                      <w:lang w:val="en-US" w:eastAsia="zh-CN"/>
                    </w:rPr>
                    <w:t>TSP</w:t>
                  </w:r>
                </w:p>
              </w:tc>
              <w:tc>
                <w:tcPr>
                  <w:tcW w:w="1399" w:type="pct"/>
                  <w:tcBorders>
                    <w:tl2br w:val="nil"/>
                    <w:tr2bl w:val="nil"/>
                  </w:tcBorders>
                  <w:shd w:val="clear" w:color="auto" w:fill="auto"/>
                  <w:vAlign w:val="top"/>
                </w:tcPr>
                <w:p w14:paraId="0EC110D4">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sz w:val="21"/>
                      <w:lang w:val="en-US" w:eastAsia="en-US"/>
                    </w:rPr>
                  </w:pPr>
                  <w:r>
                    <w:rPr>
                      <w:rFonts w:ascii="Times New Roman" w:hAnsi="Times New Roman" w:eastAsia="宋体" w:cs="宋体"/>
                      <w:color w:val="auto"/>
                      <w:spacing w:val="-2"/>
                      <w:sz w:val="21"/>
                    </w:rPr>
                    <w:t>年平均</w:t>
                  </w:r>
                </w:p>
              </w:tc>
              <w:tc>
                <w:tcPr>
                  <w:tcW w:w="1115" w:type="pct"/>
                  <w:tcBorders>
                    <w:tl2br w:val="nil"/>
                    <w:tr2bl w:val="nil"/>
                  </w:tcBorders>
                  <w:shd w:val="clear" w:color="auto" w:fill="auto"/>
                  <w:vAlign w:val="top"/>
                </w:tcPr>
                <w:p w14:paraId="5D68491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sz w:val="21"/>
                      <w:lang w:val="en-US" w:eastAsia="en-US"/>
                    </w:rPr>
                  </w:pPr>
                  <w:r>
                    <w:rPr>
                      <w:rFonts w:ascii="Times New Roman" w:hAnsi="Times New Roman" w:eastAsia="宋体" w:cs="宋体"/>
                      <w:color w:val="auto"/>
                      <w:spacing w:val="-2"/>
                      <w:sz w:val="21"/>
                    </w:rPr>
                    <w:t>200μg/m³</w:t>
                  </w:r>
                </w:p>
              </w:tc>
              <w:tc>
                <w:tcPr>
                  <w:tcW w:w="1511" w:type="pct"/>
                  <w:vMerge w:val="continue"/>
                  <w:tcBorders>
                    <w:tl2br w:val="nil"/>
                    <w:tr2bl w:val="nil"/>
                  </w:tcBorders>
                  <w:vAlign w:val="center"/>
                </w:tcPr>
                <w:p w14:paraId="3C062BD1">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78FD49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77458F11">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c>
                <w:tcPr>
                  <w:tcW w:w="1399" w:type="pct"/>
                  <w:tcBorders>
                    <w:tl2br w:val="nil"/>
                    <w:tr2bl w:val="nil"/>
                  </w:tcBorders>
                  <w:shd w:val="clear" w:color="auto" w:fill="auto"/>
                  <w:vAlign w:val="top"/>
                </w:tcPr>
                <w:p w14:paraId="468A7AC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sz w:val="21"/>
                      <w:lang w:val="en-US" w:eastAsia="en-US"/>
                    </w:rPr>
                  </w:pPr>
                  <w:r>
                    <w:rPr>
                      <w:rFonts w:ascii="Times New Roman" w:hAnsi="Times New Roman" w:eastAsia="宋体" w:cs="宋体"/>
                      <w:color w:val="auto"/>
                      <w:spacing w:val="-2"/>
                      <w:sz w:val="21"/>
                    </w:rPr>
                    <w:t>24小时平均</w:t>
                  </w:r>
                </w:p>
              </w:tc>
              <w:tc>
                <w:tcPr>
                  <w:tcW w:w="1115" w:type="pct"/>
                  <w:tcBorders>
                    <w:tl2br w:val="nil"/>
                    <w:tr2bl w:val="nil"/>
                  </w:tcBorders>
                  <w:shd w:val="clear" w:color="auto" w:fill="auto"/>
                  <w:vAlign w:val="top"/>
                </w:tcPr>
                <w:p w14:paraId="68068534">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sz w:val="21"/>
                      <w:lang w:val="en-US" w:eastAsia="en-US"/>
                    </w:rPr>
                  </w:pPr>
                  <w:r>
                    <w:rPr>
                      <w:rFonts w:ascii="Times New Roman" w:hAnsi="Times New Roman" w:eastAsia="宋体" w:cs="宋体"/>
                      <w:color w:val="auto"/>
                      <w:spacing w:val="-2"/>
                      <w:sz w:val="21"/>
                    </w:rPr>
                    <w:t>300μg/m³</w:t>
                  </w:r>
                </w:p>
              </w:tc>
              <w:tc>
                <w:tcPr>
                  <w:tcW w:w="1511" w:type="pct"/>
                  <w:vMerge w:val="continue"/>
                  <w:tcBorders>
                    <w:tl2br w:val="nil"/>
                    <w:tr2bl w:val="nil"/>
                  </w:tcBorders>
                  <w:vAlign w:val="center"/>
                </w:tcPr>
                <w:p w14:paraId="3C541319">
                  <w:pPr>
                    <w:pStyle w:val="4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olor w:val="auto"/>
                      <w:vertAlign w:val="baseline"/>
                    </w:rPr>
                  </w:pPr>
                </w:p>
              </w:tc>
            </w:tr>
            <w:tr w14:paraId="32B37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tcBorders>
                    <w:tl2br w:val="nil"/>
                    <w:tr2bl w:val="nil"/>
                  </w:tcBorders>
                  <w:vAlign w:val="center"/>
                </w:tcPr>
                <w:p w14:paraId="7E08839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4"/>
                      <w:sz w:val="21"/>
                    </w:rPr>
                  </w:pPr>
                  <w:r>
                    <w:rPr>
                      <w:rFonts w:ascii="Times New Roman" w:hAnsi="Times New Roman" w:eastAsia="宋体"/>
                      <w:color w:val="auto"/>
                      <w:spacing w:val="-4"/>
                      <w:sz w:val="21"/>
                    </w:rPr>
                    <w:t>非甲烷总烃</w:t>
                  </w:r>
                </w:p>
              </w:tc>
              <w:tc>
                <w:tcPr>
                  <w:tcW w:w="1399" w:type="pct"/>
                  <w:tcBorders>
                    <w:tl2br w:val="nil"/>
                    <w:tr2bl w:val="nil"/>
                  </w:tcBorders>
                  <w:vAlign w:val="center"/>
                </w:tcPr>
                <w:p w14:paraId="4F456D77">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eastAsia="Times New Roman"/>
                      <w:color w:val="auto"/>
                      <w:sz w:val="21"/>
                    </w:rPr>
                  </w:pPr>
                  <w:r>
                    <w:rPr>
                      <w:rFonts w:ascii="Times New Roman" w:hAnsi="Times New Roman" w:eastAsia="宋体"/>
                      <w:color w:val="auto"/>
                      <w:sz w:val="21"/>
                    </w:rPr>
                    <w:t>1</w:t>
                  </w:r>
                  <w:r>
                    <w:rPr>
                      <w:rFonts w:ascii="Times New Roman" w:hAnsi="Times New Roman" w:eastAsia="宋体"/>
                      <w:color w:val="auto"/>
                      <w:spacing w:val="-3"/>
                      <w:sz w:val="21"/>
                    </w:rPr>
                    <w:t>小时均值</w:t>
                  </w:r>
                </w:p>
              </w:tc>
              <w:tc>
                <w:tcPr>
                  <w:tcW w:w="1115" w:type="pct"/>
                  <w:tcBorders>
                    <w:tl2br w:val="nil"/>
                    <w:tr2bl w:val="nil"/>
                  </w:tcBorders>
                  <w:vAlign w:val="center"/>
                </w:tcPr>
                <w:p w14:paraId="03EBAA2E">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color w:val="auto"/>
                      <w:spacing w:val="-2"/>
                      <w:sz w:val="21"/>
                    </w:rPr>
                  </w:pPr>
                  <w:r>
                    <w:rPr>
                      <w:rFonts w:ascii="Times New Roman" w:hAnsi="Times New Roman" w:eastAsia="宋体"/>
                      <w:color w:val="auto"/>
                      <w:spacing w:val="-2"/>
                      <w:sz w:val="21"/>
                    </w:rPr>
                    <w:t>2.0mg/m</w:t>
                  </w:r>
                  <w:r>
                    <w:rPr>
                      <w:rFonts w:ascii="Times New Roman" w:hAnsi="Times New Roman" w:eastAsia="宋体"/>
                      <w:color w:val="auto"/>
                      <w:spacing w:val="-2"/>
                      <w:sz w:val="21"/>
                      <w:vertAlign w:val="superscript"/>
                    </w:rPr>
                    <w:t>3</w:t>
                  </w:r>
                </w:p>
              </w:tc>
              <w:tc>
                <w:tcPr>
                  <w:tcW w:w="1511" w:type="pct"/>
                  <w:tcBorders>
                    <w:tl2br w:val="nil"/>
                    <w:tr2bl w:val="nil"/>
                  </w:tcBorders>
                  <w:vAlign w:val="center"/>
                </w:tcPr>
                <w:p w14:paraId="75F146E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vertAlign w:val="baseline"/>
                    </w:rPr>
                  </w:pPr>
                  <w:r>
                    <w:rPr>
                      <w:rFonts w:ascii="Times New Roman" w:hAnsi="Times New Roman" w:eastAsia="宋体" w:cs="宋体"/>
                      <w:color w:val="auto"/>
                      <w:spacing w:val="-3"/>
                      <w:sz w:val="21"/>
                      <w:highlight w:val="none"/>
                    </w:rPr>
                    <w:t>《大气污染物综合排放标准</w:t>
                  </w:r>
                  <w:r>
                    <w:rPr>
                      <w:rFonts w:hint="eastAsia" w:ascii="Times New Roman" w:hAnsi="Times New Roman" w:cs="宋体"/>
                      <w:color w:val="auto"/>
                      <w:spacing w:val="-3"/>
                      <w:sz w:val="21"/>
                      <w:highlight w:val="none"/>
                      <w:lang w:val="en-US" w:eastAsia="zh-CN"/>
                    </w:rPr>
                    <w:t>详解</w:t>
                  </w:r>
                  <w:r>
                    <w:rPr>
                      <w:rFonts w:ascii="Times New Roman" w:hAnsi="Times New Roman" w:eastAsia="宋体" w:cs="宋体"/>
                      <w:color w:val="auto"/>
                      <w:spacing w:val="-3"/>
                      <w:sz w:val="21"/>
                      <w:highlight w:val="none"/>
                    </w:rPr>
                    <w:t>》</w:t>
                  </w:r>
                  <w:r>
                    <w:rPr>
                      <w:rFonts w:hint="eastAsia" w:ascii="Times New Roman" w:hAnsi="Times New Roman" w:cs="宋体"/>
                      <w:color w:val="auto"/>
                      <w:spacing w:val="-3"/>
                      <w:sz w:val="21"/>
                      <w:highlight w:val="none"/>
                      <w:lang w:eastAsia="zh-CN"/>
                    </w:rPr>
                    <w:t>（</w:t>
                  </w:r>
                  <w:r>
                    <w:rPr>
                      <w:rFonts w:ascii="Times New Roman" w:hAnsi="Times New Roman" w:eastAsia="宋体" w:cs="宋体"/>
                      <w:color w:val="auto"/>
                      <w:spacing w:val="-3"/>
                      <w:sz w:val="21"/>
                      <w:highlight w:val="none"/>
                    </w:rPr>
                    <w:t>GB16297-1996</w:t>
                  </w:r>
                  <w:r>
                    <w:rPr>
                      <w:rFonts w:hint="eastAsia" w:ascii="Times New Roman" w:hAnsi="Times New Roman" w:cs="宋体"/>
                      <w:color w:val="auto"/>
                      <w:spacing w:val="-3"/>
                      <w:sz w:val="21"/>
                      <w:highlight w:val="none"/>
                      <w:lang w:eastAsia="zh-CN"/>
                    </w:rPr>
                    <w:t>）</w:t>
                  </w:r>
                </w:p>
              </w:tc>
            </w:tr>
          </w:tbl>
          <w:p w14:paraId="1B47F799">
            <w:pPr>
              <w:pStyle w:val="48"/>
              <w:rPr>
                <w:rFonts w:hint="default"/>
                <w:color w:val="auto"/>
              </w:rPr>
            </w:pPr>
          </w:p>
          <w:p w14:paraId="43FB81D5">
            <w:pPr>
              <w:pStyle w:val="5"/>
              <w:bidi w:val="0"/>
              <w:rPr>
                <w:rFonts w:hint="default"/>
                <w:color w:val="auto"/>
              </w:rPr>
            </w:pPr>
            <w:r>
              <w:rPr>
                <w:rFonts w:hint="eastAsia"/>
                <w:color w:val="auto"/>
                <w:lang w:val="en-US" w:eastAsia="zh-CN"/>
              </w:rPr>
              <w:t>区域大气</w:t>
            </w:r>
            <w:r>
              <w:rPr>
                <w:rFonts w:hint="default"/>
                <w:color w:val="auto"/>
                <w:lang w:val="en-US" w:eastAsia="zh-CN"/>
              </w:rPr>
              <w:t>环境质量现状</w:t>
            </w:r>
          </w:p>
          <w:p w14:paraId="1B193456">
            <w:pPr>
              <w:pStyle w:val="46"/>
              <w:numPr>
                <w:ilvl w:val="0"/>
                <w:numId w:val="0"/>
              </w:numPr>
              <w:bidi w:val="0"/>
              <w:ind w:left="425" w:leftChars="0" w:hanging="425" w:firstLineChars="0"/>
              <w:rPr>
                <w:rFonts w:hint="eastAsia" w:ascii="Times New Roman" w:hAnsi="Times New Roman" w:eastAsia="宋体" w:cs="宋体"/>
                <w:color w:val="auto"/>
                <w:highlight w:val="none"/>
                <w:lang w:val="en-US" w:eastAsia="zh-CN"/>
              </w:rPr>
            </w:pPr>
            <w:r>
              <w:rPr>
                <w:rFonts w:hint="eastAsia" w:cs="宋体"/>
                <w:color w:val="auto"/>
                <w:kern w:val="0"/>
                <w:sz w:val="24"/>
                <w:szCs w:val="20"/>
                <w:lang w:val="en-US" w:eastAsia="zh-CN" w:bidi="ar-SA"/>
              </w:rPr>
              <w:t>（1）</w:t>
            </w:r>
            <w:r>
              <w:rPr>
                <w:rFonts w:hint="eastAsia" w:ascii="Times New Roman" w:hAnsi="Times New Roman" w:eastAsia="宋体" w:cs="宋体"/>
                <w:color w:val="auto"/>
                <w:highlight w:val="none"/>
                <w:lang w:val="en-US" w:eastAsia="zh-CN"/>
              </w:rPr>
              <w:t>城市达标区域判断</w:t>
            </w:r>
          </w:p>
          <w:p w14:paraId="31A6BCAB">
            <w:pPr>
              <w:pStyle w:val="46"/>
              <w:bidi w:val="0"/>
              <w:jc w:val="both"/>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highlight w:val="none"/>
                <w:lang w:val="en-US" w:eastAsia="zh-CN"/>
              </w:rPr>
              <w:t>城市环境空气质量达标情况评价指标为SO</w:t>
            </w:r>
            <w:r>
              <w:rPr>
                <w:rFonts w:hint="eastAsia" w:ascii="Times New Roman" w:hAnsi="Times New Roman" w:eastAsia="宋体" w:cs="宋体"/>
                <w:color w:val="auto"/>
                <w:highlight w:val="none"/>
                <w:vertAlign w:val="subscript"/>
                <w:lang w:val="en-US" w:eastAsia="zh-CN"/>
              </w:rPr>
              <w:t>2</w:t>
            </w:r>
            <w:r>
              <w:rPr>
                <w:rFonts w:hint="eastAsia" w:ascii="Times New Roman" w:hAnsi="Times New Roman" w:eastAsia="宋体" w:cs="宋体"/>
                <w:color w:val="auto"/>
                <w:highlight w:val="none"/>
                <w:lang w:val="en-US" w:eastAsia="zh-CN"/>
              </w:rPr>
              <w:t>、NO</w:t>
            </w:r>
            <w:r>
              <w:rPr>
                <w:rFonts w:hint="eastAsia" w:ascii="Times New Roman" w:hAnsi="Times New Roman" w:eastAsia="宋体" w:cs="宋体"/>
                <w:color w:val="auto"/>
                <w:highlight w:val="none"/>
                <w:vertAlign w:val="subscript"/>
                <w:lang w:val="en-US" w:eastAsia="zh-CN"/>
              </w:rPr>
              <w:t>2</w:t>
            </w:r>
            <w:r>
              <w:rPr>
                <w:rFonts w:hint="eastAsia" w:ascii="Times New Roman" w:hAnsi="Times New Roman" w:eastAsia="宋体" w:cs="宋体"/>
                <w:color w:val="auto"/>
                <w:highlight w:val="none"/>
                <w:lang w:val="en-US" w:eastAsia="zh-CN"/>
              </w:rPr>
              <w:t>、PM</w:t>
            </w:r>
            <w:r>
              <w:rPr>
                <w:rFonts w:hint="eastAsia" w:ascii="Times New Roman" w:hAnsi="Times New Roman" w:eastAsia="宋体" w:cs="宋体"/>
                <w:color w:val="auto"/>
                <w:highlight w:val="none"/>
                <w:vertAlign w:val="subscript"/>
                <w:lang w:val="en-US" w:eastAsia="zh-CN"/>
              </w:rPr>
              <w:t>10</w:t>
            </w:r>
            <w:r>
              <w:rPr>
                <w:rFonts w:hint="eastAsia" w:ascii="Times New Roman" w:hAnsi="Times New Roman" w:eastAsia="宋体" w:cs="宋体"/>
                <w:color w:val="auto"/>
                <w:highlight w:val="none"/>
                <w:lang w:val="en-US" w:eastAsia="zh-CN"/>
              </w:rPr>
              <w:t>、PM</w:t>
            </w:r>
            <w:r>
              <w:rPr>
                <w:rFonts w:hint="eastAsia" w:ascii="Times New Roman" w:hAnsi="Times New Roman" w:eastAsia="宋体" w:cs="宋体"/>
                <w:color w:val="auto"/>
                <w:highlight w:val="none"/>
                <w:vertAlign w:val="subscript"/>
                <w:lang w:val="en-US" w:eastAsia="zh-CN"/>
              </w:rPr>
              <w:t>2.5</w:t>
            </w:r>
            <w:r>
              <w:rPr>
                <w:rFonts w:hint="eastAsia" w:ascii="Times New Roman" w:hAnsi="Times New Roman" w:eastAsia="宋体" w:cs="宋体"/>
                <w:color w:val="auto"/>
                <w:highlight w:val="none"/>
                <w:lang w:val="en-US" w:eastAsia="zh-CN"/>
              </w:rPr>
              <w:t>、CO和O</w:t>
            </w:r>
            <w:r>
              <w:rPr>
                <w:rFonts w:hint="eastAsia" w:ascii="Times New Roman" w:hAnsi="Times New Roman" w:eastAsia="宋体" w:cs="宋体"/>
                <w:color w:val="auto"/>
                <w:highlight w:val="none"/>
                <w:vertAlign w:val="subscript"/>
                <w:lang w:val="en-US" w:eastAsia="zh-CN"/>
              </w:rPr>
              <w:t>3</w:t>
            </w:r>
            <w:r>
              <w:rPr>
                <w:rFonts w:hint="eastAsia" w:ascii="Times New Roman" w:hAnsi="Times New Roman" w:eastAsia="宋体" w:cs="宋体"/>
                <w:color w:val="auto"/>
                <w:highlight w:val="none"/>
                <w:lang w:val="en-US" w:eastAsia="zh-CN"/>
              </w:rPr>
              <w:t>，六项污染物全部达标即为城市环境空气质量达标。根据福建省生态环境厅发布的</w:t>
            </w:r>
            <w:r>
              <w:rPr>
                <w:rFonts w:hint="eastAsia" w:ascii="Times New Roman" w:hAnsi="Times New Roman" w:eastAsia="宋体" w:cs="宋体"/>
                <w:color w:val="auto"/>
                <w:sz w:val="24"/>
                <w:highlight w:val="none"/>
                <w:lang w:val="en-US" w:eastAsia="zh-CN"/>
              </w:rPr>
              <w:t>“202</w:t>
            </w:r>
            <w:r>
              <w:rPr>
                <w:rFonts w:hint="eastAsia" w:cs="宋体"/>
                <w:color w:val="auto"/>
                <w:sz w:val="24"/>
                <w:highlight w:val="none"/>
                <w:lang w:val="en-US" w:eastAsia="zh-CN"/>
              </w:rPr>
              <w:t>5</w:t>
            </w:r>
            <w:r>
              <w:rPr>
                <w:rFonts w:hint="eastAsia" w:ascii="Times New Roman" w:hAnsi="Times New Roman" w:eastAsia="宋体" w:cs="宋体"/>
                <w:color w:val="auto"/>
                <w:sz w:val="24"/>
                <w:highlight w:val="none"/>
                <w:lang w:val="en-US" w:eastAsia="zh-CN"/>
              </w:rPr>
              <w:t>年12月福建省城市环境空气质量状况”显示，202</w:t>
            </w:r>
            <w:r>
              <w:rPr>
                <w:rFonts w:hint="eastAsia" w:cs="宋体"/>
                <w:color w:val="auto"/>
                <w:sz w:val="24"/>
                <w:highlight w:val="none"/>
                <w:lang w:val="en-US" w:eastAsia="zh-CN"/>
              </w:rPr>
              <w:t>5</w:t>
            </w:r>
            <w:r>
              <w:rPr>
                <w:rFonts w:hint="eastAsia" w:ascii="Times New Roman" w:hAnsi="Times New Roman" w:eastAsia="宋体" w:cs="宋体"/>
                <w:color w:val="auto"/>
                <w:sz w:val="24"/>
                <w:highlight w:val="none"/>
                <w:lang w:val="en-US" w:eastAsia="zh-CN"/>
              </w:rPr>
              <w:t>年1</w:t>
            </w:r>
            <w:r>
              <w:rPr>
                <w:rFonts w:hint="eastAsia"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12月，福州市环境空气质量综合指数2.</w:t>
            </w:r>
            <w:r>
              <w:rPr>
                <w:rFonts w:hint="eastAsia" w:ascii="Times New Roman" w:hAnsi="Times New Roman" w:cs="宋体"/>
                <w:color w:val="auto"/>
                <w:sz w:val="24"/>
                <w:highlight w:val="none"/>
                <w:lang w:val="en-US" w:eastAsia="zh-CN"/>
              </w:rPr>
              <w:t>40</w:t>
            </w:r>
            <w:r>
              <w:rPr>
                <w:rFonts w:hint="eastAsia" w:ascii="Times New Roman" w:hAnsi="Times New Roman" w:eastAsia="宋体" w:cs="宋体"/>
                <w:color w:val="auto"/>
                <w:sz w:val="24"/>
                <w:highlight w:val="none"/>
                <w:lang w:val="en-US" w:eastAsia="zh-CN"/>
              </w:rPr>
              <w:t>。由此可知，福州市城区环境空气质量总体达到二级标准，</w:t>
            </w:r>
            <w:r>
              <w:rPr>
                <w:rFonts w:hint="eastAsia" w:cs="宋体"/>
                <w:color w:val="auto"/>
                <w:sz w:val="24"/>
                <w:highlight w:val="none"/>
                <w:lang w:val="en-US" w:eastAsia="zh-CN"/>
              </w:rPr>
              <w:t>福清市</w:t>
            </w:r>
            <w:r>
              <w:rPr>
                <w:rFonts w:hint="eastAsia" w:ascii="Times New Roman" w:hAnsi="Times New Roman" w:eastAsia="宋体" w:cs="宋体"/>
                <w:color w:val="auto"/>
                <w:sz w:val="24"/>
                <w:highlight w:val="none"/>
                <w:lang w:val="en-US" w:eastAsia="zh-CN"/>
              </w:rPr>
              <w:t>属于达标区域</w:t>
            </w:r>
            <w:r>
              <w:rPr>
                <w:rFonts w:hint="eastAsia"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见表3.1-</w:t>
            </w:r>
            <w:r>
              <w:rPr>
                <w:rFonts w:hint="eastAsia" w:ascii="Times New Roman" w:hAnsi="Times New Roman" w:cs="宋体"/>
                <w:color w:val="auto"/>
                <w:sz w:val="24"/>
                <w:highlight w:val="none"/>
                <w:lang w:val="en-US" w:eastAsia="zh-CN"/>
              </w:rPr>
              <w:t>3</w:t>
            </w:r>
            <w:r>
              <w:rPr>
                <w:rFonts w:hint="eastAsia" w:ascii="Times New Roman" w:hAnsi="Times New Roman" w:eastAsia="宋体" w:cs="宋体"/>
                <w:color w:val="auto"/>
                <w:sz w:val="24"/>
                <w:highlight w:val="none"/>
                <w:lang w:val="en-US" w:eastAsia="zh-CN"/>
              </w:rPr>
              <w:t>。</w:t>
            </w:r>
          </w:p>
          <w:p w14:paraId="3A4580A9">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w:t>
            </w:r>
            <w:r>
              <w:rPr>
                <w:rFonts w:hint="eastAsia"/>
                <w:color w:val="auto"/>
                <w:highlight w:val="none"/>
                <w:lang w:val="en-US" w:eastAsia="zh-CN"/>
              </w:rPr>
              <w:t>5</w:t>
            </w:r>
            <w:r>
              <w:rPr>
                <w:rFonts w:hint="eastAsia" w:ascii="Times New Roman" w:hAnsi="Times New Roman" w:eastAsia="宋体"/>
                <w:color w:val="auto"/>
                <w:highlight w:val="none"/>
                <w:lang w:val="en-US" w:eastAsia="zh-CN"/>
              </w:rPr>
              <w:t>年1</w:t>
            </w:r>
            <w:r>
              <w:rPr>
                <w:rFonts w:hint="eastAsia"/>
                <w:color w:val="auto"/>
                <w:highlight w:val="none"/>
                <w:lang w:val="en-US" w:eastAsia="zh-CN"/>
              </w:rPr>
              <w:t>—</w:t>
            </w:r>
            <w:r>
              <w:rPr>
                <w:rFonts w:hint="eastAsia" w:ascii="Times New Roman" w:hAnsi="Times New Roman" w:eastAsia="宋体"/>
                <w:color w:val="auto"/>
                <w:highlight w:val="none"/>
                <w:lang w:val="en-US" w:eastAsia="zh-CN"/>
              </w:rPr>
              <w:t>12月设区城市环境空气质量状况</w:t>
            </w:r>
          </w:p>
          <w:tbl>
            <w:tblPr>
              <w:tblStyle w:val="34"/>
              <w:tblW w:w="4997" w:type="pct"/>
              <w:tblInd w:w="0" w:type="dxa"/>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Layout w:type="autofit"/>
              <w:tblCellMar>
                <w:top w:w="0" w:type="dxa"/>
                <w:left w:w="0" w:type="dxa"/>
                <w:bottom w:w="0" w:type="dxa"/>
                <w:right w:w="0" w:type="dxa"/>
              </w:tblCellMar>
            </w:tblPr>
            <w:tblGrid>
              <w:gridCol w:w="536"/>
              <w:gridCol w:w="832"/>
              <w:gridCol w:w="808"/>
              <w:gridCol w:w="706"/>
              <w:gridCol w:w="739"/>
              <w:gridCol w:w="799"/>
              <w:gridCol w:w="870"/>
              <w:gridCol w:w="1106"/>
              <w:gridCol w:w="1312"/>
              <w:gridCol w:w="935"/>
            </w:tblGrid>
            <w:tr w14:paraId="104E09E5">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5" w:hRule="atLeast"/>
              </w:trPr>
              <w:tc>
                <w:tcPr>
                  <w:tcW w:w="310" w:type="pct"/>
                  <w:tcBorders>
                    <w:tl2br w:val="nil"/>
                    <w:tr2bl w:val="nil"/>
                  </w:tcBorders>
                  <w:vAlign w:val="center"/>
                </w:tcPr>
                <w:p w14:paraId="0A999717">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排</w:t>
                  </w:r>
                </w:p>
                <w:p w14:paraId="2A7FDB24">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名</w:t>
                  </w:r>
                </w:p>
              </w:tc>
              <w:tc>
                <w:tcPr>
                  <w:tcW w:w="481" w:type="pct"/>
                  <w:tcBorders>
                    <w:tl2br w:val="nil"/>
                    <w:tr2bl w:val="nil"/>
                  </w:tcBorders>
                  <w:vAlign w:val="center"/>
                </w:tcPr>
                <w:p w14:paraId="7C0973A4">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城市</w:t>
                  </w:r>
                </w:p>
              </w:tc>
              <w:tc>
                <w:tcPr>
                  <w:tcW w:w="467" w:type="pct"/>
                  <w:tcBorders>
                    <w:tl2br w:val="nil"/>
                    <w:tr2bl w:val="nil"/>
                  </w:tcBorders>
                  <w:vAlign w:val="center"/>
                </w:tcPr>
                <w:p w14:paraId="68D7B73E">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综合</w:t>
                  </w:r>
                </w:p>
                <w:p w14:paraId="5C684AFA">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指数</w:t>
                  </w:r>
                </w:p>
              </w:tc>
              <w:tc>
                <w:tcPr>
                  <w:tcW w:w="408" w:type="pct"/>
                  <w:tcBorders>
                    <w:tl2br w:val="nil"/>
                    <w:tr2bl w:val="nil"/>
                  </w:tcBorders>
                  <w:vAlign w:val="center"/>
                </w:tcPr>
                <w:p w14:paraId="5B34DFE9">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position w:val="2"/>
                      <w:sz w:val="21"/>
                      <w:szCs w:val="21"/>
                    </w:rPr>
                    <w:t>SO</w:t>
                  </w:r>
                  <w:r>
                    <w:rPr>
                      <w:rFonts w:ascii="Times New Roman" w:hAnsi="Times New Roman" w:eastAsia="宋体"/>
                      <w:color w:val="auto"/>
                      <w:spacing w:val="-5"/>
                      <w:sz w:val="21"/>
                      <w:szCs w:val="21"/>
                      <w:vertAlign w:val="subscript"/>
                    </w:rPr>
                    <w:t>2</w:t>
                  </w:r>
                </w:p>
              </w:tc>
              <w:tc>
                <w:tcPr>
                  <w:tcW w:w="427" w:type="pct"/>
                  <w:tcBorders>
                    <w:tl2br w:val="nil"/>
                    <w:tr2bl w:val="nil"/>
                  </w:tcBorders>
                  <w:vAlign w:val="center"/>
                </w:tcPr>
                <w:p w14:paraId="328D3A14">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position w:val="2"/>
                      <w:sz w:val="21"/>
                      <w:szCs w:val="21"/>
                    </w:rPr>
                    <w:t>NO</w:t>
                  </w:r>
                  <w:r>
                    <w:rPr>
                      <w:rFonts w:ascii="Times New Roman" w:hAnsi="Times New Roman" w:eastAsia="宋体"/>
                      <w:color w:val="auto"/>
                      <w:spacing w:val="-5"/>
                      <w:sz w:val="21"/>
                      <w:szCs w:val="21"/>
                      <w:vertAlign w:val="subscript"/>
                    </w:rPr>
                    <w:t>2</w:t>
                  </w:r>
                </w:p>
              </w:tc>
              <w:tc>
                <w:tcPr>
                  <w:tcW w:w="462" w:type="pct"/>
                  <w:tcBorders>
                    <w:tl2br w:val="nil"/>
                    <w:tr2bl w:val="nil"/>
                  </w:tcBorders>
                  <w:vAlign w:val="center"/>
                </w:tcPr>
                <w:p w14:paraId="5D479945">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4"/>
                      <w:position w:val="2"/>
                      <w:sz w:val="21"/>
                      <w:szCs w:val="21"/>
                    </w:rPr>
                    <w:t>PM</w:t>
                  </w:r>
                  <w:r>
                    <w:rPr>
                      <w:rFonts w:ascii="Times New Roman" w:hAnsi="Times New Roman" w:eastAsia="宋体"/>
                      <w:color w:val="auto"/>
                      <w:spacing w:val="-4"/>
                      <w:sz w:val="21"/>
                      <w:szCs w:val="21"/>
                      <w:vertAlign w:val="subscript"/>
                    </w:rPr>
                    <w:t>10</w:t>
                  </w:r>
                </w:p>
              </w:tc>
              <w:tc>
                <w:tcPr>
                  <w:tcW w:w="503" w:type="pct"/>
                  <w:tcBorders>
                    <w:tl2br w:val="nil"/>
                    <w:tr2bl w:val="nil"/>
                  </w:tcBorders>
                  <w:vAlign w:val="center"/>
                </w:tcPr>
                <w:p w14:paraId="3C2C42E7">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2"/>
                      <w:w w:val="105"/>
                      <w:position w:val="2"/>
                      <w:sz w:val="21"/>
                      <w:szCs w:val="21"/>
                    </w:rPr>
                    <w:t>PM</w:t>
                  </w:r>
                  <w:r>
                    <w:rPr>
                      <w:rFonts w:ascii="Times New Roman" w:hAnsi="Times New Roman" w:eastAsia="宋体"/>
                      <w:color w:val="auto"/>
                      <w:spacing w:val="-2"/>
                      <w:w w:val="105"/>
                      <w:sz w:val="21"/>
                      <w:szCs w:val="21"/>
                      <w:vertAlign w:val="subscript"/>
                    </w:rPr>
                    <w:t>2.5</w:t>
                  </w:r>
                </w:p>
              </w:tc>
              <w:tc>
                <w:tcPr>
                  <w:tcW w:w="639" w:type="pct"/>
                  <w:tcBorders>
                    <w:tl2br w:val="nil"/>
                    <w:tr2bl w:val="nil"/>
                  </w:tcBorders>
                  <w:vAlign w:val="center"/>
                </w:tcPr>
                <w:p w14:paraId="494D4544">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2"/>
                      <w:position w:val="2"/>
                      <w:sz w:val="21"/>
                      <w:szCs w:val="21"/>
                    </w:rPr>
                    <w:t>CO-</w:t>
                  </w:r>
                  <w:r>
                    <w:rPr>
                      <w:rFonts w:ascii="Times New Roman" w:hAnsi="Times New Roman" w:eastAsia="宋体"/>
                      <w:color w:val="auto"/>
                      <w:spacing w:val="-2"/>
                      <w:sz w:val="21"/>
                      <w:szCs w:val="21"/>
                    </w:rPr>
                    <w:t>95per</w:t>
                  </w:r>
                </w:p>
              </w:tc>
              <w:tc>
                <w:tcPr>
                  <w:tcW w:w="758" w:type="pct"/>
                  <w:tcBorders>
                    <w:tl2br w:val="nil"/>
                    <w:tr2bl w:val="nil"/>
                  </w:tcBorders>
                  <w:vAlign w:val="center"/>
                </w:tcPr>
                <w:p w14:paraId="415A05D7">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position w:val="2"/>
                      <w:sz w:val="21"/>
                      <w:szCs w:val="21"/>
                    </w:rPr>
                    <w:t>O</w:t>
                  </w:r>
                  <w:r>
                    <w:rPr>
                      <w:rFonts w:ascii="Times New Roman" w:hAnsi="Times New Roman" w:eastAsia="宋体"/>
                      <w:color w:val="auto"/>
                      <w:sz w:val="21"/>
                      <w:szCs w:val="21"/>
                      <w:vertAlign w:val="subscript"/>
                    </w:rPr>
                    <w:t>3</w:t>
                  </w:r>
                  <w:r>
                    <w:rPr>
                      <w:rFonts w:ascii="Times New Roman" w:hAnsi="Times New Roman" w:eastAsia="宋体"/>
                      <w:color w:val="auto"/>
                      <w:position w:val="2"/>
                      <w:sz w:val="21"/>
                      <w:szCs w:val="21"/>
                    </w:rPr>
                    <w:t>_</w:t>
                  </w:r>
                  <w:r>
                    <w:rPr>
                      <w:rFonts w:ascii="Times New Roman" w:hAnsi="Times New Roman" w:eastAsia="宋体"/>
                      <w:color w:val="auto"/>
                      <w:sz w:val="21"/>
                      <w:szCs w:val="21"/>
                    </w:rPr>
                    <w:t>8h-</w:t>
                  </w:r>
                  <w:r>
                    <w:rPr>
                      <w:rFonts w:ascii="Times New Roman" w:hAnsi="Times New Roman" w:eastAsia="宋体"/>
                      <w:color w:val="auto"/>
                      <w:spacing w:val="-2"/>
                      <w:sz w:val="21"/>
                      <w:szCs w:val="21"/>
                    </w:rPr>
                    <w:t>90per</w:t>
                  </w:r>
                </w:p>
              </w:tc>
              <w:tc>
                <w:tcPr>
                  <w:tcW w:w="540" w:type="pct"/>
                  <w:tcBorders>
                    <w:tl2br w:val="nil"/>
                    <w:tr2bl w:val="nil"/>
                  </w:tcBorders>
                  <w:vAlign w:val="center"/>
                </w:tcPr>
                <w:p w14:paraId="3732315D">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5"/>
                      <w:sz w:val="21"/>
                      <w:szCs w:val="21"/>
                    </w:rPr>
                    <w:t>首要污</w:t>
                  </w:r>
                </w:p>
                <w:p w14:paraId="66CAFE30">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染物</w:t>
                  </w:r>
                </w:p>
              </w:tc>
            </w:tr>
            <w:tr w14:paraId="118A3624">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4" w:hRule="atLeast"/>
              </w:trPr>
              <w:tc>
                <w:tcPr>
                  <w:tcW w:w="310" w:type="pct"/>
                  <w:tcBorders>
                    <w:tl2br w:val="nil"/>
                    <w:tr2bl w:val="nil"/>
                  </w:tcBorders>
                  <w:vAlign w:val="center"/>
                </w:tcPr>
                <w:p w14:paraId="183072D7">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1</w:t>
                  </w:r>
                </w:p>
              </w:tc>
              <w:tc>
                <w:tcPr>
                  <w:tcW w:w="481" w:type="pct"/>
                  <w:tcBorders>
                    <w:tl2br w:val="nil"/>
                    <w:tr2bl w:val="nil"/>
                  </w:tcBorders>
                  <w:vAlign w:val="center"/>
                </w:tcPr>
                <w:p w14:paraId="49C05A32">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福州</w:t>
                  </w:r>
                </w:p>
                <w:p w14:paraId="3267A30B">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olor w:val="auto"/>
                      <w:sz w:val="21"/>
                      <w:szCs w:val="21"/>
                    </w:rPr>
                  </w:pPr>
                  <w:r>
                    <w:rPr>
                      <w:rFonts w:ascii="Times New Roman" w:hAnsi="Times New Roman" w:eastAsia="宋体"/>
                      <w:color w:val="auto"/>
                      <w:spacing w:val="-10"/>
                      <w:sz w:val="21"/>
                      <w:szCs w:val="21"/>
                    </w:rPr>
                    <w:t>市</w:t>
                  </w:r>
                </w:p>
              </w:tc>
              <w:tc>
                <w:tcPr>
                  <w:tcW w:w="467" w:type="pct"/>
                  <w:tcBorders>
                    <w:tl2br w:val="nil"/>
                    <w:tr2bl w:val="nil"/>
                  </w:tcBorders>
                  <w:vAlign w:val="center"/>
                </w:tcPr>
                <w:p w14:paraId="376B847B">
                  <w:pPr>
                    <w:pStyle w:val="97"/>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textAlignment w:val="auto"/>
                    <w:rPr>
                      <w:rFonts w:hint="default" w:ascii="Times New Roman" w:hAnsi="Times New Roman" w:eastAsia="宋体"/>
                      <w:color w:val="auto"/>
                      <w:sz w:val="21"/>
                      <w:szCs w:val="21"/>
                      <w:lang w:val="en-US" w:eastAsia="zh-CN"/>
                    </w:rPr>
                  </w:pPr>
                  <w:r>
                    <w:rPr>
                      <w:rFonts w:ascii="Times New Roman" w:hAnsi="Times New Roman" w:eastAsia="宋体"/>
                      <w:color w:val="auto"/>
                      <w:spacing w:val="-4"/>
                      <w:sz w:val="21"/>
                      <w:szCs w:val="21"/>
                    </w:rPr>
                    <w:t>2.</w:t>
                  </w:r>
                  <w:r>
                    <w:rPr>
                      <w:rFonts w:hint="eastAsia" w:ascii="Times New Roman" w:hAnsi="Times New Roman" w:eastAsia="宋体"/>
                      <w:color w:val="auto"/>
                      <w:spacing w:val="-4"/>
                      <w:sz w:val="21"/>
                      <w:szCs w:val="21"/>
                      <w:lang w:val="en-US" w:eastAsia="zh-CN"/>
                    </w:rPr>
                    <w:t>40</w:t>
                  </w:r>
                </w:p>
              </w:tc>
              <w:tc>
                <w:tcPr>
                  <w:tcW w:w="704" w:type="dxa"/>
                  <w:tcBorders>
                    <w:tl2br w:val="nil"/>
                    <w:tr2bl w:val="nil"/>
                  </w:tcBorders>
                  <w:vAlign w:val="center"/>
                </w:tcPr>
                <w:p w14:paraId="317C2EAA">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s="宋体"/>
                      <w:i w:val="0"/>
                      <w:iCs w:val="0"/>
                      <w:caps w:val="0"/>
                      <w:color w:val="auto"/>
                      <w:spacing w:val="0"/>
                      <w:sz w:val="21"/>
                      <w:szCs w:val="21"/>
                    </w:rPr>
                    <w:t>4</w:t>
                  </w:r>
                </w:p>
              </w:tc>
              <w:tc>
                <w:tcPr>
                  <w:tcW w:w="736" w:type="dxa"/>
                  <w:tcBorders>
                    <w:tl2br w:val="nil"/>
                    <w:tr2bl w:val="nil"/>
                  </w:tcBorders>
                  <w:vAlign w:val="center"/>
                </w:tcPr>
                <w:p w14:paraId="432EE25A">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cs="宋体"/>
                      <w:i w:val="0"/>
                      <w:iCs w:val="0"/>
                      <w:caps w:val="0"/>
                      <w:color w:val="auto"/>
                      <w:spacing w:val="0"/>
                      <w:sz w:val="21"/>
                      <w:szCs w:val="21"/>
                      <w:lang w:val="en-US" w:eastAsia="zh-CN"/>
                    </w:rPr>
                    <w:t>15</w:t>
                  </w:r>
                </w:p>
              </w:tc>
              <w:tc>
                <w:tcPr>
                  <w:tcW w:w="797" w:type="dxa"/>
                  <w:tcBorders>
                    <w:tl2br w:val="nil"/>
                    <w:tr2bl w:val="nil"/>
                  </w:tcBorders>
                  <w:vAlign w:val="center"/>
                </w:tcPr>
                <w:p w14:paraId="6A1B135C">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s="宋体"/>
                      <w:i w:val="0"/>
                      <w:iCs w:val="0"/>
                      <w:caps w:val="0"/>
                      <w:color w:val="auto"/>
                      <w:spacing w:val="0"/>
                      <w:sz w:val="21"/>
                      <w:szCs w:val="21"/>
                    </w:rPr>
                    <w:t>3</w:t>
                  </w:r>
                  <w:r>
                    <w:rPr>
                      <w:rFonts w:hint="eastAsia" w:cs="宋体"/>
                      <w:i w:val="0"/>
                      <w:iCs w:val="0"/>
                      <w:caps w:val="0"/>
                      <w:color w:val="auto"/>
                      <w:spacing w:val="0"/>
                      <w:sz w:val="21"/>
                      <w:szCs w:val="21"/>
                      <w:lang w:val="en-US" w:eastAsia="zh-CN"/>
                    </w:rPr>
                    <w:t>2</w:t>
                  </w:r>
                </w:p>
              </w:tc>
              <w:tc>
                <w:tcPr>
                  <w:tcW w:w="867" w:type="dxa"/>
                  <w:tcBorders>
                    <w:tl2br w:val="nil"/>
                    <w:tr2bl w:val="nil"/>
                  </w:tcBorders>
                  <w:vAlign w:val="center"/>
                </w:tcPr>
                <w:p w14:paraId="0C4C048B">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cs="宋体"/>
                      <w:i w:val="0"/>
                      <w:iCs w:val="0"/>
                      <w:caps w:val="0"/>
                      <w:color w:val="auto"/>
                      <w:spacing w:val="0"/>
                      <w:sz w:val="21"/>
                      <w:szCs w:val="21"/>
                      <w:lang w:val="en-US" w:eastAsia="zh-CN"/>
                    </w:rPr>
                    <w:t>17</w:t>
                  </w:r>
                </w:p>
              </w:tc>
              <w:tc>
                <w:tcPr>
                  <w:tcW w:w="1102" w:type="dxa"/>
                  <w:tcBorders>
                    <w:tl2br w:val="nil"/>
                    <w:tr2bl w:val="nil"/>
                  </w:tcBorders>
                  <w:vAlign w:val="center"/>
                </w:tcPr>
                <w:p w14:paraId="5D351324">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s="宋体"/>
                      <w:i w:val="0"/>
                      <w:iCs w:val="0"/>
                      <w:caps w:val="0"/>
                      <w:color w:val="auto"/>
                      <w:spacing w:val="0"/>
                      <w:sz w:val="21"/>
                      <w:szCs w:val="21"/>
                    </w:rPr>
                    <w:t>0.</w:t>
                  </w:r>
                  <w:r>
                    <w:rPr>
                      <w:rFonts w:hint="eastAsia" w:cs="宋体"/>
                      <w:i w:val="0"/>
                      <w:iCs w:val="0"/>
                      <w:caps w:val="0"/>
                      <w:color w:val="auto"/>
                      <w:spacing w:val="0"/>
                      <w:sz w:val="21"/>
                      <w:szCs w:val="21"/>
                      <w:lang w:val="en-US" w:eastAsia="zh-CN"/>
                    </w:rPr>
                    <w:t>6</w:t>
                  </w:r>
                </w:p>
              </w:tc>
              <w:tc>
                <w:tcPr>
                  <w:tcW w:w="1306" w:type="dxa"/>
                  <w:tcBorders>
                    <w:tl2br w:val="nil"/>
                    <w:tr2bl w:val="nil"/>
                  </w:tcBorders>
                  <w:vAlign w:val="center"/>
                </w:tcPr>
                <w:p w14:paraId="7DBAFF55">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宋体"/>
                      <w:i w:val="0"/>
                      <w:iCs w:val="0"/>
                      <w:caps w:val="0"/>
                      <w:color w:val="auto"/>
                      <w:spacing w:val="0"/>
                      <w:sz w:val="21"/>
                      <w:szCs w:val="21"/>
                    </w:rPr>
                    <w:t>13</w:t>
                  </w:r>
                  <w:r>
                    <w:rPr>
                      <w:rFonts w:hint="eastAsia" w:cs="宋体"/>
                      <w:i w:val="0"/>
                      <w:iCs w:val="0"/>
                      <w:caps w:val="0"/>
                      <w:color w:val="auto"/>
                      <w:spacing w:val="0"/>
                      <w:sz w:val="21"/>
                      <w:szCs w:val="21"/>
                      <w:lang w:val="en-US" w:eastAsia="zh-CN"/>
                    </w:rPr>
                    <w:t>6</w:t>
                  </w:r>
                </w:p>
              </w:tc>
              <w:tc>
                <w:tcPr>
                  <w:tcW w:w="931" w:type="dxa"/>
                  <w:tcBorders>
                    <w:tl2br w:val="nil"/>
                    <w:tr2bl w:val="nil"/>
                  </w:tcBorders>
                  <w:vAlign w:val="center"/>
                </w:tcPr>
                <w:p w14:paraId="29AA96DB">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s="宋体"/>
                      <w:i w:val="0"/>
                      <w:iCs w:val="0"/>
                      <w:caps w:val="0"/>
                      <w:color w:val="auto"/>
                      <w:spacing w:val="0"/>
                      <w:sz w:val="21"/>
                      <w:szCs w:val="21"/>
                    </w:rPr>
                    <w:t>臭氧</w:t>
                  </w:r>
                </w:p>
              </w:tc>
            </w:tr>
          </w:tbl>
          <w:p w14:paraId="40064A35">
            <w:pPr>
              <w:pStyle w:val="46"/>
              <w:bidi w:val="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详见附图</w:t>
            </w:r>
            <w:r>
              <w:rPr>
                <w:rFonts w:hint="eastAsia" w:cs="宋体"/>
                <w:color w:val="auto"/>
                <w:highlight w:val="none"/>
                <w:lang w:val="en-US" w:eastAsia="zh-CN"/>
              </w:rPr>
              <w:t>6</w:t>
            </w:r>
            <w:r>
              <w:rPr>
                <w:rFonts w:hint="eastAsia" w:ascii="Times New Roman" w:hAnsi="Times New Roman" w:eastAsia="宋体" w:cs="宋体"/>
                <w:color w:val="auto"/>
                <w:highlight w:val="none"/>
                <w:lang w:val="en-US" w:eastAsia="zh-CN"/>
              </w:rPr>
              <w:t>、附图</w:t>
            </w:r>
            <w:r>
              <w:rPr>
                <w:rFonts w:hint="eastAsia" w:cs="宋体"/>
                <w:color w:val="auto"/>
                <w:highlight w:val="none"/>
                <w:lang w:val="en-US" w:eastAsia="zh-CN"/>
              </w:rPr>
              <w:t>7）</w:t>
            </w:r>
            <w:r>
              <w:rPr>
                <w:rFonts w:hint="eastAsia" w:ascii="Times New Roman" w:hAnsi="Times New Roman" w:eastAsia="宋体" w:cs="宋体"/>
                <w:color w:val="auto"/>
                <w:highlight w:val="none"/>
                <w:lang w:val="en-US" w:eastAsia="zh-CN"/>
              </w:rPr>
              <w:t>。</w:t>
            </w:r>
          </w:p>
          <w:p w14:paraId="5B727FAC">
            <w:pPr>
              <w:pStyle w:val="46"/>
              <w:numPr>
                <w:ilvl w:val="0"/>
                <w:numId w:val="0"/>
              </w:numPr>
              <w:bidi w:val="0"/>
              <w:ind w:leftChars="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（2）</w:t>
            </w:r>
            <w:r>
              <w:rPr>
                <w:rFonts w:hint="eastAsia" w:ascii="宋体" w:hAnsi="宋体" w:cs="宋体"/>
                <w:color w:val="auto"/>
                <w:sz w:val="24"/>
                <w:highlight w:val="none"/>
              </w:rPr>
              <w:t>特征</w:t>
            </w:r>
            <w:r>
              <w:rPr>
                <w:rFonts w:hint="eastAsia"/>
                <w:color w:val="auto"/>
                <w:sz w:val="24"/>
                <w:highlight w:val="none"/>
              </w:rPr>
              <w:t>污染</w:t>
            </w:r>
            <w:r>
              <w:rPr>
                <w:rFonts w:hint="eastAsia" w:ascii="宋体" w:hAnsi="宋体" w:cs="宋体"/>
                <w:color w:val="auto"/>
                <w:sz w:val="24"/>
                <w:highlight w:val="none"/>
              </w:rPr>
              <w:t>因子</w:t>
            </w:r>
          </w:p>
          <w:p w14:paraId="4B6D1D35">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根据《关于</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建设项目环境影响报告表</w:t>
            </w:r>
            <w:r>
              <w:rPr>
                <w:rFonts w:hint="eastAsia" w:ascii="Times New Roman" w:hAnsi="Times New Roman" w:eastAsia="宋体" w:cs="Times New Roman"/>
                <w:color w:val="auto"/>
                <w:kern w:val="2"/>
                <w:sz w:val="24"/>
                <w:szCs w:val="24"/>
                <w:highlight w:val="none"/>
                <w:lang w:val="en-US" w:eastAsia="zh-CN" w:bidi="ar-SA"/>
              </w:rPr>
              <w:t>&gt;</w:t>
            </w:r>
            <w:r>
              <w:rPr>
                <w:rFonts w:ascii="Times New Roman" w:hAnsi="Times New Roman" w:eastAsia="宋体" w:cs="Times New Roman"/>
                <w:color w:val="auto"/>
                <w:kern w:val="2"/>
                <w:sz w:val="24"/>
                <w:szCs w:val="24"/>
                <w:highlight w:val="none"/>
                <w:lang w:val="en-US" w:eastAsia="zh-CN" w:bidi="ar-SA"/>
              </w:rPr>
              <w:t>内容、格式及编制技术指南常见问题解答》（生态环境部环境工程评估中心）</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技术指南中提到</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排放国家、地方环境空气质量标准中有标准限值要求的特征污染物</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，其中环境空气质量标准指《环境空气质量标准》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GB3095</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和地方的环境空气质量标准，不包括《环境影响评价技术导则 大气环境》</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HJ2.2-2018</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附录D、《工业企业设计卫生标准》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TJ36-97</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《前苏联居住区标准》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CH245-71</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、《环境影响评价技术导则 制药建设项目》</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HJ611-2011</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、《大气污染物综合排放标准详解》等导则或参考资料。排放的特征污染物需要在国家、地方环境空气质量标准中有限值要求才涉及现状监测</w:t>
            </w:r>
            <w:r>
              <w:rPr>
                <w:rFonts w:hint="eastAsia" w:cs="Times New Roman"/>
                <w:color w:val="auto"/>
                <w:kern w:val="2"/>
                <w:sz w:val="24"/>
                <w:szCs w:val="24"/>
                <w:highlight w:val="none"/>
                <w:lang w:val="en-US" w:eastAsia="zh-CN" w:bidi="ar-SA"/>
              </w:rPr>
              <w:t>且</w:t>
            </w:r>
            <w:r>
              <w:rPr>
                <w:rFonts w:ascii="Times New Roman" w:hAnsi="Times New Roman" w:eastAsia="宋体" w:cs="Times New Roman"/>
                <w:color w:val="auto"/>
                <w:kern w:val="2"/>
                <w:sz w:val="24"/>
                <w:szCs w:val="24"/>
                <w:highlight w:val="none"/>
                <w:lang w:val="en-US" w:eastAsia="zh-CN" w:bidi="ar-SA"/>
              </w:rPr>
              <w:t>优先引用现有监测数据</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w:t>
            </w:r>
          </w:p>
          <w:p w14:paraId="187C3866">
            <w:pPr>
              <w:adjustRightInd w:val="0"/>
              <w:spacing w:line="360" w:lineRule="auto"/>
              <w:ind w:firstLine="480" w:firstLineChars="200"/>
              <w:contextualSpacing/>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排放的其他污染物为非甲烷总烃</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颗粒物</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其中非甲烷总烃</w:t>
            </w:r>
            <w:r>
              <w:rPr>
                <w:rFonts w:ascii="Times New Roman" w:hAnsi="Times New Roman" w:eastAsia="宋体" w:cs="Times New Roman"/>
                <w:color w:val="auto"/>
                <w:sz w:val="24"/>
                <w:highlight w:val="none"/>
              </w:rPr>
              <w:t>不属于《环境空气质量标准》</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GB3095</w:t>
            </w:r>
            <w:r>
              <w:rPr>
                <w:rFonts w:hint="eastAsia" w:ascii="Times New Roman" w:hAnsi="Times New Roman" w:eastAsia="宋体" w:cs="Times New Roman"/>
                <w:color w:val="auto"/>
                <w:sz w:val="24"/>
                <w:highlight w:val="none"/>
              </w:rPr>
              <w:t>-20</w:t>
            </w:r>
            <w:r>
              <w:rPr>
                <w:rFonts w:hint="eastAsia" w:cs="Times New Roman"/>
                <w:color w:val="auto"/>
                <w:sz w:val="24"/>
                <w:highlight w:val="none"/>
                <w:lang w:val="en-US" w:eastAsia="zh-CN"/>
              </w:rPr>
              <w:t>26</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和地方的环境空气质量中有标准限值要求的污染物，因此</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对非甲烷总烃</w:t>
            </w:r>
            <w:r>
              <w:rPr>
                <w:rFonts w:ascii="Times New Roman" w:hAnsi="Times New Roman" w:eastAsia="宋体" w:cs="Times New Roman"/>
                <w:color w:val="auto"/>
                <w:sz w:val="24"/>
                <w:highlight w:val="none"/>
              </w:rPr>
              <w:t>进行</w:t>
            </w:r>
            <w:r>
              <w:rPr>
                <w:rFonts w:hint="eastAsia" w:ascii="Times New Roman" w:hAnsi="Times New Roman" w:eastAsia="宋体" w:cs="Times New Roman"/>
                <w:color w:val="auto"/>
                <w:sz w:val="24"/>
                <w:highlight w:val="none"/>
              </w:rPr>
              <w:t>特征污染物</w:t>
            </w:r>
            <w:r>
              <w:rPr>
                <w:rFonts w:ascii="Times New Roman" w:hAnsi="Times New Roman" w:eastAsia="宋体" w:cs="Times New Roman"/>
                <w:color w:val="auto"/>
                <w:sz w:val="24"/>
                <w:highlight w:val="none"/>
              </w:rPr>
              <w:t>现状检测评价。</w:t>
            </w:r>
          </w:p>
          <w:p w14:paraId="3E353554">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为了解项目所在区域环境空气中颗粒物情况，</w:t>
            </w:r>
            <w:r>
              <w:rPr>
                <w:rFonts w:hint="default" w:ascii="Times New Roman" w:hAnsi="Times New Roman" w:eastAsia="宋体" w:cs="宋体"/>
                <w:color w:val="auto"/>
                <w:kern w:val="0"/>
                <w:sz w:val="24"/>
                <w:szCs w:val="20"/>
                <w:highlight w:val="none"/>
                <w:lang w:val="en-US" w:eastAsia="zh-CN" w:bidi="ar-SA"/>
              </w:rPr>
              <w:t>本项目引用福州汉域科技有限公司</w:t>
            </w:r>
            <w:r>
              <w:rPr>
                <w:rFonts w:hint="eastAsia" w:ascii="Times New Roman" w:hAnsi="Times New Roman" w:eastAsia="宋体" w:cs="Times New Roman"/>
                <w:color w:val="auto"/>
                <w:kern w:val="0"/>
                <w:sz w:val="24"/>
                <w:szCs w:val="24"/>
                <w:lang w:val="en-US" w:eastAsia="zh-CN" w:bidi="ar"/>
              </w:rPr>
              <w:t>委托</w:t>
            </w:r>
            <w:r>
              <w:rPr>
                <w:rFonts w:hint="default" w:ascii="Times New Roman" w:hAnsi="Times New Roman" w:eastAsia="宋体" w:cs="Times New Roman"/>
                <w:color w:val="auto"/>
                <w:kern w:val="0"/>
                <w:sz w:val="24"/>
                <w:szCs w:val="24"/>
                <w:lang w:val="en-US" w:eastAsia="zh-CN" w:bidi="ar"/>
              </w:rPr>
              <w:t>福建九五检测技术服务有限公司</w:t>
            </w:r>
            <w:r>
              <w:rPr>
                <w:rFonts w:hint="eastAsia" w:cs="Times New Roman"/>
                <w:color w:val="auto"/>
                <w:kern w:val="0"/>
                <w:sz w:val="24"/>
                <w:szCs w:val="24"/>
                <w:lang w:val="en-US" w:eastAsia="zh-CN" w:bidi="ar"/>
              </w:rPr>
              <w:t>（检测报告编号：JWJC240418002）</w:t>
            </w:r>
            <w:r>
              <w:rPr>
                <w:rFonts w:hint="eastAsia" w:ascii="Times New Roman" w:hAnsi="Times New Roman" w:eastAsia="宋体" w:cs="Times New Roman"/>
                <w:color w:val="auto"/>
                <w:kern w:val="0"/>
                <w:sz w:val="24"/>
                <w:szCs w:val="24"/>
                <w:lang w:val="en-US" w:eastAsia="zh-CN" w:bidi="ar"/>
              </w:rPr>
              <w:t>于202</w:t>
            </w:r>
            <w:r>
              <w:rPr>
                <w:rFonts w:hint="eastAsia"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年</w:t>
            </w:r>
            <w:r>
              <w:rPr>
                <w:rFonts w:hint="eastAsia"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月</w:t>
            </w:r>
            <w:r>
              <w:rPr>
                <w:rFonts w:hint="eastAsia" w:cs="Times New Roman"/>
                <w:color w:val="auto"/>
                <w:kern w:val="0"/>
                <w:sz w:val="24"/>
                <w:szCs w:val="24"/>
                <w:lang w:val="en-US" w:eastAsia="zh-CN" w:bidi="ar"/>
              </w:rPr>
              <w:t>26</w:t>
            </w:r>
            <w:r>
              <w:rPr>
                <w:rFonts w:hint="eastAsia" w:ascii="Times New Roman" w:hAnsi="Times New Roman" w:eastAsia="宋体" w:cs="Times New Roman"/>
                <w:color w:val="auto"/>
                <w:kern w:val="0"/>
                <w:sz w:val="24"/>
                <w:szCs w:val="24"/>
                <w:lang w:val="en-US" w:eastAsia="zh-CN" w:bidi="ar"/>
              </w:rPr>
              <w:t>日</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年</w:t>
            </w:r>
            <w:r>
              <w:rPr>
                <w:rFonts w:hint="eastAsia"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月</w:t>
            </w:r>
            <w:r>
              <w:rPr>
                <w:rFonts w:hint="eastAsia" w:cs="Times New Roman"/>
                <w:color w:val="auto"/>
                <w:kern w:val="0"/>
                <w:sz w:val="24"/>
                <w:szCs w:val="24"/>
                <w:lang w:val="en-US" w:eastAsia="zh-CN" w:bidi="ar"/>
              </w:rPr>
              <w:t>28</w:t>
            </w:r>
            <w:r>
              <w:rPr>
                <w:rFonts w:hint="eastAsia" w:ascii="Times New Roman" w:hAnsi="Times New Roman" w:eastAsia="宋体" w:cs="Times New Roman"/>
                <w:color w:val="auto"/>
                <w:kern w:val="0"/>
                <w:sz w:val="24"/>
                <w:szCs w:val="24"/>
                <w:lang w:val="en-US" w:eastAsia="zh-CN" w:bidi="ar"/>
              </w:rPr>
              <w:t>日对其进行监测，</w:t>
            </w:r>
            <w:r>
              <w:rPr>
                <w:rFonts w:hint="default" w:ascii="Times New Roman" w:hAnsi="Times New Roman" w:eastAsia="宋体" w:cs="宋体"/>
                <w:color w:val="auto"/>
                <w:kern w:val="0"/>
                <w:sz w:val="24"/>
                <w:szCs w:val="20"/>
                <w:highlight w:val="none"/>
                <w:lang w:val="en-US" w:eastAsia="zh-CN" w:bidi="ar-SA"/>
              </w:rPr>
              <w:t>在厂区厂界周边共布设1个下风向大气采样监测点，距离</w:t>
            </w:r>
            <w:r>
              <w:rPr>
                <w:rFonts w:hint="eastAsia" w:cs="宋体"/>
                <w:color w:val="auto"/>
                <w:kern w:val="0"/>
                <w:sz w:val="24"/>
                <w:szCs w:val="20"/>
                <w:highlight w:val="none"/>
                <w:lang w:val="en-US" w:eastAsia="zh-CN" w:bidi="ar-SA"/>
              </w:rPr>
              <w:t>本</w:t>
            </w:r>
            <w:r>
              <w:rPr>
                <w:rFonts w:hint="default" w:ascii="Times New Roman" w:hAnsi="Times New Roman" w:eastAsia="宋体" w:cs="宋体"/>
                <w:color w:val="auto"/>
                <w:kern w:val="0"/>
                <w:sz w:val="24"/>
                <w:szCs w:val="20"/>
                <w:highlight w:val="none"/>
                <w:lang w:val="en-US" w:eastAsia="zh-CN" w:bidi="ar-SA"/>
              </w:rPr>
              <w:t>项目</w:t>
            </w:r>
            <w:r>
              <w:rPr>
                <w:rFonts w:hint="eastAsia" w:cs="宋体"/>
                <w:color w:val="auto"/>
                <w:kern w:val="0"/>
                <w:sz w:val="24"/>
                <w:szCs w:val="20"/>
                <w:highlight w:val="none"/>
                <w:lang w:val="en-US" w:eastAsia="zh-CN" w:bidi="ar-SA"/>
              </w:rPr>
              <w:t>北</w:t>
            </w:r>
            <w:r>
              <w:rPr>
                <w:rFonts w:hint="default" w:ascii="Times New Roman" w:hAnsi="Times New Roman" w:eastAsia="宋体" w:cs="宋体"/>
                <w:color w:val="auto"/>
                <w:kern w:val="0"/>
                <w:sz w:val="24"/>
                <w:szCs w:val="20"/>
                <w:highlight w:val="none"/>
                <w:lang w:val="en-US" w:eastAsia="zh-CN" w:bidi="ar-SA"/>
              </w:rPr>
              <w:t>侧约</w:t>
            </w:r>
            <w:r>
              <w:rPr>
                <w:rFonts w:hint="eastAsia" w:cs="宋体"/>
                <w:color w:val="auto"/>
                <w:kern w:val="0"/>
                <w:sz w:val="24"/>
                <w:szCs w:val="20"/>
                <w:highlight w:val="none"/>
                <w:lang w:val="en-US" w:eastAsia="zh-CN" w:bidi="ar-SA"/>
              </w:rPr>
              <w:t>262</w:t>
            </w:r>
            <w:r>
              <w:rPr>
                <w:rFonts w:hint="default" w:ascii="Times New Roman" w:hAnsi="Times New Roman" w:eastAsia="宋体" w:cs="宋体"/>
                <w:color w:val="auto"/>
                <w:kern w:val="0"/>
                <w:sz w:val="24"/>
                <w:szCs w:val="20"/>
                <w:highlight w:val="none"/>
                <w:lang w:val="en-US" w:eastAsia="zh-CN" w:bidi="ar-SA"/>
              </w:rPr>
              <w:t>m</w:t>
            </w:r>
            <w:r>
              <w:rPr>
                <w:rFonts w:hint="eastAsia" w:cs="宋体"/>
                <w:color w:val="auto"/>
                <w:kern w:val="0"/>
                <w:sz w:val="24"/>
                <w:szCs w:val="20"/>
                <w:highlight w:val="none"/>
                <w:lang w:val="en-US" w:eastAsia="zh-CN" w:bidi="ar-SA"/>
              </w:rPr>
              <w:t>，</w:t>
            </w:r>
            <w:r>
              <w:rPr>
                <w:rFonts w:hint="eastAsia" w:cs="Times New Roman"/>
                <w:color w:val="auto"/>
                <w:kern w:val="0"/>
                <w:sz w:val="24"/>
                <w:szCs w:val="24"/>
                <w:lang w:val="en-US" w:eastAsia="zh-CN" w:bidi="ar"/>
              </w:rPr>
              <w:t>监测点位见图3.1-3，</w:t>
            </w:r>
            <w:r>
              <w:rPr>
                <w:rFonts w:hint="eastAsia" w:ascii="Times New Roman" w:hAnsi="Times New Roman" w:eastAsia="宋体" w:cs="Times New Roman"/>
                <w:color w:val="auto"/>
                <w:kern w:val="0"/>
                <w:sz w:val="24"/>
                <w:szCs w:val="24"/>
                <w:lang w:val="en-US" w:eastAsia="zh-CN" w:bidi="ar"/>
              </w:rPr>
              <w:t>监测结果见表</w:t>
            </w:r>
            <w:r>
              <w:rPr>
                <w:rFonts w:hint="eastAsia" w:ascii="Times New Roman" w:hAnsi="Times New Roman" w:eastAsia="宋体" w:cs="Times New Roman"/>
                <w:color w:val="auto"/>
                <w:kern w:val="0"/>
                <w:sz w:val="24"/>
                <w:szCs w:val="24"/>
                <w:highlight w:val="none"/>
                <w:lang w:val="en-US" w:eastAsia="zh-CN" w:bidi="ar"/>
              </w:rPr>
              <w:t>3.1-4</w:t>
            </w:r>
            <w:r>
              <w:rPr>
                <w:rFonts w:hint="eastAsia" w:ascii="Times New Roman" w:hAnsi="Times New Roman" w:eastAsia="宋体" w:cs="Times New Roman"/>
                <w:color w:val="auto"/>
                <w:kern w:val="0"/>
                <w:sz w:val="24"/>
                <w:szCs w:val="24"/>
                <w:lang w:val="en-US" w:eastAsia="zh-CN" w:bidi="ar"/>
              </w:rPr>
              <w:t>，检测报告见附</w:t>
            </w:r>
            <w:r>
              <w:rPr>
                <w:rFonts w:hint="eastAsia" w:ascii="Times New Roman" w:hAnsi="Times New Roman" w:eastAsia="宋体" w:cs="Times New Roman"/>
                <w:color w:val="auto"/>
                <w:kern w:val="0"/>
                <w:sz w:val="24"/>
                <w:szCs w:val="24"/>
                <w:highlight w:val="none"/>
                <w:lang w:val="en-US" w:eastAsia="zh-CN" w:bidi="ar"/>
              </w:rPr>
              <w:t>件1</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lang w:val="en-US" w:eastAsia="zh-CN" w:bidi="ar"/>
              </w:rPr>
              <w:t>。</w:t>
            </w:r>
          </w:p>
          <w:p w14:paraId="0462B7AD">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颗粒物现状情况一览表</w:t>
            </w:r>
          </w:p>
          <w:tbl>
            <w:tblPr>
              <w:tblStyle w:val="34"/>
              <w:tblW w:w="86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35"/>
              <w:gridCol w:w="1225"/>
              <w:gridCol w:w="1428"/>
              <w:gridCol w:w="802"/>
              <w:gridCol w:w="750"/>
              <w:gridCol w:w="582"/>
              <w:gridCol w:w="522"/>
            </w:tblGrid>
            <w:tr w14:paraId="61509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96" w:type="dxa"/>
                  <w:tcBorders>
                    <w:bottom w:val="single" w:color="auto" w:sz="12" w:space="0"/>
                  </w:tcBorders>
                  <w:noWrap w:val="0"/>
                  <w:vAlign w:val="center"/>
                </w:tcPr>
                <w:p w14:paraId="35FBDC22">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检测点位</w:t>
                  </w:r>
                </w:p>
              </w:tc>
              <w:tc>
                <w:tcPr>
                  <w:tcW w:w="1568" w:type="dxa"/>
                  <w:tcBorders>
                    <w:bottom w:val="single" w:color="auto" w:sz="12" w:space="0"/>
                  </w:tcBorders>
                  <w:noWrap w:val="0"/>
                  <w:vAlign w:val="center"/>
                </w:tcPr>
                <w:p w14:paraId="12BF2FF1">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检测项目</w:t>
                  </w:r>
                </w:p>
              </w:tc>
              <w:tc>
                <w:tcPr>
                  <w:tcW w:w="2623" w:type="dxa"/>
                  <w:tcBorders>
                    <w:bottom w:val="single" w:color="auto" w:sz="12" w:space="0"/>
                  </w:tcBorders>
                  <w:noWrap w:val="0"/>
                  <w:vAlign w:val="center"/>
                </w:tcPr>
                <w:p w14:paraId="7747A8F8">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采样日期</w:t>
                  </w:r>
                </w:p>
              </w:tc>
              <w:tc>
                <w:tcPr>
                  <w:tcW w:w="1210" w:type="dxa"/>
                  <w:tcBorders>
                    <w:bottom w:val="single" w:color="auto" w:sz="12" w:space="0"/>
                  </w:tcBorders>
                  <w:noWrap w:val="0"/>
                  <w:vAlign w:val="center"/>
                </w:tcPr>
                <w:p w14:paraId="159869BF">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tc>
              <w:tc>
                <w:tcPr>
                  <w:tcW w:w="813" w:type="dxa"/>
                  <w:tcBorders>
                    <w:bottom w:val="single" w:color="auto" w:sz="12" w:space="0"/>
                  </w:tcBorders>
                  <w:noWrap w:val="0"/>
                  <w:vAlign w:val="center"/>
                </w:tcPr>
                <w:p w14:paraId="035961EE">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单位</w:t>
                  </w:r>
                </w:p>
              </w:tc>
              <w:tc>
                <w:tcPr>
                  <w:tcW w:w="667" w:type="dxa"/>
                  <w:tcBorders>
                    <w:bottom w:val="single" w:color="auto" w:sz="12" w:space="0"/>
                  </w:tcBorders>
                  <w:noWrap w:val="0"/>
                  <w:vAlign w:val="center"/>
                </w:tcPr>
                <w:p w14:paraId="275D92E9">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标准限值</w:t>
                  </w:r>
                </w:p>
              </w:tc>
              <w:tc>
                <w:tcPr>
                  <w:tcW w:w="667" w:type="dxa"/>
                  <w:tcBorders>
                    <w:bottom w:val="single" w:color="auto" w:sz="12" w:space="0"/>
                  </w:tcBorders>
                  <w:noWrap w:val="0"/>
                  <w:vAlign w:val="center"/>
                </w:tcPr>
                <w:p w14:paraId="35ADC060">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是否达标</w:t>
                  </w:r>
                </w:p>
              </w:tc>
            </w:tr>
            <w:tr w14:paraId="06A05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6" w:type="dxa"/>
                  <w:vMerge w:val="restart"/>
                  <w:tcBorders>
                    <w:top w:val="single" w:color="auto" w:sz="12" w:space="0"/>
                    <w:tl2br w:val="nil"/>
                    <w:tr2bl w:val="nil"/>
                  </w:tcBorders>
                  <w:noWrap w:val="0"/>
                  <w:vAlign w:val="center"/>
                </w:tcPr>
                <w:p w14:paraId="7FEDC8C1">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厂区下风向</w:t>
                  </w:r>
                  <w:r>
                    <w:rPr>
                      <w:rFonts w:hint="eastAsia" w:ascii="Times New Roman" w:hAnsi="Times New Roman" w:eastAsia="宋体" w:cs="Times New Roman"/>
                      <w:color w:val="auto"/>
                      <w:sz w:val="21"/>
                      <w:szCs w:val="21"/>
                      <w:highlight w:val="none"/>
                      <w:lang w:eastAsia="zh-CN"/>
                    </w:rPr>
                    <w:t>（E:119.297243°N:25.805598°</w:t>
                  </w:r>
                  <w:r>
                    <w:rPr>
                      <w:rFonts w:hint="eastAsia" w:ascii="Times New Roman" w:hAnsi="Times New Roman" w:eastAsia="宋体" w:cs="Times New Roman"/>
                      <w:color w:val="auto"/>
                      <w:sz w:val="21"/>
                      <w:szCs w:val="21"/>
                      <w:highlight w:val="none"/>
                    </w:rPr>
                    <w:t>）Q1</w:t>
                  </w:r>
                </w:p>
              </w:tc>
              <w:tc>
                <w:tcPr>
                  <w:tcW w:w="1568" w:type="dxa"/>
                  <w:vMerge w:val="restart"/>
                  <w:tcBorders>
                    <w:top w:val="single" w:color="auto" w:sz="12" w:space="0"/>
                    <w:tl2br w:val="nil"/>
                    <w:tr2bl w:val="nil"/>
                  </w:tcBorders>
                  <w:noWrap w:val="0"/>
                  <w:vAlign w:val="center"/>
                </w:tcPr>
                <w:p w14:paraId="3C1082EA">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总悬浮颗粒物（TSP）</w:t>
                  </w:r>
                </w:p>
              </w:tc>
              <w:tc>
                <w:tcPr>
                  <w:tcW w:w="2623" w:type="dxa"/>
                  <w:tcBorders>
                    <w:top w:val="single" w:color="auto" w:sz="12" w:space="0"/>
                    <w:tl2br w:val="nil"/>
                    <w:tr2bl w:val="nil"/>
                  </w:tcBorders>
                  <w:noWrap w:val="0"/>
                  <w:vAlign w:val="center"/>
                </w:tcPr>
                <w:p w14:paraId="331773DF">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202</w:t>
                  </w:r>
                  <w:r>
                    <w:rPr>
                      <w:rFonts w:hint="eastAsia" w:cs="Times New Roman"/>
                      <w:color w:val="auto"/>
                      <w:sz w:val="21"/>
                      <w:szCs w:val="21"/>
                      <w:highlight w:val="none"/>
                      <w:lang w:val="en-US" w:eastAsia="zh-CN"/>
                    </w:rPr>
                    <w:t>4</w:t>
                  </w:r>
                  <w:r>
                    <w:rPr>
                      <w:rFonts w:hint="eastAsia" w:cs="Times New Roman"/>
                      <w:color w:val="auto"/>
                      <w:sz w:val="21"/>
                      <w:szCs w:val="21"/>
                      <w:highlight w:val="none"/>
                      <w:lang w:eastAsia="zh-CN"/>
                    </w:rPr>
                    <w:t>年</w:t>
                  </w:r>
                  <w:r>
                    <w:rPr>
                      <w:rFonts w:hint="eastAsia" w:cs="Times New Roman"/>
                      <w:color w:val="auto"/>
                      <w:sz w:val="21"/>
                      <w:szCs w:val="21"/>
                      <w:highlight w:val="none"/>
                      <w:lang w:val="en-US" w:eastAsia="zh-CN"/>
                    </w:rPr>
                    <w:t>4</w:t>
                  </w:r>
                  <w:r>
                    <w:rPr>
                      <w:rFonts w:hint="eastAsia" w:cs="Times New Roman"/>
                      <w:color w:val="auto"/>
                      <w:sz w:val="21"/>
                      <w:szCs w:val="21"/>
                      <w:highlight w:val="none"/>
                      <w:lang w:eastAsia="zh-CN"/>
                    </w:rPr>
                    <w:t>月</w:t>
                  </w:r>
                  <w:r>
                    <w:rPr>
                      <w:rFonts w:hint="eastAsia" w:cs="Times New Roman"/>
                      <w:color w:val="auto"/>
                      <w:sz w:val="21"/>
                      <w:szCs w:val="21"/>
                      <w:highlight w:val="none"/>
                      <w:lang w:val="en-US" w:eastAsia="zh-CN"/>
                    </w:rPr>
                    <w:t>26</w:t>
                  </w:r>
                  <w:r>
                    <w:rPr>
                      <w:rFonts w:hint="eastAsia" w:cs="Times New Roman"/>
                      <w:color w:val="auto"/>
                      <w:sz w:val="21"/>
                      <w:szCs w:val="21"/>
                      <w:highlight w:val="none"/>
                      <w:lang w:eastAsia="zh-CN"/>
                    </w:rPr>
                    <w:t>日</w:t>
                  </w:r>
                </w:p>
              </w:tc>
              <w:tc>
                <w:tcPr>
                  <w:tcW w:w="1210" w:type="dxa"/>
                  <w:tcBorders>
                    <w:top w:val="single" w:color="auto" w:sz="12" w:space="0"/>
                    <w:tl2br w:val="nil"/>
                    <w:tr2bl w:val="nil"/>
                  </w:tcBorders>
                  <w:noWrap w:val="0"/>
                  <w:vAlign w:val="center"/>
                </w:tcPr>
                <w:p w14:paraId="15D68F53">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103</w:t>
                  </w:r>
                </w:p>
              </w:tc>
              <w:tc>
                <w:tcPr>
                  <w:tcW w:w="813" w:type="dxa"/>
                  <w:vMerge w:val="restart"/>
                  <w:tcBorders>
                    <w:top w:val="single" w:color="auto" w:sz="12" w:space="0"/>
                    <w:tl2br w:val="nil"/>
                    <w:tr2bl w:val="nil"/>
                  </w:tcBorders>
                  <w:noWrap w:val="0"/>
                  <w:vAlign w:val="center"/>
                </w:tcPr>
                <w:p w14:paraId="7CE22F24">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宋体"/>
                      <w:color w:val="auto"/>
                      <w:spacing w:val="-2"/>
                      <w:sz w:val="21"/>
                    </w:rPr>
                    <w:t>μg/m³</w:t>
                  </w:r>
                </w:p>
              </w:tc>
              <w:tc>
                <w:tcPr>
                  <w:tcW w:w="667" w:type="dxa"/>
                  <w:vMerge w:val="restart"/>
                  <w:tcBorders>
                    <w:top w:val="single" w:color="auto" w:sz="12" w:space="0"/>
                    <w:tl2br w:val="nil"/>
                    <w:tr2bl w:val="nil"/>
                  </w:tcBorders>
                  <w:noWrap w:val="0"/>
                  <w:vAlign w:val="center"/>
                </w:tcPr>
                <w:p w14:paraId="20BBFD42">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auto"/>
                      <w:spacing w:val="-2"/>
                      <w:sz w:val="21"/>
                      <w:lang w:val="en-US" w:eastAsia="zh-CN"/>
                    </w:rPr>
                  </w:pPr>
                  <w:r>
                    <w:rPr>
                      <w:rFonts w:hint="eastAsia" w:cs="宋体"/>
                      <w:color w:val="auto"/>
                      <w:spacing w:val="-2"/>
                      <w:sz w:val="21"/>
                      <w:lang w:val="en-US" w:eastAsia="zh-CN"/>
                    </w:rPr>
                    <w:t>300</w:t>
                  </w:r>
                </w:p>
              </w:tc>
              <w:tc>
                <w:tcPr>
                  <w:tcW w:w="667" w:type="dxa"/>
                  <w:tcBorders>
                    <w:top w:val="single" w:color="auto" w:sz="12" w:space="0"/>
                    <w:tl2br w:val="nil"/>
                    <w:tr2bl w:val="nil"/>
                  </w:tcBorders>
                  <w:noWrap w:val="0"/>
                  <w:vAlign w:val="center"/>
                </w:tcPr>
                <w:p w14:paraId="101CDFE4">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auto"/>
                      <w:spacing w:val="-2"/>
                      <w:sz w:val="21"/>
                    </w:rPr>
                  </w:pPr>
                  <w:r>
                    <w:rPr>
                      <w:rFonts w:hint="eastAsia" w:cs="Times New Roman"/>
                      <w:color w:val="auto"/>
                      <w:sz w:val="21"/>
                      <w:szCs w:val="21"/>
                      <w:highlight w:val="none"/>
                      <w:lang w:val="en-US" w:eastAsia="zh-CN"/>
                    </w:rPr>
                    <w:t>达标</w:t>
                  </w:r>
                </w:p>
              </w:tc>
            </w:tr>
            <w:tr w14:paraId="30D10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6" w:type="dxa"/>
                  <w:vMerge w:val="continue"/>
                  <w:tcBorders>
                    <w:tl2br w:val="nil"/>
                    <w:tr2bl w:val="nil"/>
                  </w:tcBorders>
                  <w:noWrap w:val="0"/>
                  <w:vAlign w:val="center"/>
                </w:tcPr>
                <w:p w14:paraId="60BCA9A1">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1568" w:type="dxa"/>
                  <w:vMerge w:val="continue"/>
                  <w:tcBorders>
                    <w:tl2br w:val="nil"/>
                    <w:tr2bl w:val="nil"/>
                  </w:tcBorders>
                  <w:noWrap w:val="0"/>
                  <w:vAlign w:val="center"/>
                </w:tcPr>
                <w:p w14:paraId="71707192">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2623" w:type="dxa"/>
                  <w:tcBorders>
                    <w:tl2br w:val="nil"/>
                    <w:tr2bl w:val="nil"/>
                  </w:tcBorders>
                  <w:noWrap w:val="0"/>
                  <w:vAlign w:val="center"/>
                </w:tcPr>
                <w:p w14:paraId="5CAFBAAA">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202</w:t>
                  </w:r>
                  <w:r>
                    <w:rPr>
                      <w:rFonts w:hint="eastAsia" w:cs="Times New Roman"/>
                      <w:color w:val="auto"/>
                      <w:sz w:val="21"/>
                      <w:szCs w:val="21"/>
                      <w:highlight w:val="none"/>
                      <w:lang w:val="en-US" w:eastAsia="zh-CN"/>
                    </w:rPr>
                    <w:t>4</w:t>
                  </w:r>
                  <w:r>
                    <w:rPr>
                      <w:rFonts w:hint="eastAsia" w:cs="Times New Roman"/>
                      <w:color w:val="auto"/>
                      <w:sz w:val="21"/>
                      <w:szCs w:val="21"/>
                      <w:highlight w:val="none"/>
                      <w:lang w:eastAsia="zh-CN"/>
                    </w:rPr>
                    <w:t>年</w:t>
                  </w:r>
                  <w:r>
                    <w:rPr>
                      <w:rFonts w:hint="eastAsia" w:cs="Times New Roman"/>
                      <w:color w:val="auto"/>
                      <w:sz w:val="21"/>
                      <w:szCs w:val="21"/>
                      <w:highlight w:val="none"/>
                      <w:lang w:val="en-US" w:eastAsia="zh-CN"/>
                    </w:rPr>
                    <w:t>4</w:t>
                  </w:r>
                  <w:r>
                    <w:rPr>
                      <w:rFonts w:hint="eastAsia" w:cs="Times New Roman"/>
                      <w:color w:val="auto"/>
                      <w:sz w:val="21"/>
                      <w:szCs w:val="21"/>
                      <w:highlight w:val="none"/>
                      <w:lang w:eastAsia="zh-CN"/>
                    </w:rPr>
                    <w:t>月</w:t>
                  </w:r>
                  <w:r>
                    <w:rPr>
                      <w:rFonts w:hint="eastAsia" w:cs="Times New Roman"/>
                      <w:color w:val="auto"/>
                      <w:sz w:val="21"/>
                      <w:szCs w:val="21"/>
                      <w:highlight w:val="none"/>
                      <w:lang w:val="en-US" w:eastAsia="zh-CN"/>
                    </w:rPr>
                    <w:t>27</w:t>
                  </w:r>
                  <w:r>
                    <w:rPr>
                      <w:rFonts w:hint="eastAsia" w:cs="Times New Roman"/>
                      <w:color w:val="auto"/>
                      <w:sz w:val="21"/>
                      <w:szCs w:val="21"/>
                      <w:highlight w:val="none"/>
                      <w:lang w:eastAsia="zh-CN"/>
                    </w:rPr>
                    <w:t>日</w:t>
                  </w:r>
                </w:p>
              </w:tc>
              <w:tc>
                <w:tcPr>
                  <w:tcW w:w="1210" w:type="dxa"/>
                  <w:tcBorders>
                    <w:tl2br w:val="nil"/>
                    <w:tr2bl w:val="nil"/>
                  </w:tcBorders>
                  <w:noWrap w:val="0"/>
                  <w:vAlign w:val="center"/>
                </w:tcPr>
                <w:p w14:paraId="0219D199">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96</w:t>
                  </w:r>
                </w:p>
              </w:tc>
              <w:tc>
                <w:tcPr>
                  <w:tcW w:w="813" w:type="dxa"/>
                  <w:vMerge w:val="continue"/>
                  <w:tcBorders>
                    <w:tl2br w:val="nil"/>
                    <w:tr2bl w:val="nil"/>
                  </w:tcBorders>
                  <w:noWrap w:val="0"/>
                  <w:vAlign w:val="center"/>
                </w:tcPr>
                <w:p w14:paraId="16CBF5AF">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667" w:type="dxa"/>
                  <w:vMerge w:val="continue"/>
                  <w:tcBorders>
                    <w:tl2br w:val="nil"/>
                    <w:tr2bl w:val="nil"/>
                  </w:tcBorders>
                  <w:noWrap w:val="0"/>
                  <w:vAlign w:val="center"/>
                </w:tcPr>
                <w:p w14:paraId="00B9CC1F">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667" w:type="dxa"/>
                  <w:tcBorders>
                    <w:tl2br w:val="nil"/>
                    <w:tr2bl w:val="nil"/>
                  </w:tcBorders>
                  <w:noWrap w:val="0"/>
                  <w:vAlign w:val="center"/>
                </w:tcPr>
                <w:p w14:paraId="6CCDCA2E">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5E35C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6" w:type="dxa"/>
                  <w:vMerge w:val="continue"/>
                  <w:tcBorders>
                    <w:tl2br w:val="nil"/>
                    <w:tr2bl w:val="nil"/>
                  </w:tcBorders>
                  <w:noWrap w:val="0"/>
                  <w:vAlign w:val="center"/>
                </w:tcPr>
                <w:p w14:paraId="79B791F1">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1568" w:type="dxa"/>
                  <w:vMerge w:val="continue"/>
                  <w:tcBorders>
                    <w:tl2br w:val="nil"/>
                    <w:tr2bl w:val="nil"/>
                  </w:tcBorders>
                  <w:noWrap w:val="0"/>
                  <w:vAlign w:val="center"/>
                </w:tcPr>
                <w:p w14:paraId="3EBEFBD8">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p>
              </w:tc>
              <w:tc>
                <w:tcPr>
                  <w:tcW w:w="2623" w:type="dxa"/>
                  <w:tcBorders>
                    <w:tl2br w:val="nil"/>
                    <w:tr2bl w:val="nil"/>
                  </w:tcBorders>
                  <w:noWrap w:val="0"/>
                  <w:vAlign w:val="center"/>
                </w:tcPr>
                <w:p w14:paraId="3BD141E0">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202</w:t>
                  </w:r>
                  <w:r>
                    <w:rPr>
                      <w:rFonts w:hint="eastAsia" w:cs="Times New Roman"/>
                      <w:color w:val="auto"/>
                      <w:sz w:val="21"/>
                      <w:szCs w:val="21"/>
                      <w:highlight w:val="none"/>
                      <w:lang w:val="en-US" w:eastAsia="zh-CN"/>
                    </w:rPr>
                    <w:t>4</w:t>
                  </w:r>
                  <w:r>
                    <w:rPr>
                      <w:rFonts w:hint="eastAsia" w:cs="Times New Roman"/>
                      <w:color w:val="auto"/>
                      <w:sz w:val="21"/>
                      <w:szCs w:val="21"/>
                      <w:highlight w:val="none"/>
                      <w:lang w:eastAsia="zh-CN"/>
                    </w:rPr>
                    <w:t>年</w:t>
                  </w:r>
                  <w:r>
                    <w:rPr>
                      <w:rFonts w:hint="eastAsia" w:cs="Times New Roman"/>
                      <w:color w:val="auto"/>
                      <w:sz w:val="21"/>
                      <w:szCs w:val="21"/>
                      <w:highlight w:val="none"/>
                      <w:lang w:val="en-US" w:eastAsia="zh-CN"/>
                    </w:rPr>
                    <w:t>4</w:t>
                  </w:r>
                  <w:r>
                    <w:rPr>
                      <w:rFonts w:hint="eastAsia" w:cs="Times New Roman"/>
                      <w:color w:val="auto"/>
                      <w:sz w:val="21"/>
                      <w:szCs w:val="21"/>
                      <w:highlight w:val="none"/>
                      <w:lang w:eastAsia="zh-CN"/>
                    </w:rPr>
                    <w:t>月</w:t>
                  </w:r>
                  <w:r>
                    <w:rPr>
                      <w:rFonts w:hint="eastAsia" w:cs="Times New Roman"/>
                      <w:color w:val="auto"/>
                      <w:sz w:val="21"/>
                      <w:szCs w:val="21"/>
                      <w:highlight w:val="none"/>
                      <w:lang w:val="en-US" w:eastAsia="zh-CN"/>
                    </w:rPr>
                    <w:t>28</w:t>
                  </w:r>
                  <w:r>
                    <w:rPr>
                      <w:rFonts w:hint="eastAsia" w:cs="Times New Roman"/>
                      <w:color w:val="auto"/>
                      <w:sz w:val="21"/>
                      <w:szCs w:val="21"/>
                      <w:highlight w:val="none"/>
                      <w:lang w:eastAsia="zh-CN"/>
                    </w:rPr>
                    <w:t>日</w:t>
                  </w:r>
                </w:p>
              </w:tc>
              <w:tc>
                <w:tcPr>
                  <w:tcW w:w="1210" w:type="dxa"/>
                  <w:tcBorders>
                    <w:tl2br w:val="nil"/>
                    <w:tr2bl w:val="nil"/>
                  </w:tcBorders>
                  <w:noWrap w:val="0"/>
                  <w:vAlign w:val="center"/>
                </w:tcPr>
                <w:p w14:paraId="6F300715">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112</w:t>
                  </w:r>
                </w:p>
              </w:tc>
              <w:tc>
                <w:tcPr>
                  <w:tcW w:w="813" w:type="dxa"/>
                  <w:vMerge w:val="continue"/>
                  <w:tcBorders>
                    <w:tl2br w:val="nil"/>
                    <w:tr2bl w:val="nil"/>
                  </w:tcBorders>
                  <w:noWrap w:val="0"/>
                  <w:vAlign w:val="center"/>
                </w:tcPr>
                <w:p w14:paraId="4D88F147">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667" w:type="dxa"/>
                  <w:vMerge w:val="continue"/>
                  <w:tcBorders>
                    <w:tl2br w:val="nil"/>
                    <w:tr2bl w:val="nil"/>
                  </w:tcBorders>
                  <w:noWrap w:val="0"/>
                  <w:vAlign w:val="center"/>
                </w:tcPr>
                <w:p w14:paraId="1E958FB8">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p>
              </w:tc>
              <w:tc>
                <w:tcPr>
                  <w:tcW w:w="667" w:type="dxa"/>
                  <w:tcBorders>
                    <w:tl2br w:val="nil"/>
                    <w:tr2bl w:val="nil"/>
                  </w:tcBorders>
                  <w:noWrap w:val="0"/>
                  <w:vAlign w:val="center"/>
                </w:tcPr>
                <w:p w14:paraId="399F5444">
                  <w:pPr>
                    <w:pStyle w:val="15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bl>
          <w:p w14:paraId="7E07573F">
            <w:pPr>
              <w:adjustRightInd w:val="0"/>
              <w:spacing w:line="360" w:lineRule="auto"/>
              <w:ind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根据表3.1-4可知，项目所在区域内特征污染因子颗粒物的现状监测点的浓度值可符合</w:t>
            </w:r>
            <w:r>
              <w:rPr>
                <w:rFonts w:hint="default" w:ascii="Times New Roman" w:hAnsi="Times New Roman" w:eastAsia="宋体" w:cs="Times New Roman"/>
                <w:color w:val="auto"/>
                <w:sz w:val="24"/>
                <w:highlight w:val="none"/>
              </w:rPr>
              <w:t>《环境空气质量标准》</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GB3095-20</w:t>
            </w:r>
            <w:r>
              <w:rPr>
                <w:rFonts w:hint="eastAsia" w:cs="Times New Roman"/>
                <w:color w:val="auto"/>
                <w:sz w:val="24"/>
                <w:highlight w:val="none"/>
                <w:lang w:val="en-US" w:eastAsia="zh-CN"/>
              </w:rPr>
              <w:t>26</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中的二级标准</w:t>
            </w:r>
            <w:r>
              <w:rPr>
                <w:rFonts w:hint="eastAsia" w:ascii="Times New Roman" w:hAnsi="Times New Roman" w:eastAsia="宋体" w:cs="Times New Roman"/>
                <w:color w:val="auto"/>
                <w:sz w:val="24"/>
                <w:highlight w:val="none"/>
                <w:lang w:val="en-US" w:eastAsia="zh-CN"/>
              </w:rPr>
              <w:t>要求。</w:t>
            </w:r>
            <w:r>
              <w:rPr>
                <w:color w:val="auto"/>
              </w:rPr>
              <w:drawing>
                <wp:anchor distT="0" distB="0" distL="114300" distR="114300" simplePos="0" relativeHeight="251669504" behindDoc="0" locked="0" layoutInCell="1" allowOverlap="1">
                  <wp:simplePos x="0" y="0"/>
                  <wp:positionH relativeFrom="column">
                    <wp:posOffset>11039475</wp:posOffset>
                  </wp:positionH>
                  <wp:positionV relativeFrom="paragraph">
                    <wp:posOffset>-7237730</wp:posOffset>
                  </wp:positionV>
                  <wp:extent cx="838835" cy="882650"/>
                  <wp:effectExtent l="0" t="0" r="18415" b="12700"/>
                  <wp:wrapNone/>
                  <wp:docPr id="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
                          <pic:cNvPicPr>
                            <a:picLocks noChangeAspect="1"/>
                          </pic:cNvPicPr>
                        </pic:nvPicPr>
                        <pic:blipFill>
                          <a:blip r:embed="rId18"/>
                          <a:stretch>
                            <a:fillRect/>
                          </a:stretch>
                        </pic:blipFill>
                        <pic:spPr>
                          <a:xfrm>
                            <a:off x="0" y="0"/>
                            <a:ext cx="838835" cy="882650"/>
                          </a:xfrm>
                          <a:prstGeom prst="rect">
                            <a:avLst/>
                          </a:prstGeom>
                          <a:noFill/>
                          <a:ln>
                            <a:noFill/>
                          </a:ln>
                        </pic:spPr>
                      </pic:pic>
                    </a:graphicData>
                  </a:graphic>
                </wp:anchor>
              </w:drawing>
            </w:r>
            <w:r>
              <w:rPr>
                <w:color w:val="auto"/>
              </w:rPr>
              <w:drawing>
                <wp:anchor distT="0" distB="0" distL="114300" distR="114300" simplePos="0" relativeHeight="251668480" behindDoc="0" locked="0" layoutInCell="1" allowOverlap="1">
                  <wp:simplePos x="0" y="0"/>
                  <wp:positionH relativeFrom="column">
                    <wp:posOffset>10887075</wp:posOffset>
                  </wp:positionH>
                  <wp:positionV relativeFrom="paragraph">
                    <wp:posOffset>-7390130</wp:posOffset>
                  </wp:positionV>
                  <wp:extent cx="838835" cy="882650"/>
                  <wp:effectExtent l="0" t="0" r="18415" b="12700"/>
                  <wp:wrapNone/>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18"/>
                          <a:stretch>
                            <a:fillRect/>
                          </a:stretch>
                        </pic:blipFill>
                        <pic:spPr>
                          <a:xfrm>
                            <a:off x="0" y="0"/>
                            <a:ext cx="838835" cy="882650"/>
                          </a:xfrm>
                          <a:prstGeom prst="rect">
                            <a:avLst/>
                          </a:prstGeom>
                          <a:noFill/>
                          <a:ln>
                            <a:noFill/>
                          </a:ln>
                        </pic:spPr>
                      </pic:pic>
                    </a:graphicData>
                  </a:graphic>
                </wp:anchor>
              </w:drawing>
            </w:r>
          </w:p>
          <w:p w14:paraId="2F923723">
            <w:pPr>
              <w:adjustRightInd w:val="0"/>
              <w:spacing w:line="360" w:lineRule="auto"/>
              <w:ind w:firstLine="420" w:firstLineChars="200"/>
              <w:contextualSpacing/>
              <w:rPr>
                <w:rFonts w:hint="default" w:ascii="Times New Roman" w:hAnsi="Times New Roman" w:eastAsia="宋体" w:cs="Times New Roman"/>
                <w:color w:val="auto"/>
                <w:sz w:val="24"/>
                <w:highlight w:val="none"/>
                <w:lang w:val="en-US" w:eastAsia="zh-CN"/>
              </w:r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1229360</wp:posOffset>
                      </wp:positionH>
                      <wp:positionV relativeFrom="paragraph">
                        <wp:posOffset>2537460</wp:posOffset>
                      </wp:positionV>
                      <wp:extent cx="636905" cy="24511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63690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CD180">
                                  <w:pPr>
                                    <w:rPr>
                                      <w:rFonts w:hint="default" w:eastAsia="宋体"/>
                                      <w:b/>
                                      <w:bCs/>
                                      <w:color w:val="auto"/>
                                      <w:lang w:val="en-US" w:eastAsia="zh-CN"/>
                                    </w:rPr>
                                  </w:pPr>
                                  <w:r>
                                    <w:rPr>
                                      <w:rFonts w:hint="eastAsia"/>
                                      <w:b/>
                                      <w:bCs/>
                                      <w:color w:val="auto"/>
                                      <w:lang w:val="en-US" w:eastAsia="zh-CN"/>
                                    </w:rPr>
                                    <w:t>259m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8pt;margin-top:199.8pt;height:19.3pt;width:50.15pt;z-index:251675648;mso-width-relative:page;mso-height-relative:page;" filled="f" stroked="f" coordsize="21600,21600" o:gfxdata="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yk8DA2wAAAAsBAAAPAAAAAAAAAAEAIAAAACIAAABk&#10;cnMvZG93bnJldi54bWxQSwECFAAUAAAACACHTuJAiOmVMzwCAABpBAAADgAAAAAAAAABACAAAAAq&#10;AQAAZHJzL2Uyb0RvYy54bWxQSwUGAAAAAAYABgBZAQAA2AUAAAAA&#10;">
                      <v:fill on="f" focussize="0,0"/>
                      <v:stroke on="f" weight="0.5pt"/>
                      <v:imagedata o:title=""/>
                      <o:lock v:ext="edit" aspectratio="f"/>
                      <v:textbox>
                        <w:txbxContent>
                          <w:p w14:paraId="11BCD180">
                            <w:pPr>
                              <w:rPr>
                                <w:rFonts w:hint="default" w:eastAsia="宋体"/>
                                <w:b/>
                                <w:bCs/>
                                <w:color w:val="auto"/>
                                <w:lang w:val="en-US" w:eastAsia="zh-CN"/>
                              </w:rPr>
                            </w:pPr>
                            <w:r>
                              <w:rPr>
                                <w:rFonts w:hint="eastAsia"/>
                                <w:b/>
                                <w:bCs/>
                                <w:color w:val="auto"/>
                                <w:lang w:val="en-US" w:eastAsia="zh-CN"/>
                              </w:rPr>
                              <w:t>259m</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1858010</wp:posOffset>
                      </wp:positionH>
                      <wp:positionV relativeFrom="paragraph">
                        <wp:posOffset>2432685</wp:posOffset>
                      </wp:positionV>
                      <wp:extent cx="636905" cy="245110"/>
                      <wp:effectExtent l="0" t="0" r="0" b="0"/>
                      <wp:wrapNone/>
                      <wp:docPr id="11" name="文本框 11"/>
                      <wp:cNvGraphicFramePr/>
                      <a:graphic xmlns:a="http://schemas.openxmlformats.org/drawingml/2006/main">
                        <a:graphicData uri="http://schemas.microsoft.com/office/word/2010/wordprocessingShape">
                          <wps:wsp>
                            <wps:cNvSpPr txBox="1"/>
                            <wps:spPr>
                              <a:xfrm>
                                <a:off x="4368800" y="3034665"/>
                                <a:ext cx="636905" cy="245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0891F">
                                  <w:pPr>
                                    <w:rPr>
                                      <w:rFonts w:hint="default" w:eastAsia="宋体"/>
                                      <w:b/>
                                      <w:bCs/>
                                      <w:color w:val="C00000"/>
                                      <w:lang w:val="en-US" w:eastAsia="zh-CN"/>
                                    </w:rPr>
                                  </w:pPr>
                                  <w:r>
                                    <w:rPr>
                                      <w:rFonts w:hint="eastAsia"/>
                                      <w:b/>
                                      <w:bCs/>
                                      <w:color w:val="C00000"/>
                                      <w:lang w:val="en-US" w:eastAsia="zh-CN"/>
                                    </w:rPr>
                                    <w:t>262m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3pt;margin-top:191.55pt;height:19.3pt;width:50.15pt;z-index:251663360;mso-width-relative:page;mso-height-relative:page;" filled="f" stroked="f" coordsize="21600,21600" o:gfxdata="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jWJba3AAAAAsBAAAPAAAAAAAA&#10;AAEAIAAAACIAAABkcnMvZG93bnJldi54bWxQSwECFAAUAAAACACHTuJAJbuJP0cCAABzBAAADgAA&#10;AAAAAAABACAAAAArAQAAZHJzL2Uyb0RvYy54bWxQSwUGAAAAAAYABgBZAQAA5AUAAAAA&#10;">
                      <v:fill on="f" focussize="0,0"/>
                      <v:stroke on="f" weight="0.5pt"/>
                      <v:imagedata o:title=""/>
                      <o:lock v:ext="edit" aspectratio="f"/>
                      <v:textbox>
                        <w:txbxContent>
                          <w:p w14:paraId="1660891F">
                            <w:pPr>
                              <w:rPr>
                                <w:rFonts w:hint="default" w:eastAsia="宋体"/>
                                <w:b/>
                                <w:bCs/>
                                <w:color w:val="C00000"/>
                                <w:lang w:val="en-US" w:eastAsia="zh-CN"/>
                              </w:rPr>
                            </w:pPr>
                            <w:r>
                              <w:rPr>
                                <w:rFonts w:hint="eastAsia"/>
                                <w:b/>
                                <w:bCs/>
                                <w:color w:val="C00000"/>
                                <w:lang w:val="en-US" w:eastAsia="zh-CN"/>
                              </w:rPr>
                              <w:t>262m</w:t>
                            </w:r>
                          </w:p>
                        </w:txbxContent>
                      </v:textbox>
                    </v:shape>
                  </w:pict>
                </mc:Fallback>
              </mc:AlternateContent>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1705610</wp:posOffset>
                      </wp:positionH>
                      <wp:positionV relativeFrom="paragraph">
                        <wp:posOffset>1871345</wp:posOffset>
                      </wp:positionV>
                      <wp:extent cx="28575" cy="1722755"/>
                      <wp:effectExtent l="49530" t="0" r="55245" b="10795"/>
                      <wp:wrapNone/>
                      <wp:docPr id="304" name="直接箭头连接符 304"/>
                      <wp:cNvGraphicFramePr/>
                      <a:graphic xmlns:a="http://schemas.openxmlformats.org/drawingml/2006/main">
                        <a:graphicData uri="http://schemas.microsoft.com/office/word/2010/wordprocessingShape">
                          <wps:wsp>
                            <wps:cNvCnPr/>
                            <wps:spPr>
                              <a:xfrm flipV="1">
                                <a:off x="0" y="0"/>
                                <a:ext cx="28575" cy="1722755"/>
                              </a:xfrm>
                              <a:prstGeom prst="straightConnector1">
                                <a:avLst/>
                              </a:prstGeom>
                              <a:ln w="12700">
                                <a:solidFill>
                                  <a:schemeClr val="tx1"/>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4.3pt;margin-top:147.35pt;height:135.65pt;width:2.25pt;z-index:251674624;mso-width-relative:page;mso-height-relative:page;" filled="f" stroked="t" coordsize="21600,21600" o:gfxdata="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RK643QAAAAsBAAAPAAAAAAAA&#10;AAEAIAAAACIAAABkcnMvZG93bnJldi54bWxQSwECFAAUAAAACACHTuJAYn4g3w0CAADzAwAADgAA&#10;AAAAAAABACAAAAAsAQAAZHJzL2Uyb0RvYy54bWxQSwUGAAAAAAYABgBZAQAAqwUAAAAA&#10;">
                      <v:fill on="f" focussize="0,0"/>
                      <v:stroke weight="1pt" color="#000000 [3213]" joinstyle="round" startarrow="open" endarrow="open"/>
                      <v:imagedata o:title=""/>
                      <o:lock v:ext="edit" aspectratio="f"/>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1496695</wp:posOffset>
                      </wp:positionH>
                      <wp:positionV relativeFrom="paragraph">
                        <wp:posOffset>950595</wp:posOffset>
                      </wp:positionV>
                      <wp:extent cx="266700" cy="101854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266700" cy="1018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393025">
                                  <w:pPr>
                                    <w:rPr>
                                      <w:rFonts w:hint="eastAsia"/>
                                      <w:b/>
                                      <w:bCs/>
                                      <w:color w:val="C00000"/>
                                      <w:lang w:val="en-US" w:eastAsia="zh-CN"/>
                                    </w:rPr>
                                  </w:pPr>
                                  <w:r>
                                    <w:rPr>
                                      <w:rFonts w:hint="default" w:ascii="Times New Roman" w:hAnsi="Times New Roman" w:eastAsia="宋体" w:cs="宋体"/>
                                      <w:b/>
                                      <w:bCs/>
                                      <w:color w:val="C00000"/>
                                      <w:kern w:val="0"/>
                                      <w:sz w:val="24"/>
                                      <w:szCs w:val="20"/>
                                      <w:highlight w:val="none"/>
                                      <w:lang w:val="en-US" w:eastAsia="zh-CN" w:bidi="ar-SA"/>
                                    </w:rPr>
                                    <w:t>汉域科技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85pt;margin-top:74.85pt;height:80.2pt;width:21pt;z-index:251673600;mso-width-relative:page;mso-height-relative:page;" filled="f" stroked="f" coordsize="21600,21600" o:gfxdata="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Bbz22wAAAAsBAAAPAAAAAAAAAAEAIAAAACIA&#10;AABkcnMvZG93bnJldi54bWxQSwECFAAUAAAACACHTuJAlFg7Vj8CAABqBAAADgAAAAAAAAABACAA&#10;AAAqAQAAZHJzL2Uyb0RvYy54bWxQSwUGAAAAAAYABgBZAQAA2wUAAAAA&#10;">
                      <v:fill on="f" focussize="0,0"/>
                      <v:stroke on="f" weight="0.5pt"/>
                      <v:imagedata o:title=""/>
                      <o:lock v:ext="edit" aspectratio="f"/>
                      <v:textbox>
                        <w:txbxContent>
                          <w:p w14:paraId="4F393025">
                            <w:pPr>
                              <w:rPr>
                                <w:rFonts w:hint="eastAsia"/>
                                <w:b/>
                                <w:bCs/>
                                <w:color w:val="C00000"/>
                                <w:lang w:val="en-US" w:eastAsia="zh-CN"/>
                              </w:rPr>
                            </w:pPr>
                            <w:r>
                              <w:rPr>
                                <w:rFonts w:hint="default" w:ascii="Times New Roman" w:hAnsi="Times New Roman" w:eastAsia="宋体" w:cs="宋体"/>
                                <w:b/>
                                <w:bCs/>
                                <w:color w:val="C00000"/>
                                <w:kern w:val="0"/>
                                <w:sz w:val="24"/>
                                <w:szCs w:val="20"/>
                                <w:highlight w:val="none"/>
                                <w:lang w:val="en-US" w:eastAsia="zh-CN" w:bidi="ar-SA"/>
                              </w:rPr>
                              <w:t>汉域科技</w:t>
                            </w:r>
                          </w:p>
                        </w:txbxContent>
                      </v:textbox>
                    </v:shap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1410335</wp:posOffset>
                      </wp:positionH>
                      <wp:positionV relativeFrom="paragraph">
                        <wp:posOffset>937260</wp:posOffset>
                      </wp:positionV>
                      <wp:extent cx="494665" cy="915670"/>
                      <wp:effectExtent l="43815" t="28575" r="52070" b="46355"/>
                      <wp:wrapNone/>
                      <wp:docPr id="301" name="矩形 301"/>
                      <wp:cNvGraphicFramePr/>
                      <a:graphic xmlns:a="http://schemas.openxmlformats.org/drawingml/2006/main">
                        <a:graphicData uri="http://schemas.microsoft.com/office/word/2010/wordprocessingShape">
                          <wps:wsp>
                            <wps:cNvSpPr/>
                            <wps:spPr>
                              <a:xfrm rot="240000">
                                <a:off x="2607310" y="1851025"/>
                                <a:ext cx="494665" cy="915670"/>
                              </a:xfrm>
                              <a:prstGeom prst="rect">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05pt;margin-top:73.8pt;height:72.1pt;width:38.95pt;rotation:262144f;z-index:251672576;v-text-anchor:middle;mso-width-relative:page;mso-height-relative:page;" filled="f" stroked="t" coordsize="21600,21600" o:gfxdata="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7Av4M9gAAAALAQAADwAAAAAA&#10;AAABACAAAAAiAAAAZHJzL2Rvd25yZXYueG1sUEsBAhQAFAAAAAgAh07iQJhP9LaFAgAA8gQAAA4A&#10;AAAAAAAAAQAgAAAAJwEAAGRycy9lMm9Eb2MueG1sUEsFBgAAAAAGAAYAWQEAAB4GAAAAAA==&#10;">
                      <v:fill on="f" focussize="0,0"/>
                      <v:stroke weight="2pt" color="#376092 [2404]" joinstyle="round"/>
                      <v:imagedata o:title=""/>
                      <o:lock v:ext="edit" aspectratio="f"/>
                    </v:rect>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468630</wp:posOffset>
                      </wp:positionH>
                      <wp:positionV relativeFrom="paragraph">
                        <wp:posOffset>5554345</wp:posOffset>
                      </wp:positionV>
                      <wp:extent cx="1183640" cy="262890"/>
                      <wp:effectExtent l="0" t="0" r="0" b="0"/>
                      <wp:wrapNone/>
                      <wp:docPr id="72" name="文本框 72"/>
                      <wp:cNvGraphicFramePr/>
                      <a:graphic xmlns:a="http://schemas.openxmlformats.org/drawingml/2006/main">
                        <a:graphicData uri="http://schemas.microsoft.com/office/word/2010/wordprocessingShape">
                          <wps:wsp>
                            <wps:cNvSpPr txBox="1"/>
                            <wps:spPr>
                              <a:xfrm>
                                <a:off x="1624330" y="4076065"/>
                                <a:ext cx="1183640" cy="262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98012">
                                  <w:pPr>
                                    <w:rPr>
                                      <w:rFonts w:hint="default" w:eastAsia="宋体"/>
                                      <w:sz w:val="18"/>
                                      <w:szCs w:val="18"/>
                                      <w:lang w:val="en-US" w:eastAsia="zh-CN"/>
                                    </w:rPr>
                                  </w:pPr>
                                  <w:r>
                                    <w:rPr>
                                      <w:rFonts w:hint="eastAsia"/>
                                      <w:sz w:val="18"/>
                                      <w:szCs w:val="18"/>
                                      <w:lang w:val="en-US" w:eastAsia="zh-CN"/>
                                    </w:rPr>
                                    <w:t>颗粒物监测点位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pt;margin-top:437.35pt;height:20.7pt;width:93.2pt;z-index:251666432;mso-width-relative:page;mso-height-relative:page;" filled="f" stroked="f" coordsize="21600,21600" o:gfxdata="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orjRzbAAAACgEAAA8AAAAA&#10;AAAAAQAgAAAAIgAAAGRycy9kb3ducmV2LnhtbFBLAQIUABQAAAAIAIdO4kCr+AbWSgIAAHQEAAAO&#10;AAAAAAAAAAEAIAAAACoBAABkcnMvZTJvRG9jLnhtbFBLBQYAAAAABgAGAFkBAADmBQAAAAA=&#10;">
                      <v:fill on="f" focussize="0,0"/>
                      <v:stroke on="f" weight="0.5pt"/>
                      <v:imagedata o:title=""/>
                      <o:lock v:ext="edit" aspectratio="f"/>
                      <v:textbox>
                        <w:txbxContent>
                          <w:p w14:paraId="26698012">
                            <w:pPr>
                              <w:rPr>
                                <w:rFonts w:hint="default" w:eastAsia="宋体"/>
                                <w:sz w:val="18"/>
                                <w:szCs w:val="18"/>
                                <w:lang w:val="en-US" w:eastAsia="zh-CN"/>
                              </w:rPr>
                            </w:pPr>
                            <w:r>
                              <w:rPr>
                                <w:rFonts w:hint="eastAsia"/>
                                <w:sz w:val="18"/>
                                <w:szCs w:val="18"/>
                                <w:lang w:val="en-US" w:eastAsia="zh-CN"/>
                              </w:rPr>
                              <w:t>颗粒物监测点位</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310515</wp:posOffset>
                      </wp:positionH>
                      <wp:positionV relativeFrom="paragraph">
                        <wp:posOffset>5641340</wp:posOffset>
                      </wp:positionV>
                      <wp:extent cx="75565" cy="75565"/>
                      <wp:effectExtent l="4445" t="4445" r="15240" b="15240"/>
                      <wp:wrapNone/>
                      <wp:docPr id="43" name="椭圆 43"/>
                      <wp:cNvGraphicFramePr/>
                      <a:graphic xmlns:a="http://schemas.openxmlformats.org/drawingml/2006/main">
                        <a:graphicData uri="http://schemas.microsoft.com/office/word/2010/wordprocessingShape">
                          <wps:wsp>
                            <wps:cNvSpPr/>
                            <wps:spPr>
                              <a:xfrm>
                                <a:off x="1469390" y="4105910"/>
                                <a:ext cx="75565" cy="75565"/>
                              </a:xfrm>
                              <a:prstGeom prst="ellipse">
                                <a:avLst/>
                              </a:prstGeom>
                              <a:solidFill>
                                <a:srgbClr val="FFFF00"/>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45pt;margin-top:444.2pt;height:5.95pt;width:5.95pt;z-index:251665408;v-text-anchor:middle;mso-width-relative:page;mso-height-relative:page;" fillcolor="#FFFF00" filled="t" stroked="t" coordsize="21600,21600" o:gfxdata="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pblSdkAAAAJAQAADwAAAAAAAAABACAAAAAiAAAAZHJzL2Rvd25y&#10;ZXYueG1sUEsBAhQAFAAAAAgAh07iQOmyqj9vAgAA6gQAAA4AAAAAAAAAAQAgAAAAKAEAAGRycy9l&#10;Mm9Eb2MueG1sUEsFBgAAAAAGAAYAWQEAAAkGAAAAAA==&#10;">
                      <v:fill on="t" focussize="0,0"/>
                      <v:stroke weight="0.5pt" color="#FF0000 [2404]" joinstyle="round"/>
                      <v:imagedata o:title=""/>
                      <o:lock v:ext="edit" aspectratio="f"/>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265430</wp:posOffset>
                      </wp:positionH>
                      <wp:positionV relativeFrom="paragraph">
                        <wp:posOffset>5555615</wp:posOffset>
                      </wp:positionV>
                      <wp:extent cx="1083945" cy="244475"/>
                      <wp:effectExtent l="12700" t="12700" r="27305" b="28575"/>
                      <wp:wrapNone/>
                      <wp:docPr id="12" name="矩形 12"/>
                      <wp:cNvGraphicFramePr/>
                      <a:graphic xmlns:a="http://schemas.openxmlformats.org/drawingml/2006/main">
                        <a:graphicData uri="http://schemas.microsoft.com/office/word/2010/wordprocessingShape">
                          <wps:wsp>
                            <wps:cNvSpPr/>
                            <wps:spPr>
                              <a:xfrm>
                                <a:off x="1433830" y="3939540"/>
                                <a:ext cx="1083945" cy="2444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pt;margin-top:437.45pt;height:19.25pt;width:85.35pt;z-index:251664384;v-text-anchor:middle;mso-width-relative:page;mso-height-relative:page;" fillcolor="#FFFFFF [3212]" filled="t" stroked="t" coordsize="21600,21600" o:gfxdata="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x/Q0XbAAAACgEAAA8AAAAAAAAAAQAgAAAAIgAAAGRycy9kb3ducmV2&#10;LnhtbFBLAQIUABQAAAAIAIdO4kA8FXgwawIAAOsEAAAOAAAAAAAAAAEAIAAAACoBAABkcnMvZTJv&#10;RG9jLnhtbFBLBQYAAAAABgAGAFkBAAAHBgAAAAA=&#10;">
                      <v:fill on="t" focussize="0,0"/>
                      <v:stroke weight="2pt" color="#FFFFFF [3212]" joinstyle="round"/>
                      <v:imagedata o:title=""/>
                      <o:lock v:ext="edit" aspectratio="f"/>
                    </v:rect>
                  </w:pict>
                </mc:Fallback>
              </mc:AlternateContent>
            </w: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1763395</wp:posOffset>
                      </wp:positionH>
                      <wp:positionV relativeFrom="paragraph">
                        <wp:posOffset>3579495</wp:posOffset>
                      </wp:positionV>
                      <wp:extent cx="266700" cy="599440"/>
                      <wp:effectExtent l="0" t="0" r="0" b="0"/>
                      <wp:wrapNone/>
                      <wp:docPr id="79" name="文本框 79"/>
                      <wp:cNvGraphicFramePr/>
                      <a:graphic xmlns:a="http://schemas.openxmlformats.org/drawingml/2006/main">
                        <a:graphicData uri="http://schemas.microsoft.com/office/word/2010/wordprocessingShape">
                          <wps:wsp>
                            <wps:cNvSpPr txBox="1"/>
                            <wps:spPr>
                              <a:xfrm>
                                <a:off x="2522220" y="3072765"/>
                                <a:ext cx="266700" cy="599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A9D84">
                                  <w:pPr>
                                    <w:rPr>
                                      <w:rFonts w:hint="eastAsia" w:eastAsia="宋体"/>
                                      <w:lang w:val="en-US" w:eastAsia="zh-CN"/>
                                    </w:rPr>
                                  </w:pPr>
                                  <w:r>
                                    <w:rPr>
                                      <w:rFonts w:hint="eastAsia"/>
                                      <w:b/>
                                      <w:bCs/>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85pt;margin-top:281.85pt;height:47.2pt;width:21pt;z-index:251667456;mso-width-relative:page;mso-height-relative:page;" filled="f" stroked="f" coordsize="21600,21600" o:gfxdata="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NhqJTbAAAACwEAAA8AAAAAAAAA&#10;AQAgAAAAIgAAAGRycy9kb3ducmV2LnhtbFBLAQIUABQAAAAIAIdO4kBCq1CZRwIAAHMEAAAOAAAA&#10;AAAAAAEAIAAAACoBAABkcnMvZTJvRG9jLnhtbFBLBQYAAAAABgAGAFkBAADjBQAAAAA=&#10;">
                      <v:fill on="f" focussize="0,0"/>
                      <v:stroke on="f" weight="0.5pt"/>
                      <v:imagedata o:title=""/>
                      <o:lock v:ext="edit" aspectratio="f"/>
                      <v:textbox>
                        <w:txbxContent>
                          <w:p w14:paraId="44AA9D84">
                            <w:pPr>
                              <w:rPr>
                                <w:rFonts w:hint="eastAsia" w:eastAsia="宋体"/>
                                <w:lang w:val="en-US" w:eastAsia="zh-CN"/>
                              </w:rPr>
                            </w:pPr>
                            <w:r>
                              <w:rPr>
                                <w:rFonts w:hint="eastAsia"/>
                                <w:b/>
                                <w:bCs/>
                                <w:lang w:val="en-US" w:eastAsia="zh-CN"/>
                              </w:rPr>
                              <w:t>本项目</w:t>
                            </w:r>
                          </w:p>
                        </w:txbxContent>
                      </v:textbox>
                    </v:shap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1915160</wp:posOffset>
                      </wp:positionH>
                      <wp:positionV relativeFrom="paragraph">
                        <wp:posOffset>1899920</wp:posOffset>
                      </wp:positionV>
                      <wp:extent cx="47625" cy="1666875"/>
                      <wp:effectExtent l="48260" t="0" r="56515" b="9525"/>
                      <wp:wrapNone/>
                      <wp:docPr id="4" name="直接箭头连接符 4"/>
                      <wp:cNvGraphicFramePr/>
                      <a:graphic xmlns:a="http://schemas.openxmlformats.org/drawingml/2006/main">
                        <a:graphicData uri="http://schemas.microsoft.com/office/word/2010/wordprocessingShape">
                          <wps:wsp>
                            <wps:cNvCnPr/>
                            <wps:spPr>
                              <a:xfrm flipV="1">
                                <a:off x="2890520" y="3183255"/>
                                <a:ext cx="47625" cy="1666875"/>
                              </a:xfrm>
                              <a:prstGeom prst="straightConnector1">
                                <a:avLst/>
                              </a:prstGeom>
                              <a:ln w="12700">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0.8pt;margin-top:149.6pt;height:131.25pt;width:3.75pt;z-index:251662336;mso-width-relative:page;mso-height-relative:page;" filled="f" stroked="t" coordsize="21600,21600" o:gfxdata="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hGQb2AAAAAsB&#10;AAAPAAAAAAAAAAEAIAAAACIAAABkcnMvZG93bnJldi54bWxQSwECFAAUAAAACACHTuJAU7111hsC&#10;AAD7AwAADgAAAAAAAAABACAAAAAnAQAAZHJzL2Uyb0RvYy54bWxQSwUGAAAAAAYABgBZAQAAtAUA&#10;AAAA&#10;">
                      <v:fill on="f" focussize="0,0"/>
                      <v:stroke weight="1pt" color="#FF0000 [3204]" joinstyle="round" startarrow="open" endarrow="open"/>
                      <v:imagedata o:title=""/>
                      <o:lock v:ext="edit" aspectratio="f"/>
                    </v:shape>
                  </w:pict>
                </mc:Fallback>
              </mc:AlternateContent>
            </w:r>
            <w:r>
              <w:rPr>
                <w:color w:val="auto"/>
              </w:rPr>
              <w:drawing>
                <wp:anchor distT="0" distB="0" distL="114300" distR="114300" simplePos="0" relativeHeight="251670528" behindDoc="0" locked="0" layoutInCell="1" allowOverlap="1">
                  <wp:simplePos x="0" y="0"/>
                  <wp:positionH relativeFrom="column">
                    <wp:posOffset>4267835</wp:posOffset>
                  </wp:positionH>
                  <wp:positionV relativeFrom="paragraph">
                    <wp:posOffset>21590</wp:posOffset>
                  </wp:positionV>
                  <wp:extent cx="437515" cy="457835"/>
                  <wp:effectExtent l="0" t="0" r="635" b="18415"/>
                  <wp:wrapNone/>
                  <wp:docPr id="104" name="图片 104" descr="863663623f7a3eec4a60a11749eba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863663623f7a3eec4a60a11749eba143"/>
                          <pic:cNvPicPr>
                            <a:picLocks noChangeAspect="1"/>
                          </pic:cNvPicPr>
                        </pic:nvPicPr>
                        <pic:blipFill>
                          <a:blip r:embed="rId19"/>
                          <a:stretch>
                            <a:fillRect/>
                          </a:stretch>
                        </pic:blipFill>
                        <pic:spPr>
                          <a:xfrm>
                            <a:off x="0" y="0"/>
                            <a:ext cx="437515" cy="457835"/>
                          </a:xfrm>
                          <a:prstGeom prst="rect">
                            <a:avLst/>
                          </a:prstGeom>
                        </pic:spPr>
                      </pic:pic>
                    </a:graphicData>
                  </a:graphic>
                </wp:anchor>
              </w:drawing>
            </w:r>
            <w:r>
              <w:rPr>
                <w:color w:val="auto"/>
              </w:rPr>
              <w:drawing>
                <wp:inline distT="0" distB="0" distL="114300" distR="114300">
                  <wp:extent cx="4476115" cy="5784215"/>
                  <wp:effectExtent l="0" t="0" r="635" b="6985"/>
                  <wp:docPr id="2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6"/>
                          <pic:cNvPicPr>
                            <a:picLocks noChangeAspect="1"/>
                          </pic:cNvPicPr>
                        </pic:nvPicPr>
                        <pic:blipFill>
                          <a:blip r:embed="rId20"/>
                          <a:stretch>
                            <a:fillRect/>
                          </a:stretch>
                        </pic:blipFill>
                        <pic:spPr>
                          <a:xfrm>
                            <a:off x="0" y="0"/>
                            <a:ext cx="4476115" cy="5784215"/>
                          </a:xfrm>
                          <a:prstGeom prst="rect">
                            <a:avLst/>
                          </a:prstGeom>
                          <a:noFill/>
                          <a:ln>
                            <a:noFill/>
                          </a:ln>
                        </pic:spPr>
                      </pic:pic>
                    </a:graphicData>
                  </a:graphic>
                </wp:inline>
              </w:drawing>
            </w:r>
          </w:p>
          <w:p w14:paraId="3B7612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cs="Times New Roman"/>
                <w:b/>
                <w:bCs/>
                <w:color w:val="auto"/>
                <w:kern w:val="2"/>
                <w:sz w:val="24"/>
                <w:szCs w:val="20"/>
                <w:highlight w:val="none"/>
                <w:lang w:val="en-US" w:eastAsia="zh-CN" w:bidi="ar-SA"/>
              </w:rPr>
            </w:pPr>
            <w:r>
              <w:rPr>
                <w:rFonts w:hint="eastAsia" w:cs="Times New Roman"/>
                <w:b/>
                <w:bCs/>
                <w:color w:val="auto"/>
                <w:kern w:val="2"/>
                <w:sz w:val="24"/>
                <w:szCs w:val="20"/>
                <w:highlight w:val="none"/>
                <w:lang w:val="en-US" w:eastAsia="zh-CN" w:bidi="ar-SA"/>
              </w:rPr>
              <w:t>图3.1-3引用的大气监测点位图</w:t>
            </w:r>
          </w:p>
          <w:p w14:paraId="26DB7C4A">
            <w:pPr>
              <w:pStyle w:val="47"/>
              <w:spacing w:after="0"/>
              <w:ind w:left="0" w:leftChars="0" w:firstLine="0" w:firstLineChars="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引用数据的有效性分析</w:t>
            </w:r>
          </w:p>
          <w:p w14:paraId="56D66B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根据《环境影响评价技术导则 大气环境》</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HJ2.2-2018</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的6.2.1.1要求：“项目所在区域达标判定，优先采用国家或地方生态环境主管部门发布的评价基准年环境质量公告或环境质量报告中的数据或结论”，根据</w:t>
            </w:r>
            <w:r>
              <w:rPr>
                <w:rFonts w:hint="eastAsia" w:ascii="Times New Roman" w:hAnsi="Times New Roman" w:eastAsia="宋体" w:cs="Times New Roman"/>
                <w:color w:val="auto"/>
                <w:kern w:val="0"/>
                <w:sz w:val="24"/>
                <w:szCs w:val="24"/>
                <w:lang w:val="en-US" w:eastAsia="zh-CN" w:bidi="ar"/>
              </w:rPr>
              <w:t>《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14:paraId="1BAB61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b w:val="0"/>
                <w:bCs w:val="0"/>
                <w:color w:val="auto"/>
                <w:sz w:val="24"/>
                <w:szCs w:val="22"/>
                <w:highlight w:val="none"/>
                <w:lang w:val="en-US" w:eastAsia="zh-CN"/>
              </w:rPr>
              <w:t>根据《建设项目环境影响报告表编制技术指南</w:t>
            </w:r>
            <w:r>
              <w:rPr>
                <w:rFonts w:hint="eastAsia"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污染影响类</w:t>
            </w:r>
            <w:r>
              <w:rPr>
                <w:rFonts w:hint="eastAsia"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试行</w:t>
            </w:r>
            <w:r>
              <w:rPr>
                <w:rFonts w:hint="eastAsia"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w:t>
            </w:r>
            <w:r>
              <w:rPr>
                <w:rFonts w:hint="eastAsia"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环办环评(2020)33号</w:t>
            </w:r>
            <w:r>
              <w:rPr>
                <w:rFonts w:hint="eastAsia" w:cs="Times New Roman"/>
                <w:b w:val="0"/>
                <w:bCs w:val="0"/>
                <w:color w:val="auto"/>
                <w:sz w:val="24"/>
                <w:szCs w:val="22"/>
                <w:highlight w:val="none"/>
                <w:lang w:val="en-US" w:eastAsia="zh-CN"/>
              </w:rPr>
              <w:t>）</w:t>
            </w:r>
            <w:r>
              <w:rPr>
                <w:rFonts w:hint="default" w:ascii="Times New Roman" w:hAnsi="Times New Roman" w:eastAsia="宋体" w:cs="Times New Roman"/>
                <w:b w:val="0"/>
                <w:bCs w:val="0"/>
                <w:color w:val="auto"/>
                <w:sz w:val="24"/>
                <w:szCs w:val="22"/>
                <w:highlight w:val="none"/>
                <w:lang w:val="en-US" w:eastAsia="zh-CN"/>
              </w:rPr>
              <w:t>要求：“排放国家、地方环境空气质量标准中有标准限值要求的特征污染物时，引用建设项目周边5千米范围内近3年的现有监测数据，……”。本项目TSP现状检测引用项目周边</w:t>
            </w:r>
            <w:r>
              <w:rPr>
                <w:rFonts w:hint="eastAsia" w:ascii="Times New Roman" w:hAnsi="Times New Roman" w:cs="Times New Roman"/>
                <w:color w:val="auto"/>
                <w:kern w:val="2"/>
                <w:sz w:val="24"/>
                <w:szCs w:val="24"/>
                <w:lang w:val="en-US" w:eastAsia="zh-CN"/>
              </w:rPr>
              <w:t>约</w:t>
            </w:r>
            <w:r>
              <w:rPr>
                <w:rFonts w:hint="eastAsia" w:cs="Times New Roman"/>
                <w:color w:val="auto"/>
                <w:kern w:val="2"/>
                <w:sz w:val="24"/>
                <w:szCs w:val="24"/>
                <w:lang w:val="en-US" w:eastAsia="zh-CN"/>
              </w:rPr>
              <w:t>262</w:t>
            </w:r>
            <w:r>
              <w:rPr>
                <w:rFonts w:hint="eastAsia" w:ascii="Times New Roman" w:hAnsi="Times New Roman" w:cs="Times New Roman"/>
                <w:color w:val="auto"/>
                <w:kern w:val="2"/>
                <w:sz w:val="24"/>
                <w:szCs w:val="24"/>
                <w:lang w:val="en-US" w:eastAsia="zh-CN"/>
              </w:rPr>
              <w:t>m</w:t>
            </w:r>
            <w:r>
              <w:rPr>
                <w:rFonts w:hint="default" w:ascii="Times New Roman" w:hAnsi="Times New Roman" w:eastAsia="宋体" w:cs="Times New Roman"/>
                <w:b w:val="0"/>
                <w:bCs w:val="0"/>
                <w:color w:val="auto"/>
                <w:sz w:val="24"/>
                <w:szCs w:val="22"/>
                <w:highlight w:val="none"/>
                <w:lang w:val="en-US" w:eastAsia="zh-CN"/>
              </w:rPr>
              <w:t>处福州汉域科技有限公司</w:t>
            </w:r>
            <w:r>
              <w:rPr>
                <w:rFonts w:hint="eastAsia" w:ascii="Times New Roman" w:hAnsi="Times New Roman" w:eastAsia="宋体" w:cs="Times New Roman"/>
                <w:color w:val="auto"/>
                <w:kern w:val="0"/>
                <w:sz w:val="24"/>
                <w:szCs w:val="24"/>
                <w:lang w:val="en-US" w:eastAsia="zh-CN" w:bidi="ar"/>
              </w:rPr>
              <w:t>委托</w:t>
            </w:r>
            <w:r>
              <w:rPr>
                <w:rFonts w:hint="default" w:ascii="Times New Roman" w:hAnsi="Times New Roman" w:eastAsia="宋体" w:cs="Times New Roman"/>
                <w:color w:val="auto"/>
                <w:kern w:val="0"/>
                <w:sz w:val="24"/>
                <w:szCs w:val="24"/>
                <w:lang w:val="en-US" w:eastAsia="zh-CN" w:bidi="ar"/>
              </w:rPr>
              <w:t>福建九五检测技术服务有限公司</w:t>
            </w:r>
            <w:r>
              <w:rPr>
                <w:rFonts w:hint="eastAsia" w:cs="Times New Roman"/>
                <w:color w:val="auto"/>
                <w:kern w:val="0"/>
                <w:sz w:val="24"/>
                <w:szCs w:val="24"/>
                <w:lang w:val="en-US" w:eastAsia="zh-CN" w:bidi="ar"/>
              </w:rPr>
              <w:t>（检测报告编号：JWJC240418002）</w:t>
            </w:r>
            <w:r>
              <w:rPr>
                <w:rFonts w:hint="eastAsia" w:ascii="Times New Roman" w:hAnsi="Times New Roman" w:eastAsia="宋体" w:cs="Times New Roman"/>
                <w:color w:val="auto"/>
                <w:kern w:val="0"/>
                <w:sz w:val="24"/>
                <w:szCs w:val="24"/>
                <w:lang w:val="en-US" w:eastAsia="zh-CN" w:bidi="ar"/>
              </w:rPr>
              <w:t>于202</w:t>
            </w:r>
            <w:r>
              <w:rPr>
                <w:rFonts w:hint="eastAsia" w:cs="Times New Roman"/>
                <w:color w:val="auto"/>
                <w:kern w:val="0"/>
                <w:sz w:val="24"/>
                <w:szCs w:val="24"/>
                <w:lang w:val="en-US" w:eastAsia="zh-CN" w:bidi="ar"/>
              </w:rPr>
              <w:t>4</w:t>
            </w:r>
            <w:r>
              <w:rPr>
                <w:rFonts w:hint="eastAsia" w:ascii="Times New Roman" w:hAnsi="Times New Roman" w:eastAsia="宋体" w:cs="Times New Roman"/>
                <w:color w:val="auto"/>
                <w:kern w:val="0"/>
                <w:sz w:val="24"/>
                <w:szCs w:val="24"/>
                <w:lang w:val="en-US" w:eastAsia="zh-CN" w:bidi="ar"/>
              </w:rPr>
              <w:t>年4月26日~2024年4月28日对其进行监测</w:t>
            </w:r>
            <w:r>
              <w:rPr>
                <w:rFonts w:hint="default" w:ascii="Times New Roman" w:hAnsi="Times New Roman" w:eastAsia="宋体" w:cs="Times New Roman"/>
                <w:b w:val="0"/>
                <w:bCs w:val="0"/>
                <w:color w:val="auto"/>
                <w:sz w:val="24"/>
                <w:szCs w:val="22"/>
                <w:highlight w:val="none"/>
                <w:lang w:val="en-US" w:eastAsia="zh-CN"/>
              </w:rPr>
              <w:t>的现状监测数据进行评价，因此，项目引用的检测数据符合的要求。</w:t>
            </w:r>
          </w:p>
          <w:p w14:paraId="2441A945">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本次评价选取福建省生态环境厅</w:t>
            </w:r>
            <w:r>
              <w:rPr>
                <w:rFonts w:hint="eastAsia" w:ascii="Times New Roman" w:hAnsi="Times New Roman" w:eastAsia="宋体" w:cs="Times New Roman"/>
                <w:color w:val="auto"/>
                <w:kern w:val="0"/>
                <w:sz w:val="24"/>
                <w:szCs w:val="24"/>
                <w:lang w:val="en-US" w:eastAsia="zh-CN" w:bidi="ar"/>
              </w:rPr>
              <w:t>发</w:t>
            </w:r>
            <w:r>
              <w:rPr>
                <w:rFonts w:hint="default" w:ascii="Times New Roman" w:hAnsi="Times New Roman" w:eastAsia="宋体" w:cs="Times New Roman"/>
                <w:color w:val="auto"/>
                <w:kern w:val="0"/>
                <w:sz w:val="24"/>
                <w:szCs w:val="24"/>
                <w:lang w:val="en-US" w:eastAsia="zh-CN" w:bidi="ar"/>
              </w:rPr>
              <w:t>布的环境空气质量</w:t>
            </w:r>
            <w:r>
              <w:rPr>
                <w:rFonts w:hint="eastAsia" w:ascii="Times New Roman" w:hAnsi="Times New Roman" w:eastAsia="宋体" w:cs="Times New Roman"/>
                <w:color w:val="auto"/>
                <w:kern w:val="0"/>
                <w:sz w:val="24"/>
                <w:szCs w:val="24"/>
                <w:lang w:val="en-US" w:eastAsia="zh-CN" w:bidi="ar"/>
              </w:rPr>
              <w:t>数据</w:t>
            </w:r>
            <w:r>
              <w:rPr>
                <w:rFonts w:hint="default" w:ascii="Times New Roman" w:hAnsi="Times New Roman" w:eastAsia="宋体" w:cs="Times New Roman"/>
                <w:color w:val="auto"/>
                <w:kern w:val="0"/>
                <w:sz w:val="24"/>
                <w:szCs w:val="24"/>
                <w:lang w:val="en-US" w:eastAsia="zh-CN" w:bidi="ar"/>
              </w:rPr>
              <w:t>，符合《环境影响评价技术导则 大气环境》</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HJ2.2-2018</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、《建设项目环境影响报告表编制技术指南（污染影响类）（试行）》的要求，环境现状监测数据可行。</w:t>
            </w:r>
          </w:p>
          <w:p w14:paraId="297ABF39">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声环境质量现状</w:t>
            </w:r>
          </w:p>
          <w:p w14:paraId="5E9F6253">
            <w:pPr>
              <w:pStyle w:val="46"/>
              <w:numPr>
                <w:ilvl w:val="0"/>
                <w:numId w:val="12"/>
              </w:numPr>
              <w:autoSpaceDE w:val="0"/>
              <w:autoSpaceDN w:val="0"/>
              <w:spacing w:before="120" w:beforeLines="50"/>
              <w:ind w:left="425" w:leftChars="0" w:hanging="425" w:firstLineChars="0"/>
              <w:rPr>
                <w:rFonts w:hint="eastAsia"/>
                <w:color w:val="auto"/>
                <w:highlight w:val="none"/>
              </w:rPr>
            </w:pPr>
            <w:r>
              <w:rPr>
                <w:rFonts w:hint="eastAsia"/>
                <w:color w:val="auto"/>
                <w:highlight w:val="none"/>
              </w:rPr>
              <w:t>声环境功能区</w:t>
            </w:r>
          </w:p>
          <w:p w14:paraId="32492C61">
            <w:pPr>
              <w:pStyle w:val="46"/>
              <w:shd w:val="clear"/>
              <w:bidi w:val="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本项目位于</w:t>
            </w:r>
            <w:r>
              <w:rPr>
                <w:rFonts w:hint="eastAsia"/>
                <w:color w:val="auto"/>
                <w:lang w:val="en-US" w:eastAsia="zh-CN"/>
              </w:rPr>
              <w:t>福建省福州市福清融侨经济技术开发区镜洋镇（租赁福州鼎力机械有限公司铸造车间1号）</w:t>
            </w:r>
            <w:r>
              <w:rPr>
                <w:rFonts w:hint="eastAsia" w:ascii="Times New Roman" w:hAnsi="Times New Roman" w:eastAsia="宋体" w:cs="宋体"/>
                <w:color w:val="auto"/>
                <w:highlight w:val="none"/>
                <w:lang w:val="en-US" w:eastAsia="zh-CN"/>
              </w:rPr>
              <w:t>，根据调查，</w:t>
            </w:r>
            <w:r>
              <w:rPr>
                <w:rFonts w:hint="eastAsia" w:cs="宋体"/>
                <w:color w:val="auto"/>
                <w:highlight w:val="none"/>
                <w:lang w:val="en-US" w:eastAsia="zh-CN"/>
              </w:rPr>
              <w:t>项目周边</w:t>
            </w:r>
            <w:r>
              <w:rPr>
                <w:rFonts w:hint="eastAsia" w:ascii="Times New Roman" w:hAnsi="Times New Roman" w:eastAsia="宋体" w:cs="宋体"/>
                <w:color w:val="auto"/>
                <w:highlight w:val="none"/>
                <w:lang w:val="en-US" w:eastAsia="zh-CN"/>
              </w:rPr>
              <w:t>以工业生产、仓储物流为主要功能，需要防止工业噪声对周围环境产生严重影响的区域。项目所在区域声环境为</w:t>
            </w:r>
            <w:r>
              <w:rPr>
                <w:rFonts w:hint="eastAsia" w:cs="宋体"/>
                <w:color w:val="auto"/>
                <w:highlight w:val="none"/>
                <w:lang w:val="en-US" w:eastAsia="zh-CN"/>
              </w:rPr>
              <w:t>3</w:t>
            </w:r>
            <w:r>
              <w:rPr>
                <w:rFonts w:hint="eastAsia" w:ascii="Times New Roman" w:hAnsi="Times New Roman" w:eastAsia="宋体" w:cs="宋体"/>
                <w:color w:val="auto"/>
                <w:highlight w:val="none"/>
                <w:lang w:val="en-US" w:eastAsia="zh-CN"/>
              </w:rPr>
              <w:t>类功能区，声环境功能执行《声环境质量标准》</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GB3096-2008</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表1中</w:t>
            </w:r>
            <w:r>
              <w:rPr>
                <w:rFonts w:hint="eastAsia" w:cs="宋体"/>
                <w:color w:val="auto"/>
                <w:highlight w:val="none"/>
                <w:lang w:val="en-US" w:eastAsia="zh-CN"/>
              </w:rPr>
              <w:t>3</w:t>
            </w:r>
            <w:r>
              <w:rPr>
                <w:rFonts w:hint="eastAsia" w:ascii="Times New Roman" w:hAnsi="Times New Roman" w:eastAsia="宋体" w:cs="宋体"/>
                <w:color w:val="auto"/>
                <w:highlight w:val="none"/>
                <w:lang w:val="en-US" w:eastAsia="zh-CN"/>
              </w:rPr>
              <w:t>类标准；</w:t>
            </w:r>
          </w:p>
          <w:p w14:paraId="785268AC">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textAlignment w:val="auto"/>
              <w:rPr>
                <w:rFonts w:hint="eastAsia" w:ascii="Times New Roman" w:hAnsi="Times New Roman" w:eastAsia="宋体"/>
                <w:color w:val="auto"/>
                <w:highlight w:val="none"/>
              </w:rPr>
            </w:pPr>
            <w:r>
              <w:rPr>
                <w:rFonts w:hint="eastAsia" w:ascii="Times New Roman" w:hAnsi="Times New Roman" w:eastAsia="宋体"/>
                <w:color w:val="auto"/>
                <w:highlight w:val="none"/>
              </w:rPr>
              <w:t>《声环境质量标准》</w:t>
            </w:r>
            <w:r>
              <w:rPr>
                <w:rFonts w:hint="eastAsia"/>
                <w:color w:val="auto"/>
                <w:highlight w:val="none"/>
                <w:lang w:eastAsia="zh-CN"/>
              </w:rPr>
              <w:t>（</w:t>
            </w:r>
            <w:r>
              <w:rPr>
                <w:rFonts w:hint="eastAsia" w:ascii="Times New Roman" w:hAnsi="Times New Roman" w:eastAsia="宋体"/>
                <w:color w:val="auto"/>
                <w:highlight w:val="none"/>
              </w:rPr>
              <w:t>GB3096-2008</w:t>
            </w:r>
            <w:r>
              <w:rPr>
                <w:rFonts w:hint="eastAsia"/>
                <w:color w:val="auto"/>
                <w:highlight w:val="none"/>
                <w:lang w:eastAsia="zh-CN"/>
              </w:rPr>
              <w:t>）（</w:t>
            </w:r>
            <w:r>
              <w:rPr>
                <w:rFonts w:hint="eastAsia" w:ascii="Times New Roman" w:hAnsi="Times New Roman" w:eastAsia="宋体"/>
                <w:color w:val="auto"/>
                <w:highlight w:val="none"/>
              </w:rPr>
              <w:t>摘录</w:t>
            </w:r>
            <w:r>
              <w:rPr>
                <w:rFonts w:hint="eastAsia"/>
                <w:color w:val="auto"/>
                <w:highlight w:val="none"/>
                <w:lang w:eastAsia="zh-CN"/>
              </w:rPr>
              <w:t>）</w:t>
            </w:r>
          </w:p>
          <w:tbl>
            <w:tblPr>
              <w:tblStyle w:val="34"/>
              <w:tblW w:w="5073" w:type="pct"/>
              <w:tblInd w:w="-79" w:type="dxa"/>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autofit"/>
              <w:tblCellMar>
                <w:top w:w="0" w:type="dxa"/>
                <w:left w:w="0" w:type="dxa"/>
                <w:bottom w:w="0" w:type="dxa"/>
                <w:right w:w="0" w:type="dxa"/>
              </w:tblCellMar>
            </w:tblPr>
            <w:tblGrid>
              <w:gridCol w:w="1021"/>
              <w:gridCol w:w="4651"/>
              <w:gridCol w:w="1536"/>
              <w:gridCol w:w="1566"/>
            </w:tblGrid>
            <w:tr w14:paraId="49F7F5C9">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582" w:type="pct"/>
                  <w:vMerge w:val="restart"/>
                  <w:tcBorders>
                    <w:bottom w:val="single" w:color="000000" w:sz="4" w:space="0"/>
                  </w:tcBorders>
                  <w:vAlign w:val="center"/>
                </w:tcPr>
                <w:p w14:paraId="6FF84B4B">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1"/>
                    </w:rPr>
                  </w:pPr>
                  <w:r>
                    <w:rPr>
                      <w:rFonts w:ascii="Times New Roman" w:hAnsi="Times New Roman" w:eastAsia="宋体"/>
                      <w:color w:val="auto"/>
                      <w:spacing w:val="-6"/>
                      <w:sz w:val="21"/>
                    </w:rPr>
                    <w:t>标准</w:t>
                  </w:r>
                  <w:r>
                    <w:rPr>
                      <w:rFonts w:ascii="Times New Roman" w:hAnsi="Times New Roman" w:eastAsia="宋体"/>
                      <w:color w:val="auto"/>
                      <w:spacing w:val="-8"/>
                      <w:sz w:val="21"/>
                    </w:rPr>
                    <w:t>类别</w:t>
                  </w:r>
                </w:p>
              </w:tc>
              <w:tc>
                <w:tcPr>
                  <w:tcW w:w="2650" w:type="pct"/>
                  <w:vMerge w:val="restart"/>
                  <w:tcBorders>
                    <w:bottom w:val="single" w:color="000000" w:sz="4" w:space="0"/>
                  </w:tcBorders>
                  <w:vAlign w:val="center"/>
                </w:tcPr>
                <w:p w14:paraId="4A865EB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pacing w:val="-7"/>
                      <w:sz w:val="21"/>
                    </w:rPr>
                    <w:t>适用区域</w:t>
                  </w:r>
                </w:p>
              </w:tc>
              <w:tc>
                <w:tcPr>
                  <w:tcW w:w="1767" w:type="pct"/>
                  <w:gridSpan w:val="2"/>
                  <w:tcBorders>
                    <w:bottom w:val="single" w:color="000000" w:sz="4" w:space="0"/>
                  </w:tcBorders>
                  <w:vAlign w:val="center"/>
                </w:tcPr>
                <w:p w14:paraId="2F75868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12"/>
                      <w:position w:val="2"/>
                      <w:sz w:val="21"/>
                    </w:rPr>
                  </w:pPr>
                  <w:r>
                    <w:rPr>
                      <w:rFonts w:ascii="Times New Roman" w:hAnsi="Times New Roman" w:eastAsia="宋体"/>
                      <w:color w:val="auto"/>
                      <w:spacing w:val="-12"/>
                      <w:position w:val="2"/>
                      <w:sz w:val="21"/>
                    </w:rPr>
                    <w:t xml:space="preserve">等效声级 </w:t>
                  </w:r>
                  <w:r>
                    <w:rPr>
                      <w:rFonts w:ascii="Times New Roman" w:hAnsi="Times New Roman" w:eastAsia="宋体"/>
                      <w:color w:val="auto"/>
                      <w:spacing w:val="-4"/>
                      <w:position w:val="2"/>
                      <w:sz w:val="21"/>
                    </w:rPr>
                    <w:t>L</w:t>
                  </w:r>
                  <w:r>
                    <w:rPr>
                      <w:rFonts w:ascii="Times New Roman" w:hAnsi="Times New Roman" w:eastAsia="宋体"/>
                      <w:color w:val="auto"/>
                      <w:spacing w:val="-4"/>
                      <w:sz w:val="13"/>
                    </w:rPr>
                    <w:t>eq</w:t>
                  </w:r>
                  <w:r>
                    <w:rPr>
                      <w:rFonts w:ascii="Times New Roman" w:hAnsi="Times New Roman" w:eastAsia="宋体"/>
                      <w:color w:val="auto"/>
                      <w:spacing w:val="-4"/>
                      <w:position w:val="2"/>
                      <w:sz w:val="21"/>
                    </w:rPr>
                    <w:t>(dB(A))</w:t>
                  </w:r>
                </w:p>
              </w:tc>
            </w:tr>
            <w:tr w14:paraId="623DF9A3">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582" w:type="pct"/>
                  <w:vMerge w:val="continue"/>
                  <w:tcBorders>
                    <w:top w:val="single" w:color="000000" w:sz="4" w:space="0"/>
                    <w:tl2br w:val="nil"/>
                    <w:tr2bl w:val="nil"/>
                  </w:tcBorders>
                  <w:vAlign w:val="center"/>
                </w:tcPr>
                <w:p w14:paraId="51FC4969">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
                      <w:szCs w:val="2"/>
                    </w:rPr>
                  </w:pPr>
                </w:p>
              </w:tc>
              <w:tc>
                <w:tcPr>
                  <w:tcW w:w="2650" w:type="pct"/>
                  <w:vMerge w:val="continue"/>
                  <w:tcBorders>
                    <w:top w:val="single" w:color="000000" w:sz="4" w:space="0"/>
                    <w:tl2br w:val="nil"/>
                    <w:tr2bl w:val="nil"/>
                  </w:tcBorders>
                  <w:vAlign w:val="center"/>
                </w:tcPr>
                <w:p w14:paraId="44F492BB">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
                      <w:szCs w:val="2"/>
                    </w:rPr>
                  </w:pPr>
                </w:p>
              </w:tc>
              <w:tc>
                <w:tcPr>
                  <w:tcW w:w="875" w:type="pct"/>
                  <w:tcBorders>
                    <w:top w:val="single" w:color="000000" w:sz="4" w:space="0"/>
                    <w:tl2br w:val="nil"/>
                    <w:tr2bl w:val="nil"/>
                  </w:tcBorders>
                  <w:vAlign w:val="center"/>
                </w:tcPr>
                <w:p w14:paraId="0B2DD7B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z w:val="21"/>
                    </w:rPr>
                  </w:pPr>
                  <w:r>
                    <w:rPr>
                      <w:rFonts w:ascii="Times New Roman" w:hAnsi="Times New Roman" w:eastAsia="宋体"/>
                      <w:color w:val="auto"/>
                      <w:spacing w:val="-8"/>
                      <w:sz w:val="21"/>
                    </w:rPr>
                    <w:t>昼间</w:t>
                  </w:r>
                </w:p>
              </w:tc>
              <w:tc>
                <w:tcPr>
                  <w:tcW w:w="891" w:type="pct"/>
                  <w:tcBorders>
                    <w:top w:val="single" w:color="000000" w:sz="4" w:space="0"/>
                    <w:tl2br w:val="nil"/>
                    <w:tr2bl w:val="nil"/>
                  </w:tcBorders>
                  <w:vAlign w:val="center"/>
                </w:tcPr>
                <w:p w14:paraId="4367EAB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8"/>
                      <w:sz w:val="21"/>
                      <w:lang w:val="en-US" w:eastAsia="zh-CN"/>
                    </w:rPr>
                  </w:pPr>
                  <w:r>
                    <w:rPr>
                      <w:rFonts w:hint="eastAsia" w:ascii="Times New Roman" w:hAnsi="Times New Roman" w:eastAsia="宋体"/>
                      <w:color w:val="auto"/>
                      <w:spacing w:val="-8"/>
                      <w:sz w:val="21"/>
                      <w:lang w:val="en-US" w:eastAsia="zh-CN"/>
                    </w:rPr>
                    <w:t>夜间</w:t>
                  </w:r>
                </w:p>
              </w:tc>
            </w:tr>
            <w:tr w14:paraId="62F9A09D">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679" w:hRule="atLeast"/>
              </w:trPr>
              <w:tc>
                <w:tcPr>
                  <w:tcW w:w="582" w:type="pct"/>
                  <w:tcBorders>
                    <w:tl2br w:val="nil"/>
                    <w:tr2bl w:val="nil"/>
                  </w:tcBorders>
                  <w:vAlign w:val="center"/>
                </w:tcPr>
                <w:p w14:paraId="3EB1F42A">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10"/>
                      <w:sz w:val="21"/>
                      <w:lang w:val="en-US" w:eastAsia="zh-CN"/>
                    </w:rPr>
                  </w:pPr>
                  <w:r>
                    <w:rPr>
                      <w:rFonts w:hint="eastAsia" w:ascii="Times New Roman" w:hAnsi="Times New Roman"/>
                      <w:color w:val="auto"/>
                      <w:spacing w:val="-10"/>
                      <w:sz w:val="21"/>
                      <w:lang w:val="en-US" w:eastAsia="zh-CN"/>
                    </w:rPr>
                    <w:t>3</w:t>
                  </w:r>
                </w:p>
              </w:tc>
              <w:tc>
                <w:tcPr>
                  <w:tcW w:w="2650" w:type="pct"/>
                  <w:tcBorders>
                    <w:tl2br w:val="nil"/>
                    <w:tr2bl w:val="nil"/>
                  </w:tcBorders>
                  <w:vAlign w:val="center"/>
                </w:tcPr>
                <w:p w14:paraId="5A621BD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3"/>
                      <w:sz w:val="21"/>
                    </w:rPr>
                  </w:pPr>
                  <w:r>
                    <w:rPr>
                      <w:rFonts w:hint="eastAsia" w:ascii="Times New Roman" w:hAnsi="Times New Roman" w:eastAsia="宋体"/>
                      <w:color w:val="auto"/>
                      <w:spacing w:val="-3"/>
                      <w:sz w:val="21"/>
                    </w:rPr>
                    <w:t>指</w:t>
                  </w:r>
                  <w:r>
                    <w:rPr>
                      <w:rFonts w:hint="eastAsia" w:ascii="Times New Roman" w:hAnsi="Times New Roman" w:eastAsia="宋体"/>
                      <w:color w:val="auto"/>
                      <w:spacing w:val="-3"/>
                      <w:sz w:val="21"/>
                      <w:lang w:val="en-US" w:eastAsia="zh-CN"/>
                    </w:rPr>
                    <w:t>以工业生产、仓储物流为主要功能，需要防止工业噪声对周围环境产生严重影响的区域。</w:t>
                  </w:r>
                </w:p>
              </w:tc>
              <w:tc>
                <w:tcPr>
                  <w:tcW w:w="875" w:type="pct"/>
                  <w:tcBorders>
                    <w:tl2br w:val="nil"/>
                    <w:tr2bl w:val="nil"/>
                  </w:tcBorders>
                  <w:vAlign w:val="center"/>
                </w:tcPr>
                <w:p w14:paraId="5BC6ADB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5"/>
                      <w:sz w:val="21"/>
                      <w:lang w:eastAsia="zh-CN"/>
                    </w:rPr>
                  </w:pPr>
                  <w:r>
                    <w:rPr>
                      <w:rFonts w:ascii="Times New Roman" w:hAnsi="Times New Roman" w:eastAsia="宋体"/>
                      <w:color w:val="auto"/>
                      <w:spacing w:val="-5"/>
                      <w:sz w:val="21"/>
                    </w:rPr>
                    <w:t>≤6</w:t>
                  </w:r>
                  <w:r>
                    <w:rPr>
                      <w:rFonts w:hint="eastAsia" w:ascii="Times New Roman" w:hAnsi="Times New Roman"/>
                      <w:color w:val="auto"/>
                      <w:spacing w:val="-5"/>
                      <w:sz w:val="21"/>
                      <w:lang w:val="en-US" w:eastAsia="zh-CN"/>
                    </w:rPr>
                    <w:t>5</w:t>
                  </w:r>
                </w:p>
              </w:tc>
              <w:tc>
                <w:tcPr>
                  <w:tcW w:w="891" w:type="pct"/>
                  <w:tcBorders>
                    <w:tl2br w:val="nil"/>
                    <w:tr2bl w:val="nil"/>
                  </w:tcBorders>
                  <w:vAlign w:val="center"/>
                </w:tcPr>
                <w:p w14:paraId="7867EFB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auto"/>
                      <w:spacing w:val="-5"/>
                      <w:sz w:val="21"/>
                      <w:lang w:val="en-US" w:eastAsia="zh-CN"/>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5</w:t>
                  </w:r>
                  <w:r>
                    <w:rPr>
                      <w:rFonts w:hint="eastAsia" w:ascii="Times New Roman" w:hAnsi="Times New Roman"/>
                      <w:color w:val="auto"/>
                      <w:spacing w:val="-5"/>
                      <w:sz w:val="21"/>
                      <w:lang w:val="en-US" w:eastAsia="zh-CN"/>
                    </w:rPr>
                    <w:t>5</w:t>
                  </w:r>
                </w:p>
              </w:tc>
            </w:tr>
          </w:tbl>
          <w:p w14:paraId="2C1CFAAE">
            <w:pPr>
              <w:pStyle w:val="46"/>
              <w:numPr>
                <w:ilvl w:val="0"/>
                <w:numId w:val="12"/>
              </w:numPr>
              <w:autoSpaceDE w:val="0"/>
              <w:autoSpaceDN w:val="0"/>
              <w:spacing w:before="120" w:beforeLines="50"/>
              <w:ind w:left="425" w:leftChars="0" w:hanging="425" w:firstLineChars="0"/>
              <w:rPr>
                <w:rFonts w:hint="eastAsia"/>
                <w:color w:val="auto"/>
                <w:highlight w:val="none"/>
              </w:rPr>
            </w:pPr>
            <w:r>
              <w:rPr>
                <w:rFonts w:hint="eastAsia"/>
                <w:color w:val="auto"/>
                <w:highlight w:val="none"/>
              </w:rPr>
              <w:t>声环境质量现状</w:t>
            </w:r>
          </w:p>
          <w:p w14:paraId="3F939D6D">
            <w:pPr>
              <w:pStyle w:val="46"/>
              <w:shd w:val="clear"/>
              <w:bidi w:val="0"/>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14D2BFB3">
            <w:pPr>
              <w:pStyle w:val="46"/>
              <w:shd w:val="clear"/>
              <w:bidi w:val="0"/>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根据现场踏勘可知，项目周边50米范围内无声环境保护目标，可不进行声环境质量现状的监测。</w:t>
            </w:r>
          </w:p>
          <w:p w14:paraId="63E8948B">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生态环境</w:t>
            </w:r>
          </w:p>
          <w:p w14:paraId="604A3DE6">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rFonts w:hint="eastAsia"/>
                <w:color w:val="auto"/>
                <w:highlight w:val="none"/>
              </w:rPr>
              <w:t>根据《建设项目环境影响报告表编制技术指南（污染影响类）（试行）》</w:t>
            </w:r>
            <w:r>
              <w:rPr>
                <w:rFonts w:hint="eastAsia"/>
                <w:color w:val="auto"/>
                <w:highlight w:val="none"/>
                <w:lang w:eastAsia="zh-CN"/>
              </w:rPr>
              <w:t>，</w:t>
            </w:r>
            <w:r>
              <w:rPr>
                <w:rFonts w:hint="eastAsia"/>
                <w:color w:val="auto"/>
                <w:highlight w:val="none"/>
              </w:rPr>
              <w:t>“产业园区外建设项目新增用地且用地范围内含生态环境保护目标时，应进行生态现状调查”。本项目位于</w:t>
            </w:r>
            <w:r>
              <w:rPr>
                <w:rFonts w:hint="eastAsia"/>
                <w:color w:val="auto"/>
                <w:highlight w:val="none"/>
                <w:lang w:eastAsia="zh-CN"/>
              </w:rPr>
              <w:t>福建省福州市福清融侨经济技术开发区镜洋镇（租赁福州鼎力机械有限公司铸造车间1号）</w:t>
            </w:r>
            <w:r>
              <w:rPr>
                <w:rFonts w:hint="eastAsia"/>
                <w:color w:val="auto"/>
                <w:highlight w:val="none"/>
              </w:rPr>
              <w:t>，</w:t>
            </w:r>
            <w:r>
              <w:rPr>
                <w:rFonts w:hint="eastAsia"/>
                <w:color w:val="auto"/>
                <w:highlight w:val="none"/>
                <w:lang w:val="en-US" w:eastAsia="zh-CN"/>
              </w:rPr>
              <w:t>厂房已建设，</w:t>
            </w:r>
            <w:r>
              <w:rPr>
                <w:rFonts w:hint="eastAsia"/>
                <w:color w:val="auto"/>
                <w:highlight w:val="none"/>
              </w:rPr>
              <w:t>用地范围内无生态环境保护目标，无需进行生态现状调查。</w:t>
            </w:r>
          </w:p>
          <w:p w14:paraId="73539BEF">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地下水、土壤环境</w:t>
            </w:r>
          </w:p>
          <w:p w14:paraId="2BACDDAA">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auto"/>
                <w:highlight w:val="none"/>
              </w:rPr>
            </w:pPr>
            <w:r>
              <w:rPr>
                <w:color w:val="auto"/>
                <w:highlight w:val="none"/>
              </w:rPr>
              <w:t>根据</w:t>
            </w:r>
            <w:r>
              <w:rPr>
                <w:rFonts w:hint="eastAsia"/>
                <w:color w:val="auto"/>
                <w:highlight w:val="none"/>
              </w:rPr>
              <w:t>《建设项目环境影响报告表编制技术指南（污染影响类）</w:t>
            </w:r>
            <w:r>
              <w:rPr>
                <w:rFonts w:hint="eastAsia"/>
                <w:color w:val="auto"/>
                <w:highlight w:val="none"/>
                <w:lang w:eastAsia="zh-CN"/>
              </w:rPr>
              <w:t>（试行）》</w:t>
            </w:r>
            <w:r>
              <w:rPr>
                <w:color w:val="auto"/>
                <w:highlight w:val="none"/>
              </w:rPr>
              <w:t>中表明：原则上不开展地下水、土壤环境质量现状调查</w:t>
            </w:r>
            <w:r>
              <w:rPr>
                <w:rFonts w:hint="eastAsia"/>
                <w:color w:val="auto"/>
                <w:highlight w:val="none"/>
              </w:rPr>
              <w:t>。本项目厂区车间经分区防渗后，项目基本不会对土壤、地下水产生影响</w:t>
            </w:r>
            <w:r>
              <w:rPr>
                <w:rFonts w:hint="eastAsia"/>
                <w:color w:val="auto"/>
                <w:highlight w:val="none"/>
                <w:lang w:eastAsia="zh-CN"/>
              </w:rPr>
              <w:t>且</w:t>
            </w:r>
            <w:r>
              <w:rPr>
                <w:rFonts w:hint="eastAsia"/>
                <w:color w:val="auto"/>
                <w:highlight w:val="none"/>
              </w:rPr>
              <w:t>项目</w:t>
            </w:r>
            <w:r>
              <w:rPr>
                <w:color w:val="auto"/>
                <w:highlight w:val="none"/>
              </w:rPr>
              <w:t>厂界外500</w:t>
            </w:r>
            <w:r>
              <w:rPr>
                <w:rFonts w:hint="eastAsia"/>
                <w:color w:val="auto"/>
                <w:highlight w:val="none"/>
              </w:rPr>
              <w:t>m</w:t>
            </w:r>
            <w:r>
              <w:rPr>
                <w:color w:val="auto"/>
                <w:highlight w:val="none"/>
              </w:rPr>
              <w:t>范围内无地下水集中式饮用水水源和热水、矿泉水、泉水等特殊地下水资源。因此，本项目不</w:t>
            </w:r>
            <w:r>
              <w:rPr>
                <w:rFonts w:hint="eastAsia"/>
                <w:color w:val="auto"/>
                <w:highlight w:val="none"/>
              </w:rPr>
              <w:t>开展</w:t>
            </w:r>
            <w:r>
              <w:rPr>
                <w:color w:val="auto"/>
                <w:highlight w:val="none"/>
              </w:rPr>
              <w:t>地下水、土壤环境质量现状</w:t>
            </w:r>
            <w:r>
              <w:rPr>
                <w:rFonts w:hint="eastAsia"/>
                <w:color w:val="auto"/>
                <w:highlight w:val="none"/>
              </w:rPr>
              <w:t>调查</w:t>
            </w:r>
            <w:r>
              <w:rPr>
                <w:color w:val="auto"/>
                <w:highlight w:val="none"/>
              </w:rPr>
              <w:t>。</w:t>
            </w:r>
          </w:p>
        </w:tc>
      </w:tr>
    </w:tbl>
    <w:p w14:paraId="30917844">
      <w:pPr>
        <w:rPr>
          <w:color w:val="auto"/>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14:paraId="6018D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8" w:hRule="atLeast"/>
          <w:jc w:val="center"/>
        </w:trPr>
        <w:tc>
          <w:tcPr>
            <w:tcW w:w="800" w:type="dxa"/>
            <w:vAlign w:val="center"/>
          </w:tcPr>
          <w:p w14:paraId="23B93F5D">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14:paraId="5AA5F76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保护</w:t>
            </w:r>
          </w:p>
          <w:p w14:paraId="0A779AA7">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vAlign w:val="center"/>
          </w:tcPr>
          <w:p w14:paraId="4FF795D4">
            <w:pPr>
              <w:pStyle w:val="3"/>
              <w:numPr>
                <w:ilvl w:val="1"/>
                <w:numId w:val="1"/>
              </w:numPr>
              <w:bidi w:val="0"/>
              <w:ind w:left="0" w:leftChars="0" w:firstLine="0" w:firstLineChars="0"/>
              <w:rPr>
                <w:color w:val="auto"/>
                <w:highlight w:val="none"/>
              </w:rPr>
            </w:pPr>
            <w:bookmarkStart w:id="30" w:name="_Toc15528"/>
            <w:r>
              <w:rPr>
                <w:rFonts w:hint="eastAsia"/>
                <w:color w:val="auto"/>
                <w:highlight w:val="none"/>
              </w:rPr>
              <w:t>环境保护目标</w:t>
            </w:r>
            <w:bookmarkEnd w:id="30"/>
          </w:p>
          <w:p w14:paraId="4909E73C">
            <w:pPr>
              <w:pStyle w:val="4"/>
              <w:bidi w:val="0"/>
              <w:rPr>
                <w:rFonts w:hint="default"/>
                <w:color w:val="auto"/>
                <w:highlight w:val="none"/>
                <w:lang w:val="en-US" w:eastAsia="zh-CN"/>
              </w:rPr>
            </w:pPr>
            <w:r>
              <w:rPr>
                <w:rFonts w:hint="eastAsia"/>
                <w:color w:val="auto"/>
                <w:highlight w:val="none"/>
                <w:lang w:val="en-US" w:eastAsia="zh-CN"/>
              </w:rPr>
              <w:t>环境敏感目标</w:t>
            </w:r>
          </w:p>
          <w:p w14:paraId="3774F93B">
            <w:pPr>
              <w:pStyle w:val="46"/>
              <w:bidi w:val="0"/>
              <w:rPr>
                <w:color w:val="auto"/>
                <w:highlight w:val="none"/>
              </w:rPr>
            </w:pPr>
            <w:r>
              <w:rPr>
                <w:rFonts w:hint="default" w:ascii="Times New Roman" w:hAnsi="Times New Roman" w:cs="Times New Roman"/>
                <w:color w:val="auto"/>
                <w:highlight w:val="none"/>
                <w:lang w:val="en-US" w:eastAsia="zh-CN"/>
              </w:rPr>
              <w:t>本项目位于</w:t>
            </w:r>
            <w:r>
              <w:rPr>
                <w:rFonts w:hint="eastAsia"/>
                <w:color w:val="auto"/>
                <w:lang w:val="en-US" w:eastAsia="zh-CN"/>
              </w:rPr>
              <w:t>福建省福州市福清融侨经济技术开发区镜洋镇（租赁福州鼎力机械有限公司铸造车间1号）</w:t>
            </w:r>
            <w:r>
              <w:rPr>
                <w:rFonts w:hint="eastAsia" w:ascii="Times New Roman" w:hAnsi="Times New Roman" w:cs="Times New Roman"/>
                <w:color w:val="auto"/>
                <w:highlight w:val="none"/>
                <w:lang w:val="en-US" w:eastAsia="zh-CN"/>
              </w:rPr>
              <w:t>，</w:t>
            </w:r>
            <w:r>
              <w:rPr>
                <w:rFonts w:hint="eastAsia"/>
                <w:color w:val="auto"/>
                <w:highlight w:val="none"/>
              </w:rPr>
              <w:t>项目评价范围内不涉及自然保护区、风景名胜区、文物古迹等敏感目标。本项目周边环境敏感目标详见</w:t>
            </w:r>
            <w:r>
              <w:rPr>
                <w:rFonts w:hint="eastAsia"/>
                <w:color w:val="auto"/>
                <w:highlight w:val="none"/>
                <w:lang w:val="en-US" w:eastAsia="zh-CN"/>
              </w:rPr>
              <w:t>下表</w:t>
            </w:r>
            <w:r>
              <w:rPr>
                <w:rFonts w:hint="eastAsia"/>
                <w:color w:val="auto"/>
                <w:highlight w:val="none"/>
              </w:rPr>
              <w:t>和附图2。</w:t>
            </w:r>
          </w:p>
          <w:p w14:paraId="2DEF793E">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color w:val="auto"/>
                <w:highlight w:val="none"/>
              </w:rPr>
            </w:pPr>
            <w:bookmarkStart w:id="31" w:name="_Ref4901"/>
            <w:r>
              <w:rPr>
                <w:rFonts w:hint="eastAsia"/>
                <w:color w:val="auto"/>
                <w:highlight w:val="none"/>
              </w:rPr>
              <w:t>本项目周边环境敏感目标一览表</w:t>
            </w:r>
            <w:bookmarkEnd w:id="31"/>
          </w:p>
          <w:tbl>
            <w:tblPr>
              <w:tblStyle w:val="86"/>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52"/>
              <w:gridCol w:w="1472"/>
              <w:gridCol w:w="1658"/>
              <w:gridCol w:w="1435"/>
              <w:gridCol w:w="2454"/>
            </w:tblGrid>
            <w:tr w14:paraId="4D2A3B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597" w:type="pct"/>
                  <w:tcBorders>
                    <w:bottom w:val="single" w:color="000000" w:sz="12" w:space="0"/>
                  </w:tcBorders>
                  <w:vAlign w:val="center"/>
                </w:tcPr>
                <w:p w14:paraId="6AEBE0B4">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环境要素</w:t>
                  </w:r>
                </w:p>
              </w:tc>
              <w:tc>
                <w:tcPr>
                  <w:tcW w:w="923" w:type="pct"/>
                  <w:tcBorders>
                    <w:bottom w:val="single" w:color="000000" w:sz="12" w:space="0"/>
                  </w:tcBorders>
                  <w:vAlign w:val="center"/>
                </w:tcPr>
                <w:p w14:paraId="5466B7E9">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环境保护对象名称</w:t>
                  </w:r>
                </w:p>
              </w:tc>
              <w:tc>
                <w:tcPr>
                  <w:tcW w:w="1040" w:type="pct"/>
                  <w:tcBorders>
                    <w:bottom w:val="single" w:color="000000" w:sz="12" w:space="0"/>
                  </w:tcBorders>
                  <w:vAlign w:val="center"/>
                </w:tcPr>
                <w:p w14:paraId="1169DE91">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与项目厂界的方位和最近距离</w:t>
                  </w:r>
                </w:p>
              </w:tc>
              <w:tc>
                <w:tcPr>
                  <w:tcW w:w="900" w:type="pct"/>
                  <w:tcBorders>
                    <w:bottom w:val="single" w:color="000000" w:sz="12" w:space="0"/>
                  </w:tcBorders>
                  <w:vAlign w:val="center"/>
                </w:tcPr>
                <w:p w14:paraId="78B677CA">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基本特征</w:t>
                  </w:r>
                </w:p>
              </w:tc>
              <w:tc>
                <w:tcPr>
                  <w:tcW w:w="1539" w:type="pct"/>
                  <w:tcBorders>
                    <w:bottom w:val="single" w:color="000000" w:sz="12" w:space="0"/>
                  </w:tcBorders>
                  <w:vAlign w:val="center"/>
                </w:tcPr>
                <w:p w14:paraId="4CD03C0C">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环境功能</w:t>
                  </w:r>
                </w:p>
              </w:tc>
            </w:tr>
            <w:tr w14:paraId="11732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97" w:type="pct"/>
                  <w:vMerge w:val="restart"/>
                  <w:tcBorders>
                    <w:top w:val="single" w:color="000000" w:sz="12" w:space="0"/>
                    <w:tl2br w:val="nil"/>
                    <w:tr2bl w:val="nil"/>
                  </w:tcBorders>
                  <w:vAlign w:val="center"/>
                </w:tcPr>
                <w:p w14:paraId="314D01A7">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环境空气</w:t>
                  </w:r>
                </w:p>
              </w:tc>
              <w:tc>
                <w:tcPr>
                  <w:tcW w:w="923" w:type="pct"/>
                  <w:tcBorders>
                    <w:top w:val="single" w:color="000000" w:sz="12" w:space="0"/>
                    <w:tl2br w:val="nil"/>
                    <w:tr2bl w:val="nil"/>
                  </w:tcBorders>
                  <w:vAlign w:val="center"/>
                </w:tcPr>
                <w:p w14:paraId="1909684F">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上井</w:t>
                  </w:r>
                </w:p>
              </w:tc>
              <w:tc>
                <w:tcPr>
                  <w:tcW w:w="1040" w:type="pct"/>
                  <w:tcBorders>
                    <w:top w:val="single" w:color="000000" w:sz="12" w:space="0"/>
                    <w:tl2br w:val="nil"/>
                    <w:tr2bl w:val="nil"/>
                  </w:tcBorders>
                  <w:vAlign w:val="center"/>
                </w:tcPr>
                <w:p w14:paraId="306552F0">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北</w:t>
                  </w:r>
                  <w:r>
                    <w:rPr>
                      <w:rFonts w:hint="eastAsia" w:ascii="Times New Roman" w:hAnsi="Times New Roman" w:eastAsia="宋体" w:cs="Times New Roman"/>
                      <w:snapToGrid/>
                      <w:color w:val="auto"/>
                      <w:kern w:val="2"/>
                      <w:sz w:val="21"/>
                      <w:szCs w:val="21"/>
                      <w:lang w:val="en-US" w:eastAsia="zh-CN"/>
                    </w:rPr>
                    <w:t>侧</w:t>
                  </w:r>
                  <w:r>
                    <w:rPr>
                      <w:rFonts w:hint="eastAsia" w:cs="Times New Roman"/>
                      <w:snapToGrid/>
                      <w:color w:val="auto"/>
                      <w:kern w:val="2"/>
                      <w:sz w:val="21"/>
                      <w:szCs w:val="21"/>
                      <w:lang w:val="en-US" w:eastAsia="zh-CN"/>
                    </w:rPr>
                    <w:t>230</w:t>
                  </w:r>
                  <w:r>
                    <w:rPr>
                      <w:rFonts w:hint="eastAsia" w:ascii="Times New Roman" w:hAnsi="Times New Roman" w:eastAsia="宋体" w:cs="Times New Roman"/>
                      <w:snapToGrid/>
                      <w:color w:val="auto"/>
                      <w:kern w:val="2"/>
                      <w:sz w:val="21"/>
                      <w:szCs w:val="21"/>
                      <w:lang w:val="en-US" w:eastAsia="zh-CN"/>
                    </w:rPr>
                    <w:t>m</w:t>
                  </w:r>
                </w:p>
              </w:tc>
              <w:tc>
                <w:tcPr>
                  <w:tcW w:w="900" w:type="pct"/>
                  <w:tcBorders>
                    <w:top w:val="single" w:color="000000" w:sz="12" w:space="0"/>
                    <w:tl2br w:val="nil"/>
                    <w:tr2bl w:val="nil"/>
                  </w:tcBorders>
                  <w:vAlign w:val="center"/>
                </w:tcPr>
                <w:p w14:paraId="44B3176B">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居民区</w:t>
                  </w:r>
                </w:p>
              </w:tc>
              <w:tc>
                <w:tcPr>
                  <w:tcW w:w="1539" w:type="pct"/>
                  <w:vMerge w:val="restart"/>
                  <w:tcBorders>
                    <w:top w:val="single" w:color="000000" w:sz="12" w:space="0"/>
                    <w:tl2br w:val="nil"/>
                    <w:tr2bl w:val="nil"/>
                  </w:tcBorders>
                  <w:vAlign w:val="center"/>
                </w:tcPr>
                <w:p w14:paraId="586D5451">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《环境空气质量标准》</w:t>
                  </w:r>
                </w:p>
                <w:p w14:paraId="06163076">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GB3095-20</w:t>
                  </w:r>
                  <w:r>
                    <w:rPr>
                      <w:rFonts w:hint="eastAsia" w:cs="Times New Roman"/>
                      <w:snapToGrid/>
                      <w:color w:val="auto"/>
                      <w:kern w:val="2"/>
                      <w:sz w:val="21"/>
                      <w:szCs w:val="21"/>
                      <w:lang w:val="en-US" w:eastAsia="zh-CN"/>
                    </w:rPr>
                    <w:t>26）</w:t>
                  </w:r>
                  <w:r>
                    <w:rPr>
                      <w:rFonts w:hint="default" w:ascii="Times New Roman" w:hAnsi="Times New Roman" w:eastAsia="宋体" w:cs="Times New Roman"/>
                      <w:snapToGrid/>
                      <w:color w:val="auto"/>
                      <w:kern w:val="2"/>
                      <w:sz w:val="21"/>
                      <w:szCs w:val="21"/>
                      <w:lang w:val="en-US" w:eastAsia="zh-CN"/>
                    </w:rPr>
                    <w:t>中的二级标准</w:t>
                  </w:r>
                </w:p>
              </w:tc>
            </w:tr>
            <w:tr w14:paraId="70882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97" w:type="pct"/>
                  <w:vMerge w:val="continue"/>
                  <w:tcBorders>
                    <w:tl2br w:val="nil"/>
                    <w:tr2bl w:val="nil"/>
                  </w:tcBorders>
                  <w:vAlign w:val="center"/>
                </w:tcPr>
                <w:p w14:paraId="265C982F">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p>
              </w:tc>
              <w:tc>
                <w:tcPr>
                  <w:tcW w:w="923" w:type="pct"/>
                  <w:tcBorders>
                    <w:tl2br w:val="nil"/>
                    <w:tr2bl w:val="nil"/>
                  </w:tcBorders>
                  <w:vAlign w:val="center"/>
                </w:tcPr>
                <w:p w14:paraId="71B41B35">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过洋</w:t>
                  </w:r>
                </w:p>
              </w:tc>
              <w:tc>
                <w:tcPr>
                  <w:tcW w:w="1040" w:type="pct"/>
                  <w:tcBorders>
                    <w:tl2br w:val="nil"/>
                    <w:tr2bl w:val="nil"/>
                  </w:tcBorders>
                  <w:vAlign w:val="center"/>
                </w:tcPr>
                <w:p w14:paraId="7E4D8ED9">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东侧</w:t>
                  </w:r>
                  <w:r>
                    <w:rPr>
                      <w:rFonts w:hint="eastAsia" w:cs="Times New Roman"/>
                      <w:snapToGrid/>
                      <w:color w:val="auto"/>
                      <w:kern w:val="2"/>
                      <w:sz w:val="21"/>
                      <w:szCs w:val="21"/>
                      <w:lang w:val="en-US" w:eastAsia="zh-CN"/>
                    </w:rPr>
                    <w:t>207</w:t>
                  </w:r>
                  <w:r>
                    <w:rPr>
                      <w:rFonts w:hint="eastAsia" w:ascii="Times New Roman" w:hAnsi="Times New Roman" w:eastAsia="宋体" w:cs="Times New Roman"/>
                      <w:snapToGrid/>
                      <w:color w:val="auto"/>
                      <w:kern w:val="2"/>
                      <w:sz w:val="21"/>
                      <w:szCs w:val="21"/>
                      <w:lang w:val="en-US" w:eastAsia="zh-CN"/>
                    </w:rPr>
                    <w:t>m</w:t>
                  </w:r>
                </w:p>
              </w:tc>
              <w:tc>
                <w:tcPr>
                  <w:tcW w:w="900" w:type="pct"/>
                  <w:tcBorders>
                    <w:tl2br w:val="nil"/>
                    <w:tr2bl w:val="nil"/>
                  </w:tcBorders>
                  <w:vAlign w:val="center"/>
                </w:tcPr>
                <w:p w14:paraId="19D8C55B">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居民区</w:t>
                  </w:r>
                </w:p>
              </w:tc>
              <w:tc>
                <w:tcPr>
                  <w:tcW w:w="1539" w:type="pct"/>
                  <w:vMerge w:val="continue"/>
                  <w:tcBorders>
                    <w:tl2br w:val="nil"/>
                    <w:tr2bl w:val="nil"/>
                  </w:tcBorders>
                  <w:vAlign w:val="center"/>
                </w:tcPr>
                <w:p w14:paraId="3A7809EC">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p>
              </w:tc>
            </w:tr>
            <w:tr w14:paraId="119F3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597" w:type="pct"/>
                  <w:vMerge w:val="continue"/>
                  <w:tcBorders>
                    <w:tl2br w:val="nil"/>
                    <w:tr2bl w:val="nil"/>
                  </w:tcBorders>
                  <w:vAlign w:val="center"/>
                </w:tcPr>
                <w:p w14:paraId="0BCFB715">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p>
              </w:tc>
              <w:tc>
                <w:tcPr>
                  <w:tcW w:w="923" w:type="pct"/>
                  <w:tcBorders>
                    <w:tl2br w:val="nil"/>
                    <w:tr2bl w:val="nil"/>
                  </w:tcBorders>
                  <w:vAlign w:val="center"/>
                </w:tcPr>
                <w:p w14:paraId="6F8FCEBE">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出水村</w:t>
                  </w:r>
                </w:p>
              </w:tc>
              <w:tc>
                <w:tcPr>
                  <w:tcW w:w="1040" w:type="pct"/>
                  <w:tcBorders>
                    <w:tl2br w:val="nil"/>
                    <w:tr2bl w:val="nil"/>
                  </w:tcBorders>
                  <w:vAlign w:val="center"/>
                </w:tcPr>
                <w:p w14:paraId="6A9D12E2">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Times New Roman"/>
                      <w:snapToGrid/>
                      <w:color w:val="auto"/>
                      <w:kern w:val="2"/>
                      <w:sz w:val="21"/>
                      <w:szCs w:val="21"/>
                      <w:lang w:val="en-US" w:eastAsia="zh-CN"/>
                    </w:rPr>
                    <w:t>南侧410m</w:t>
                  </w:r>
                </w:p>
              </w:tc>
              <w:tc>
                <w:tcPr>
                  <w:tcW w:w="900" w:type="pct"/>
                  <w:tcBorders>
                    <w:tl2br w:val="nil"/>
                    <w:tr2bl w:val="nil"/>
                  </w:tcBorders>
                  <w:vAlign w:val="center"/>
                </w:tcPr>
                <w:p w14:paraId="67EA6191">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居民区</w:t>
                  </w:r>
                </w:p>
              </w:tc>
              <w:tc>
                <w:tcPr>
                  <w:tcW w:w="1539" w:type="pct"/>
                  <w:vMerge w:val="continue"/>
                  <w:tcBorders>
                    <w:tl2br w:val="nil"/>
                    <w:tr2bl w:val="nil"/>
                  </w:tcBorders>
                  <w:vAlign w:val="center"/>
                </w:tcPr>
                <w:p w14:paraId="40247101">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p>
              </w:tc>
            </w:tr>
            <w:tr w14:paraId="52BFA2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597" w:type="pct"/>
                  <w:tcBorders>
                    <w:tl2br w:val="nil"/>
                    <w:tr2bl w:val="nil"/>
                  </w:tcBorders>
                  <w:vAlign w:val="center"/>
                </w:tcPr>
                <w:p w14:paraId="1E474651">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地表水</w:t>
                  </w:r>
                </w:p>
              </w:tc>
              <w:tc>
                <w:tcPr>
                  <w:tcW w:w="923" w:type="pct"/>
                  <w:tcBorders>
                    <w:tl2br w:val="nil"/>
                    <w:tr2bl w:val="nil"/>
                  </w:tcBorders>
                  <w:vAlign w:val="center"/>
                </w:tcPr>
                <w:p w14:paraId="425B1765">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cs="宋体"/>
                      <w:color w:val="auto"/>
                      <w:sz w:val="21"/>
                      <w:szCs w:val="21"/>
                      <w:lang w:val="en-US" w:eastAsia="zh-CN"/>
                    </w:rPr>
                    <w:t>太城溪</w:t>
                  </w:r>
                </w:p>
              </w:tc>
              <w:tc>
                <w:tcPr>
                  <w:tcW w:w="1040" w:type="pct"/>
                  <w:tcBorders>
                    <w:tl2br w:val="nil"/>
                    <w:tr2bl w:val="nil"/>
                  </w:tcBorders>
                  <w:vAlign w:val="center"/>
                </w:tcPr>
                <w:p w14:paraId="746FA279">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东侧</w:t>
                  </w:r>
                  <w:r>
                    <w:rPr>
                      <w:rFonts w:hint="eastAsia" w:cs="Times New Roman"/>
                      <w:snapToGrid/>
                      <w:color w:val="auto"/>
                      <w:kern w:val="2"/>
                      <w:sz w:val="21"/>
                      <w:szCs w:val="21"/>
                      <w:lang w:val="en-US" w:eastAsia="zh-CN"/>
                    </w:rPr>
                    <w:t>166</w:t>
                  </w:r>
                  <w:r>
                    <w:rPr>
                      <w:rFonts w:hint="default" w:ascii="Times New Roman" w:hAnsi="Times New Roman" w:eastAsia="宋体" w:cs="Times New Roman"/>
                      <w:snapToGrid/>
                      <w:color w:val="auto"/>
                      <w:kern w:val="2"/>
                      <w:sz w:val="21"/>
                      <w:szCs w:val="21"/>
                      <w:lang w:val="en-US" w:eastAsia="zh-CN"/>
                    </w:rPr>
                    <w:t>m</w:t>
                  </w:r>
                </w:p>
              </w:tc>
              <w:tc>
                <w:tcPr>
                  <w:tcW w:w="900" w:type="pct"/>
                  <w:tcBorders>
                    <w:tl2br w:val="nil"/>
                    <w:tr2bl w:val="nil"/>
                  </w:tcBorders>
                  <w:vAlign w:val="center"/>
                </w:tcPr>
                <w:p w14:paraId="5D85922F">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小型河流</w:t>
                  </w:r>
                </w:p>
              </w:tc>
              <w:tc>
                <w:tcPr>
                  <w:tcW w:w="1539" w:type="pct"/>
                  <w:tcBorders>
                    <w:tl2br w:val="nil"/>
                    <w:tr2bl w:val="nil"/>
                  </w:tcBorders>
                  <w:vAlign w:val="center"/>
                </w:tcPr>
                <w:p w14:paraId="40A35E44">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《地表水环境质量标准》</w:t>
                  </w:r>
                  <w:r>
                    <w:rPr>
                      <w:rFonts w:hint="eastAsia"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GB3838-2002</w:t>
                  </w:r>
                  <w:r>
                    <w:rPr>
                      <w:rFonts w:hint="eastAsia" w:cs="Times New Roman"/>
                      <w:snapToGrid/>
                      <w:color w:val="auto"/>
                      <w:kern w:val="2"/>
                      <w:sz w:val="21"/>
                      <w:szCs w:val="21"/>
                      <w:lang w:val="en-US" w:eastAsia="zh-CN"/>
                    </w:rPr>
                    <w:t>）</w:t>
                  </w:r>
                  <w:r>
                    <w:rPr>
                      <w:rFonts w:hint="default" w:ascii="Times New Roman" w:hAnsi="Times New Roman" w:eastAsia="宋体" w:cs="Times New Roman"/>
                      <w:snapToGrid/>
                      <w:color w:val="auto"/>
                      <w:kern w:val="2"/>
                      <w:sz w:val="21"/>
                      <w:szCs w:val="21"/>
                      <w:lang w:val="en-US" w:eastAsia="zh-CN"/>
                    </w:rPr>
                    <w:t>Ⅲ类标准</w:t>
                  </w:r>
                </w:p>
              </w:tc>
            </w:tr>
            <w:tr w14:paraId="168C36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597" w:type="pct"/>
                  <w:tcBorders>
                    <w:tl2br w:val="nil"/>
                    <w:tr2bl w:val="nil"/>
                  </w:tcBorders>
                  <w:vAlign w:val="center"/>
                </w:tcPr>
                <w:p w14:paraId="5A82BCD4">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声环境</w:t>
                  </w:r>
                </w:p>
              </w:tc>
              <w:tc>
                <w:tcPr>
                  <w:tcW w:w="2863" w:type="pct"/>
                  <w:gridSpan w:val="3"/>
                  <w:tcBorders>
                    <w:tl2br w:val="nil"/>
                    <w:tr2bl w:val="nil"/>
                  </w:tcBorders>
                  <w:vAlign w:val="center"/>
                </w:tcPr>
                <w:p w14:paraId="22CB8F7A">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eastAsia" w:ascii="Times New Roman" w:hAnsi="Times New Roman" w:eastAsia="宋体" w:cs="Times New Roman"/>
                      <w:snapToGrid/>
                      <w:color w:val="auto"/>
                      <w:kern w:val="2"/>
                      <w:sz w:val="21"/>
                      <w:szCs w:val="21"/>
                      <w:lang w:val="en-US" w:eastAsia="zh-CN"/>
                    </w:rPr>
                    <w:t>厂界外50米范围内无声环境保护目标</w:t>
                  </w:r>
                </w:p>
              </w:tc>
              <w:tc>
                <w:tcPr>
                  <w:tcW w:w="1539" w:type="pct"/>
                  <w:tcBorders>
                    <w:tl2br w:val="nil"/>
                    <w:tr2bl w:val="nil"/>
                  </w:tcBorders>
                  <w:vAlign w:val="center"/>
                </w:tcPr>
                <w:p w14:paraId="65AFCB6C">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both"/>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《声环境质量标准》（GB3096-2008）中</w:t>
                  </w:r>
                  <w:r>
                    <w:rPr>
                      <w:rFonts w:hint="eastAsia" w:cs="Times New Roman"/>
                      <w:snapToGrid/>
                      <w:color w:val="auto"/>
                      <w:kern w:val="2"/>
                      <w:sz w:val="21"/>
                      <w:szCs w:val="21"/>
                      <w:lang w:val="en-US" w:eastAsia="zh-CN"/>
                    </w:rPr>
                    <w:t>3</w:t>
                  </w:r>
                  <w:r>
                    <w:rPr>
                      <w:rFonts w:hint="default" w:ascii="Times New Roman" w:hAnsi="Times New Roman" w:eastAsia="宋体" w:cs="Times New Roman"/>
                      <w:snapToGrid/>
                      <w:color w:val="auto"/>
                      <w:kern w:val="2"/>
                      <w:sz w:val="21"/>
                      <w:szCs w:val="21"/>
                      <w:lang w:val="en-US" w:eastAsia="zh-CN"/>
                    </w:rPr>
                    <w:t>类功能区标准</w:t>
                  </w:r>
                </w:p>
              </w:tc>
            </w:tr>
            <w:tr w14:paraId="561D01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597" w:type="pct"/>
                  <w:tcBorders>
                    <w:tl2br w:val="nil"/>
                    <w:tr2bl w:val="nil"/>
                  </w:tcBorders>
                  <w:vAlign w:val="center"/>
                </w:tcPr>
                <w:p w14:paraId="7AC5DE5D">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地下水</w:t>
                  </w:r>
                </w:p>
              </w:tc>
              <w:tc>
                <w:tcPr>
                  <w:tcW w:w="4402" w:type="pct"/>
                  <w:gridSpan w:val="4"/>
                  <w:tcBorders>
                    <w:tl2br w:val="nil"/>
                    <w:tr2bl w:val="nil"/>
                  </w:tcBorders>
                  <w:vAlign w:val="center"/>
                </w:tcPr>
                <w:p w14:paraId="1686754E">
                  <w:pPr>
                    <w:pStyle w:val="48"/>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ind w:right="0"/>
                    <w:jc w:val="center"/>
                    <w:textAlignment w:val="auto"/>
                    <w:rPr>
                      <w:rFonts w:hint="default" w:ascii="Times New Roman" w:hAnsi="Times New Roman" w:eastAsia="宋体" w:cs="Times New Roman"/>
                      <w:snapToGrid/>
                      <w:color w:val="auto"/>
                      <w:kern w:val="2"/>
                      <w:sz w:val="21"/>
                      <w:szCs w:val="21"/>
                      <w:lang w:val="en-US" w:eastAsia="zh-CN"/>
                    </w:rPr>
                  </w:pPr>
                  <w:r>
                    <w:rPr>
                      <w:rFonts w:hint="default" w:ascii="Times New Roman" w:hAnsi="Times New Roman" w:eastAsia="宋体" w:cs="Times New Roman"/>
                      <w:snapToGrid/>
                      <w:color w:val="auto"/>
                      <w:kern w:val="2"/>
                      <w:sz w:val="21"/>
                      <w:szCs w:val="21"/>
                      <w:lang w:val="en-US" w:eastAsia="zh-CN"/>
                    </w:rPr>
                    <w:t>项目厂界外500米范围内无地下水集中式饮用水水源和热水、矿泉水、温泉等特殊地下水资源</w:t>
                  </w:r>
                </w:p>
              </w:tc>
            </w:tr>
          </w:tbl>
          <w:p w14:paraId="08E61AE2">
            <w:pPr>
              <w:pStyle w:val="4"/>
              <w:bidi w:val="0"/>
              <w:rPr>
                <w:rFonts w:hint="default"/>
                <w:color w:val="auto"/>
                <w:lang w:val="en-US" w:eastAsia="zh-CN"/>
              </w:rPr>
            </w:pPr>
            <w:r>
              <w:rPr>
                <w:rFonts w:hint="eastAsia"/>
                <w:color w:val="auto"/>
                <w:lang w:val="en-US" w:eastAsia="zh-CN"/>
              </w:rPr>
              <w:t>生态环境保护目标</w:t>
            </w:r>
          </w:p>
          <w:p w14:paraId="37952674">
            <w:pPr>
              <w:pStyle w:val="9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cs="宋体"/>
                <w:color w:val="auto"/>
                <w:kern w:val="0"/>
                <w:szCs w:val="21"/>
                <w:highlight w:val="none"/>
              </w:rPr>
            </w:pPr>
            <w:r>
              <w:rPr>
                <w:rFonts w:hint="eastAsia" w:ascii="Times New Roman" w:hAnsi="Times New Roman" w:eastAsia="宋体" w:cs="宋体"/>
                <w:color w:val="auto"/>
                <w:kern w:val="0"/>
                <w:sz w:val="24"/>
                <w:szCs w:val="20"/>
                <w:highlight w:val="none"/>
                <w:lang w:val="en-US" w:eastAsia="zh-CN" w:bidi="ar-SA"/>
              </w:rPr>
              <w:t>根据《建设项目环境影响报告表编制技术指南</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污染影响类</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试行</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环办环评〔2020〕33号</w:t>
            </w: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“产业园区外建设项目新增用地的，应明确新增用地范围内生态环境保护目标”。本项目位于</w:t>
            </w:r>
            <w:r>
              <w:rPr>
                <w:rFonts w:hint="eastAsia" w:ascii="Times New Roman" w:hAnsi="Times New Roman" w:cs="宋体"/>
                <w:color w:val="auto"/>
                <w:kern w:val="0"/>
                <w:sz w:val="24"/>
                <w:szCs w:val="20"/>
                <w:highlight w:val="none"/>
                <w:lang w:val="en-US" w:eastAsia="zh-CN" w:bidi="ar-SA"/>
              </w:rPr>
              <w:t>福清融侨经济技术开发区</w:t>
            </w:r>
            <w:r>
              <w:rPr>
                <w:rFonts w:hint="eastAsia" w:ascii="Times New Roman" w:hAnsi="Times New Roman" w:eastAsia="宋体" w:cs="宋体"/>
                <w:color w:val="auto"/>
                <w:kern w:val="0"/>
                <w:sz w:val="24"/>
                <w:szCs w:val="20"/>
                <w:highlight w:val="none"/>
                <w:lang w:val="en-US" w:eastAsia="zh-CN" w:bidi="ar-SA"/>
              </w:rPr>
              <w:t>内，根据调查，项目评价区域主要植被为草坪、行道树等景观树种，主要动物为常见的蛙类、鸟类和昆虫类等，评价区域内无珍稀濒危物种、自然保护区、风景名胜区等生态敏感目标，调查区域也未发现国家重点保护的野生动植物等。</w:t>
            </w:r>
          </w:p>
        </w:tc>
      </w:tr>
      <w:tr w14:paraId="58A64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0" w:type="dxa"/>
            <w:tcMar>
              <w:left w:w="28" w:type="dxa"/>
              <w:right w:w="28" w:type="dxa"/>
            </w:tcMar>
            <w:vAlign w:val="center"/>
          </w:tcPr>
          <w:p w14:paraId="49B3F6F2">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污染</w:t>
            </w:r>
          </w:p>
          <w:p w14:paraId="739E4F03">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物排</w:t>
            </w:r>
          </w:p>
          <w:p w14:paraId="63D5AEEC">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放控</w:t>
            </w:r>
          </w:p>
          <w:p w14:paraId="1BB643FD">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制标</w:t>
            </w:r>
          </w:p>
          <w:p w14:paraId="1AAC2943">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vAlign w:val="center"/>
          </w:tcPr>
          <w:p w14:paraId="1701A180">
            <w:pPr>
              <w:pStyle w:val="3"/>
              <w:numPr>
                <w:ilvl w:val="1"/>
                <w:numId w:val="1"/>
              </w:numPr>
              <w:bidi w:val="0"/>
              <w:ind w:left="0" w:leftChars="0" w:firstLine="0" w:firstLineChars="0"/>
              <w:rPr>
                <w:rFonts w:hint="eastAsia"/>
                <w:color w:val="auto"/>
                <w:highlight w:val="none"/>
              </w:rPr>
            </w:pPr>
            <w:r>
              <w:rPr>
                <w:rFonts w:hint="eastAsia"/>
                <w:color w:val="auto"/>
                <w:highlight w:val="none"/>
              </w:rPr>
              <w:t>污染物排放控制标准</w:t>
            </w:r>
          </w:p>
          <w:p w14:paraId="6ED7C867">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废气排放标准</w:t>
            </w:r>
          </w:p>
          <w:p w14:paraId="55DBFBB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宋体"/>
                <w:color w:val="auto"/>
                <w:kern w:val="0"/>
                <w:sz w:val="24"/>
                <w:szCs w:val="20"/>
                <w:highlight w:val="none"/>
                <w:lang w:val="en-US" w:eastAsia="zh-CN" w:bidi="ar-SA"/>
              </w:rPr>
            </w:pPr>
            <w:bookmarkStart w:id="32" w:name="_Ref11732"/>
            <w:r>
              <w:rPr>
                <w:rFonts w:hint="default" w:ascii="Times New Roman" w:hAnsi="Times New Roman" w:eastAsia="宋体" w:cs="宋体"/>
                <w:color w:val="auto"/>
                <w:kern w:val="0"/>
                <w:sz w:val="24"/>
                <w:szCs w:val="20"/>
                <w:highlight w:val="none"/>
                <w:lang w:val="en-US" w:eastAsia="zh-CN" w:bidi="ar-SA"/>
              </w:rPr>
              <w:t>焊接</w:t>
            </w:r>
            <w:r>
              <w:rPr>
                <w:rFonts w:hint="eastAsia" w:cs="宋体"/>
                <w:color w:val="auto"/>
                <w:kern w:val="0"/>
                <w:sz w:val="24"/>
                <w:szCs w:val="20"/>
                <w:highlight w:val="none"/>
                <w:lang w:val="en-US" w:eastAsia="zh-CN" w:bidi="ar-SA"/>
              </w:rPr>
              <w:t>废气、喷粉废物</w:t>
            </w:r>
            <w:r>
              <w:rPr>
                <w:rFonts w:hint="default" w:ascii="Times New Roman" w:hAnsi="Times New Roman" w:eastAsia="宋体" w:cs="宋体"/>
                <w:color w:val="auto"/>
                <w:kern w:val="0"/>
                <w:sz w:val="24"/>
                <w:szCs w:val="20"/>
                <w:highlight w:val="none"/>
                <w:lang w:val="en-US" w:eastAsia="zh-CN" w:bidi="ar-SA"/>
              </w:rPr>
              <w:t>颗粒物排放执行《大气污染物综合排放标准》（GB 16297-1996）表2标准；电泳和</w:t>
            </w:r>
            <w:r>
              <w:rPr>
                <w:rFonts w:hint="eastAsia" w:cs="宋体"/>
                <w:color w:val="auto"/>
                <w:kern w:val="0"/>
                <w:sz w:val="24"/>
                <w:szCs w:val="20"/>
                <w:highlight w:val="none"/>
                <w:lang w:val="en-US" w:eastAsia="zh-CN" w:bidi="ar-SA"/>
              </w:rPr>
              <w:t>电泳</w:t>
            </w:r>
            <w:r>
              <w:rPr>
                <w:rFonts w:hint="default" w:ascii="Times New Roman" w:hAnsi="Times New Roman" w:eastAsia="宋体" w:cs="宋体"/>
                <w:color w:val="auto"/>
                <w:kern w:val="0"/>
                <w:sz w:val="24"/>
                <w:szCs w:val="20"/>
                <w:highlight w:val="none"/>
                <w:lang w:val="en-US" w:eastAsia="zh-CN" w:bidi="ar-SA"/>
              </w:rPr>
              <w:t>烘干</w:t>
            </w:r>
            <w:r>
              <w:rPr>
                <w:rFonts w:hint="eastAsia" w:cs="宋体"/>
                <w:color w:val="auto"/>
                <w:kern w:val="0"/>
                <w:sz w:val="24"/>
                <w:szCs w:val="20"/>
                <w:highlight w:val="none"/>
                <w:lang w:val="en-US" w:eastAsia="zh-CN" w:bidi="ar-SA"/>
              </w:rPr>
              <w:t>废气、喷粉固化废气、调漆、喷漆、喷漆固化废气</w:t>
            </w:r>
            <w:r>
              <w:rPr>
                <w:rFonts w:hint="default" w:ascii="Times New Roman" w:hAnsi="Times New Roman" w:eastAsia="宋体" w:cs="宋体"/>
                <w:color w:val="auto"/>
                <w:kern w:val="0"/>
                <w:sz w:val="24"/>
                <w:szCs w:val="20"/>
                <w:highlight w:val="none"/>
                <w:lang w:val="en-US" w:eastAsia="zh-CN" w:bidi="ar-SA"/>
              </w:rPr>
              <w:t>非甲烷总烃有组织排放执行《工业涂装工序挥发性有机物排放标准》</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DB35/1783-2018</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中表1标准限值</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同时，无组织排放的非甲烷总烃执行《工业涂装工序挥发性有机物排放标准》</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DB35/1783-2018</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中表3、表4标准限值及《挥发性有机物无组织排放控制标准》</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GB 37822-2019</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中附录A表A.1标准限值；</w:t>
            </w:r>
            <w:r>
              <w:rPr>
                <w:rFonts w:hint="eastAsia" w:cs="宋体"/>
                <w:color w:val="auto"/>
                <w:kern w:val="0"/>
                <w:sz w:val="24"/>
                <w:szCs w:val="20"/>
                <w:highlight w:val="none"/>
                <w:lang w:val="en-US" w:eastAsia="zh-CN" w:bidi="ar-SA"/>
              </w:rPr>
              <w:t>天然气燃烧废气</w:t>
            </w:r>
            <w:r>
              <w:rPr>
                <w:rFonts w:hint="default" w:ascii="Times New Roman" w:hAnsi="Times New Roman" w:eastAsia="宋体" w:cs="宋体"/>
                <w:color w:val="auto"/>
                <w:kern w:val="0"/>
                <w:sz w:val="24"/>
                <w:szCs w:val="20"/>
                <w:highlight w:val="none"/>
                <w:lang w:val="en-US" w:eastAsia="zh-CN" w:bidi="ar-SA"/>
              </w:rPr>
              <w:t>烟（粉）尘、二氧化硫、氮氧化物</w:t>
            </w:r>
            <w:r>
              <w:rPr>
                <w:rFonts w:hint="eastAsia" w:cs="宋体"/>
                <w:color w:val="auto"/>
                <w:kern w:val="0"/>
                <w:sz w:val="24"/>
                <w:szCs w:val="20"/>
                <w:highlight w:val="none"/>
                <w:lang w:val="en-US" w:eastAsia="zh-CN" w:bidi="ar-SA"/>
              </w:rPr>
              <w:t>、林格曼黑度</w:t>
            </w:r>
            <w:r>
              <w:rPr>
                <w:rFonts w:hint="default" w:ascii="Times New Roman" w:hAnsi="Times New Roman" w:eastAsia="宋体" w:cs="宋体"/>
                <w:color w:val="auto"/>
                <w:kern w:val="0"/>
                <w:sz w:val="24"/>
                <w:szCs w:val="20"/>
                <w:highlight w:val="none"/>
                <w:lang w:val="en-US" w:eastAsia="zh-CN" w:bidi="ar-SA"/>
              </w:rPr>
              <w:t>排放标准执行《福建省工业炉窑大气污染综合治理方案》（闽环保大气〔2019〕10号）中明确规定的重点区域限值</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鉴于该方案未对燃烧废气烟气黑度进行规定，烟气黑度参照执行《工业炉窑大气污染物排放标准》（GB9078-1996）表2标准限值</w:t>
            </w:r>
            <w:r>
              <w:rPr>
                <w:rFonts w:hint="eastAsia" w:cs="宋体"/>
                <w:color w:val="auto"/>
                <w:kern w:val="0"/>
                <w:sz w:val="24"/>
                <w:szCs w:val="20"/>
                <w:highlight w:val="none"/>
                <w:lang w:val="en-US" w:eastAsia="zh-CN" w:bidi="ar-SA"/>
              </w:rPr>
              <w:t>；</w:t>
            </w:r>
            <w:r>
              <w:rPr>
                <w:rFonts w:hint="default" w:ascii="Times New Roman" w:hAnsi="Times New Roman" w:eastAsia="宋体" w:cs="宋体"/>
                <w:color w:val="auto"/>
                <w:kern w:val="0"/>
                <w:sz w:val="24"/>
                <w:szCs w:val="20"/>
                <w:highlight w:val="none"/>
                <w:lang w:val="en-US" w:eastAsia="zh-CN" w:bidi="ar-SA"/>
              </w:rPr>
              <w:t>氨、硫化氢和臭气浓度排放执行《恶臭污染物排放标准》（GB14554-93）表1标准，详见下表。</w:t>
            </w:r>
          </w:p>
          <w:p w14:paraId="6AFFD4F9">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大气污染物排放限值</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247"/>
              <w:gridCol w:w="1192"/>
              <w:gridCol w:w="852"/>
              <w:gridCol w:w="1242"/>
              <w:gridCol w:w="2393"/>
            </w:tblGrid>
            <w:tr w14:paraId="538EB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pct"/>
                  <w:tcBorders>
                    <w:bottom w:val="single" w:color="000000" w:sz="12" w:space="0"/>
                    <w:tl2br w:val="nil"/>
                    <w:tr2bl w:val="nil"/>
                  </w:tcBorders>
                  <w:shd w:val="clear" w:color="auto" w:fill="auto"/>
                  <w:vAlign w:val="center"/>
                </w:tcPr>
                <w:p w14:paraId="71C0E9C4">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排气筒编号</w:t>
                  </w:r>
                </w:p>
              </w:tc>
              <w:tc>
                <w:tcPr>
                  <w:tcW w:w="783" w:type="pct"/>
                  <w:tcBorders>
                    <w:bottom w:val="single" w:color="000000" w:sz="12" w:space="0"/>
                    <w:tl2br w:val="nil"/>
                    <w:tr2bl w:val="nil"/>
                  </w:tcBorders>
                  <w:shd w:val="clear" w:color="auto" w:fill="auto"/>
                  <w:vAlign w:val="center"/>
                </w:tcPr>
                <w:p w14:paraId="232ECFD7">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rPr>
                    <w:t>污染物</w:t>
                  </w:r>
                </w:p>
              </w:tc>
              <w:tc>
                <w:tcPr>
                  <w:tcW w:w="747" w:type="pct"/>
                  <w:tcBorders>
                    <w:bottom w:val="single" w:color="000000" w:sz="12" w:space="0"/>
                    <w:tl2br w:val="nil"/>
                    <w:tr2bl w:val="nil"/>
                  </w:tcBorders>
                  <w:shd w:val="clear" w:color="auto" w:fill="auto"/>
                  <w:vAlign w:val="center"/>
                </w:tcPr>
                <w:p w14:paraId="2095AACA">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rPr>
                    <w:t>最高允许排放浓度（mg/</w:t>
                  </w:r>
                  <w:r>
                    <w:rPr>
                      <w:rFonts w:ascii="Times New Roman" w:hAnsi="Times New Roman" w:eastAsia="Times New Roman"/>
                      <w:color w:val="auto"/>
                      <w:spacing w:val="0"/>
                      <w:sz w:val="21"/>
                    </w:rPr>
                    <w:t>m</w:t>
                  </w:r>
                  <w:r>
                    <w:rPr>
                      <w:rFonts w:ascii="Times New Roman" w:hAnsi="Times New Roman" w:eastAsia="Times New Roman"/>
                      <w:color w:val="auto"/>
                      <w:spacing w:val="0"/>
                      <w:position w:val="7"/>
                      <w:sz w:val="13"/>
                    </w:rPr>
                    <w:t>3</w:t>
                  </w:r>
                  <w:r>
                    <w:rPr>
                      <w:rFonts w:hint="default" w:ascii="Times New Roman" w:hAnsi="Times New Roman" w:eastAsia="宋体" w:cs="Times New Roman"/>
                      <w:color w:val="auto"/>
                      <w:spacing w:val="0"/>
                      <w:sz w:val="21"/>
                      <w:szCs w:val="21"/>
                    </w:rPr>
                    <w:t>）</w:t>
                  </w:r>
                </w:p>
              </w:tc>
              <w:tc>
                <w:tcPr>
                  <w:tcW w:w="535" w:type="pct"/>
                  <w:tcBorders>
                    <w:bottom w:val="single" w:color="000000" w:sz="12" w:space="0"/>
                    <w:tl2br w:val="nil"/>
                    <w:tr2bl w:val="nil"/>
                  </w:tcBorders>
                  <w:shd w:val="clear" w:color="auto" w:fill="auto"/>
                  <w:vAlign w:val="center"/>
                </w:tcPr>
                <w:p w14:paraId="062536B0">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rPr>
                    <w:t>排气筒高度（m）</w:t>
                  </w:r>
                </w:p>
              </w:tc>
              <w:tc>
                <w:tcPr>
                  <w:tcW w:w="779" w:type="pct"/>
                  <w:tcBorders>
                    <w:bottom w:val="single" w:color="000000" w:sz="12" w:space="0"/>
                    <w:tl2br w:val="nil"/>
                    <w:tr2bl w:val="nil"/>
                  </w:tcBorders>
                  <w:shd w:val="clear" w:color="auto" w:fill="auto"/>
                  <w:vAlign w:val="center"/>
                </w:tcPr>
                <w:p w14:paraId="514B963C">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rPr>
                    <w:t>最高允许排放速率（kg/h）</w:t>
                  </w:r>
                </w:p>
              </w:tc>
              <w:tc>
                <w:tcPr>
                  <w:tcW w:w="1499" w:type="pct"/>
                  <w:tcBorders>
                    <w:bottom w:val="single" w:color="000000" w:sz="12" w:space="0"/>
                    <w:tl2br w:val="nil"/>
                    <w:tr2bl w:val="nil"/>
                  </w:tcBorders>
                  <w:shd w:val="clear" w:color="auto" w:fill="auto"/>
                  <w:vAlign w:val="center"/>
                </w:tcPr>
                <w:p w14:paraId="79E78050">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标准</w:t>
                  </w:r>
                  <w:r>
                    <w:rPr>
                      <w:rFonts w:hint="eastAsia" w:ascii="Times New Roman" w:hAnsi="Times New Roman" w:cs="Times New Roman"/>
                      <w:color w:val="auto"/>
                      <w:spacing w:val="0"/>
                      <w:sz w:val="21"/>
                      <w:szCs w:val="21"/>
                      <w:lang w:val="en-US" w:eastAsia="zh-CN"/>
                    </w:rPr>
                    <w:t>来源</w:t>
                  </w:r>
                </w:p>
              </w:tc>
            </w:tr>
            <w:tr w14:paraId="63D36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pct"/>
                  <w:tcBorders>
                    <w:top w:val="single" w:color="000000" w:sz="12" w:space="0"/>
                    <w:bottom w:val="single" w:color="000000" w:sz="4" w:space="0"/>
                  </w:tcBorders>
                  <w:shd w:val="clear" w:color="auto" w:fill="auto"/>
                  <w:vAlign w:val="center"/>
                </w:tcPr>
                <w:p w14:paraId="70B80387">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DA00</w:t>
                  </w:r>
                  <w:r>
                    <w:rPr>
                      <w:rFonts w:hint="eastAsia" w:ascii="Times New Roman" w:hAnsi="Times New Roman" w:eastAsia="宋体" w:cs="Times New Roman"/>
                      <w:color w:val="auto"/>
                      <w:spacing w:val="0"/>
                      <w:sz w:val="21"/>
                      <w:szCs w:val="21"/>
                      <w:lang w:val="en-US" w:eastAsia="zh-CN"/>
                    </w:rPr>
                    <w:t>1、DA00</w:t>
                  </w:r>
                  <w:r>
                    <w:rPr>
                      <w:rFonts w:hint="eastAsia" w:ascii="Times New Roman" w:hAnsi="Times New Roman" w:cs="Times New Roman"/>
                      <w:color w:val="auto"/>
                      <w:spacing w:val="0"/>
                      <w:sz w:val="21"/>
                      <w:szCs w:val="21"/>
                      <w:lang w:val="en-US" w:eastAsia="zh-CN"/>
                    </w:rPr>
                    <w:t>2</w:t>
                  </w:r>
                </w:p>
              </w:tc>
              <w:tc>
                <w:tcPr>
                  <w:tcW w:w="783" w:type="pct"/>
                  <w:tcBorders>
                    <w:top w:val="single" w:color="000000" w:sz="12" w:space="0"/>
                    <w:bottom w:val="single" w:color="000000" w:sz="4" w:space="0"/>
                  </w:tcBorders>
                  <w:shd w:val="clear" w:color="auto" w:fill="auto"/>
                  <w:vAlign w:val="center"/>
                </w:tcPr>
                <w:p w14:paraId="3645FCD3">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非甲烷总烃</w:t>
                  </w:r>
                </w:p>
              </w:tc>
              <w:tc>
                <w:tcPr>
                  <w:tcW w:w="747" w:type="pct"/>
                  <w:tcBorders>
                    <w:top w:val="single" w:color="000000" w:sz="12" w:space="0"/>
                    <w:bottom w:val="single" w:color="000000" w:sz="4" w:space="0"/>
                  </w:tcBorders>
                  <w:shd w:val="clear" w:color="auto" w:fill="auto"/>
                  <w:vAlign w:val="center"/>
                </w:tcPr>
                <w:p w14:paraId="27313568">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pacing w:val="-2"/>
                      <w:sz w:val="21"/>
                      <w:szCs w:val="21"/>
                    </w:rPr>
                    <w:t>60</w:t>
                  </w:r>
                </w:p>
              </w:tc>
              <w:tc>
                <w:tcPr>
                  <w:tcW w:w="535" w:type="pct"/>
                  <w:tcBorders>
                    <w:top w:val="single" w:color="000000" w:sz="12" w:space="0"/>
                    <w:bottom w:val="single" w:color="000000" w:sz="4" w:space="0"/>
                  </w:tcBorders>
                  <w:shd w:val="clear" w:color="auto" w:fill="auto"/>
                  <w:vAlign w:val="center"/>
                </w:tcPr>
                <w:p w14:paraId="0C44E7AB">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pacing w:val="-5"/>
                      <w:sz w:val="21"/>
                      <w:szCs w:val="21"/>
                    </w:rPr>
                    <w:t>15</w:t>
                  </w:r>
                </w:p>
              </w:tc>
              <w:tc>
                <w:tcPr>
                  <w:tcW w:w="779" w:type="pct"/>
                  <w:tcBorders>
                    <w:top w:val="single" w:color="000000" w:sz="12" w:space="0"/>
                    <w:bottom w:val="single" w:color="000000" w:sz="4" w:space="0"/>
                  </w:tcBorders>
                  <w:shd w:val="clear" w:color="auto" w:fill="auto"/>
                  <w:vAlign w:val="center"/>
                </w:tcPr>
                <w:p w14:paraId="13FC78F4">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pacing w:val="-2"/>
                      <w:sz w:val="21"/>
                      <w:szCs w:val="21"/>
                    </w:rPr>
                    <w:t>2.5</w:t>
                  </w:r>
                </w:p>
              </w:tc>
              <w:tc>
                <w:tcPr>
                  <w:tcW w:w="1499" w:type="pct"/>
                  <w:tcBorders>
                    <w:top w:val="single" w:color="000000" w:sz="12" w:space="0"/>
                    <w:bottom w:val="single" w:color="000000" w:sz="4" w:space="0"/>
                  </w:tcBorders>
                  <w:shd w:val="clear" w:color="auto" w:fill="auto"/>
                  <w:vAlign w:val="center"/>
                </w:tcPr>
                <w:p w14:paraId="31D332F6">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z w:val="21"/>
                      <w:szCs w:val="21"/>
                      <w:highlight w:val="none"/>
                      <w:lang w:val="en-US" w:eastAsia="zh-CN"/>
                    </w:rPr>
                    <w:t>《工业涂装工序挥发性有机物排放标准》</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DB35/1783-2018</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表1涉涂装工序的其它行业</w:t>
                  </w:r>
                </w:p>
              </w:tc>
            </w:tr>
            <w:tr w14:paraId="06B86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pct"/>
                  <w:vMerge w:val="restart"/>
                  <w:tcBorders>
                    <w:tl2br w:val="nil"/>
                    <w:tr2bl w:val="nil"/>
                  </w:tcBorders>
                  <w:shd w:val="clear" w:color="auto" w:fill="auto"/>
                  <w:vAlign w:val="center"/>
                </w:tcPr>
                <w:p w14:paraId="66575A2B">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DA00</w:t>
                  </w:r>
                  <w:r>
                    <w:rPr>
                      <w:rFonts w:hint="eastAsia" w:ascii="Times New Roman" w:hAnsi="Times New Roman" w:eastAsia="宋体" w:cs="Times New Roman"/>
                      <w:color w:val="auto"/>
                      <w:spacing w:val="0"/>
                      <w:sz w:val="21"/>
                      <w:szCs w:val="21"/>
                      <w:lang w:val="en-US" w:eastAsia="zh-CN"/>
                    </w:rPr>
                    <w:t>1、</w:t>
                  </w:r>
                  <w:r>
                    <w:rPr>
                      <w:rFonts w:hint="eastAsia" w:ascii="Times New Roman" w:hAnsi="Times New Roman" w:cs="Times New Roman"/>
                      <w:color w:val="auto"/>
                      <w:spacing w:val="0"/>
                      <w:sz w:val="21"/>
                      <w:szCs w:val="21"/>
                      <w:lang w:val="en-US" w:eastAsia="zh-CN"/>
                    </w:rPr>
                    <w:t>DA003</w:t>
                  </w:r>
                </w:p>
              </w:tc>
              <w:tc>
                <w:tcPr>
                  <w:tcW w:w="783" w:type="pct"/>
                  <w:tcBorders>
                    <w:tl2br w:val="nil"/>
                    <w:tr2bl w:val="nil"/>
                  </w:tcBorders>
                  <w:shd w:val="clear" w:color="auto" w:fill="auto"/>
                  <w:vAlign w:val="center"/>
                </w:tcPr>
                <w:p w14:paraId="2A1E9E1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颗粒物</w:t>
                  </w:r>
                </w:p>
              </w:tc>
              <w:tc>
                <w:tcPr>
                  <w:tcW w:w="747" w:type="pct"/>
                  <w:tcBorders>
                    <w:tl2br w:val="nil"/>
                    <w:tr2bl w:val="nil"/>
                  </w:tcBorders>
                  <w:shd w:val="clear" w:color="auto" w:fill="auto"/>
                  <w:vAlign w:val="center"/>
                </w:tcPr>
                <w:p w14:paraId="3B45187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val="en-US" w:eastAsia="zh-CN"/>
                    </w:rPr>
                    <w:t>30</w:t>
                  </w:r>
                </w:p>
              </w:tc>
              <w:tc>
                <w:tcPr>
                  <w:tcW w:w="535" w:type="pct"/>
                  <w:tcBorders>
                    <w:tl2br w:val="nil"/>
                    <w:tr2bl w:val="nil"/>
                  </w:tcBorders>
                  <w:shd w:val="clear" w:color="auto" w:fill="auto"/>
                  <w:vAlign w:val="center"/>
                </w:tcPr>
                <w:p w14:paraId="05465C7A">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779" w:type="pct"/>
                  <w:tcBorders>
                    <w:tl2br w:val="nil"/>
                    <w:tr2bl w:val="nil"/>
                  </w:tcBorders>
                  <w:shd w:val="clear" w:color="auto" w:fill="auto"/>
                  <w:vAlign w:val="center"/>
                </w:tcPr>
                <w:p w14:paraId="3370FCAF">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1499" w:type="pct"/>
                  <w:vMerge w:val="restart"/>
                  <w:tcBorders>
                    <w:tl2br w:val="nil"/>
                    <w:tr2bl w:val="nil"/>
                  </w:tcBorders>
                  <w:shd w:val="clear" w:color="auto" w:fill="auto"/>
                  <w:vAlign w:val="center"/>
                </w:tcPr>
                <w:p w14:paraId="0FDC5E7F">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eastAsia" w:ascii="Times New Roman" w:hAnsi="Times New Roman" w:eastAsia="宋体" w:cs="Times New Roman"/>
                      <w:color w:val="auto"/>
                      <w:highlight w:val="none"/>
                      <w:lang w:val="en-US" w:eastAsia="zh-CN"/>
                    </w:rPr>
                    <w:t>《福建省工业炉窑大气污染综合治理方案》（闽环保大气〔2019〕10号）中明确规定的重点区域限值</w:t>
                  </w:r>
                  <w:r>
                    <w:rPr>
                      <w:rFonts w:hint="eastAsia" w:ascii="Times New Roman" w:hAnsi="Times New Roman" w:eastAsia="宋体" w:cs="Times New Roman"/>
                      <w:color w:val="auto"/>
                      <w:highlight w:val="none"/>
                      <w:lang w:eastAsia="zh-CN"/>
                    </w:rPr>
                    <w:t>；</w:t>
                  </w:r>
                </w:p>
              </w:tc>
            </w:tr>
            <w:tr w14:paraId="3EA6A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pct"/>
                  <w:vMerge w:val="continue"/>
                  <w:tcBorders>
                    <w:tl2br w:val="nil"/>
                    <w:tr2bl w:val="nil"/>
                  </w:tcBorders>
                  <w:shd w:val="clear" w:color="auto" w:fill="auto"/>
                  <w:vAlign w:val="center"/>
                </w:tcPr>
                <w:p w14:paraId="0B98CDD3">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c>
                <w:tcPr>
                  <w:tcW w:w="783" w:type="pct"/>
                  <w:tcBorders>
                    <w:tl2br w:val="nil"/>
                    <w:tr2bl w:val="nil"/>
                  </w:tcBorders>
                  <w:shd w:val="clear" w:color="auto" w:fill="auto"/>
                  <w:vAlign w:val="center"/>
                </w:tcPr>
                <w:p w14:paraId="4050DE6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二氧化硫</w:t>
                  </w:r>
                </w:p>
              </w:tc>
              <w:tc>
                <w:tcPr>
                  <w:tcW w:w="747" w:type="pct"/>
                  <w:tcBorders>
                    <w:tl2br w:val="nil"/>
                    <w:tr2bl w:val="nil"/>
                  </w:tcBorders>
                  <w:shd w:val="clear" w:color="auto" w:fill="auto"/>
                  <w:vAlign w:val="center"/>
                </w:tcPr>
                <w:p w14:paraId="4EEC66E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val="en-US" w:eastAsia="zh-CN"/>
                    </w:rPr>
                    <w:t>200</w:t>
                  </w:r>
                </w:p>
              </w:tc>
              <w:tc>
                <w:tcPr>
                  <w:tcW w:w="535" w:type="pct"/>
                  <w:tcBorders>
                    <w:tl2br w:val="nil"/>
                    <w:tr2bl w:val="nil"/>
                  </w:tcBorders>
                  <w:shd w:val="clear" w:color="auto" w:fill="auto"/>
                  <w:vAlign w:val="center"/>
                </w:tcPr>
                <w:p w14:paraId="57E98617">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779" w:type="pct"/>
                  <w:tcBorders>
                    <w:tl2br w:val="nil"/>
                    <w:tr2bl w:val="nil"/>
                  </w:tcBorders>
                  <w:shd w:val="clear" w:color="auto" w:fill="auto"/>
                  <w:vAlign w:val="center"/>
                </w:tcPr>
                <w:p w14:paraId="70A69316">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1499" w:type="pct"/>
                  <w:vMerge w:val="continue"/>
                  <w:tcBorders>
                    <w:tl2br w:val="nil"/>
                    <w:tr2bl w:val="nil"/>
                  </w:tcBorders>
                  <w:shd w:val="clear" w:color="auto" w:fill="auto"/>
                  <w:vAlign w:val="center"/>
                </w:tcPr>
                <w:p w14:paraId="4CBC53FE">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r>
            <w:tr w14:paraId="77B5E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pct"/>
                  <w:vMerge w:val="continue"/>
                  <w:tcBorders>
                    <w:tl2br w:val="nil"/>
                    <w:tr2bl w:val="nil"/>
                  </w:tcBorders>
                  <w:shd w:val="clear" w:color="auto" w:fill="auto"/>
                  <w:vAlign w:val="center"/>
                </w:tcPr>
                <w:p w14:paraId="12D51DFE">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c>
                <w:tcPr>
                  <w:tcW w:w="783" w:type="pct"/>
                  <w:tcBorders>
                    <w:tl2br w:val="nil"/>
                    <w:tr2bl w:val="nil"/>
                  </w:tcBorders>
                  <w:shd w:val="clear" w:color="auto" w:fill="auto"/>
                  <w:vAlign w:val="center"/>
                </w:tcPr>
                <w:p w14:paraId="201FECD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氮氧化物</w:t>
                  </w:r>
                </w:p>
              </w:tc>
              <w:tc>
                <w:tcPr>
                  <w:tcW w:w="747" w:type="pct"/>
                  <w:tcBorders>
                    <w:tl2br w:val="nil"/>
                    <w:tr2bl w:val="nil"/>
                  </w:tcBorders>
                  <w:shd w:val="clear" w:color="auto" w:fill="auto"/>
                  <w:vAlign w:val="center"/>
                </w:tcPr>
                <w:p w14:paraId="3012866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val="en-US" w:eastAsia="zh-CN"/>
                    </w:rPr>
                    <w:t>300</w:t>
                  </w:r>
                </w:p>
              </w:tc>
              <w:tc>
                <w:tcPr>
                  <w:tcW w:w="535" w:type="pct"/>
                  <w:tcBorders>
                    <w:tl2br w:val="nil"/>
                    <w:tr2bl w:val="nil"/>
                  </w:tcBorders>
                  <w:shd w:val="clear" w:color="auto" w:fill="auto"/>
                  <w:vAlign w:val="center"/>
                </w:tcPr>
                <w:p w14:paraId="6C98453D">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779" w:type="pct"/>
                  <w:tcBorders>
                    <w:tl2br w:val="nil"/>
                    <w:tr2bl w:val="nil"/>
                  </w:tcBorders>
                  <w:shd w:val="clear" w:color="auto" w:fill="auto"/>
                  <w:vAlign w:val="center"/>
                </w:tcPr>
                <w:p w14:paraId="635C851F">
                  <w:pPr>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1499" w:type="pct"/>
                  <w:vMerge w:val="continue"/>
                  <w:tcBorders>
                    <w:tl2br w:val="nil"/>
                    <w:tr2bl w:val="nil"/>
                  </w:tcBorders>
                  <w:shd w:val="clear" w:color="auto" w:fill="auto"/>
                  <w:vAlign w:val="center"/>
                </w:tcPr>
                <w:p w14:paraId="0704CA68">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r>
            <w:tr w14:paraId="1C980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pct"/>
                  <w:vMerge w:val="continue"/>
                  <w:tcBorders>
                    <w:tl2br w:val="nil"/>
                    <w:tr2bl w:val="nil"/>
                  </w:tcBorders>
                  <w:shd w:val="clear" w:color="auto" w:fill="auto"/>
                  <w:vAlign w:val="center"/>
                </w:tcPr>
                <w:p w14:paraId="774CF663">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p>
              </w:tc>
              <w:tc>
                <w:tcPr>
                  <w:tcW w:w="783" w:type="pct"/>
                  <w:tcBorders>
                    <w:tl2br w:val="nil"/>
                    <w:tr2bl w:val="nil"/>
                  </w:tcBorders>
                  <w:shd w:val="clear" w:color="auto" w:fill="auto"/>
                  <w:vAlign w:val="center"/>
                </w:tcPr>
                <w:p w14:paraId="36C6AF5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烟气黑度</w:t>
                  </w:r>
                </w:p>
              </w:tc>
              <w:tc>
                <w:tcPr>
                  <w:tcW w:w="747" w:type="pct"/>
                  <w:tcBorders>
                    <w:tl2br w:val="nil"/>
                    <w:tr2bl w:val="nil"/>
                  </w:tcBorders>
                  <w:shd w:val="clear" w:color="auto" w:fill="auto"/>
                  <w:vAlign w:val="center"/>
                </w:tcPr>
                <w:p w14:paraId="671A9B0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Times New Roman"/>
                      <w:color w:val="auto"/>
                      <w:spacing w:val="0"/>
                      <w:sz w:val="21"/>
                      <w:szCs w:val="21"/>
                      <w:lang w:val="en-US" w:eastAsia="zh-CN"/>
                    </w:rPr>
                  </w:pPr>
                  <w:r>
                    <w:rPr>
                      <w:rFonts w:hint="eastAsia" w:cs="Times New Roman"/>
                      <w:color w:val="auto"/>
                      <w:spacing w:val="0"/>
                      <w:sz w:val="21"/>
                      <w:szCs w:val="21"/>
                      <w:lang w:val="en-US" w:eastAsia="zh-CN"/>
                    </w:rPr>
                    <w:t>≤1级（林格曼黑度）</w:t>
                  </w:r>
                </w:p>
              </w:tc>
              <w:tc>
                <w:tcPr>
                  <w:tcW w:w="535" w:type="pct"/>
                  <w:tcBorders>
                    <w:tl2br w:val="nil"/>
                    <w:tr2bl w:val="nil"/>
                  </w:tcBorders>
                  <w:shd w:val="clear" w:color="auto" w:fill="auto"/>
                  <w:vAlign w:val="center"/>
                </w:tcPr>
                <w:p w14:paraId="2AA3D101">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779" w:type="pct"/>
                  <w:tcBorders>
                    <w:tl2br w:val="nil"/>
                    <w:tr2bl w:val="nil"/>
                  </w:tcBorders>
                  <w:shd w:val="clear" w:color="auto" w:fill="auto"/>
                  <w:vAlign w:val="center"/>
                </w:tcPr>
                <w:p w14:paraId="55AE2520">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kern w:val="0"/>
                      <w:sz w:val="21"/>
                      <w:szCs w:val="21"/>
                      <w:lang w:val="en-US" w:eastAsia="zh-CN" w:bidi="ar"/>
                    </w:rPr>
                    <w:t>/</w:t>
                  </w:r>
                </w:p>
              </w:tc>
              <w:tc>
                <w:tcPr>
                  <w:tcW w:w="1499" w:type="pct"/>
                  <w:tcBorders>
                    <w:tl2br w:val="nil"/>
                    <w:tr2bl w:val="nil"/>
                  </w:tcBorders>
                  <w:shd w:val="clear" w:color="auto" w:fill="auto"/>
                  <w:vAlign w:val="center"/>
                </w:tcPr>
                <w:p w14:paraId="0819E938">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kern w:val="2"/>
                      <w:sz w:val="21"/>
                      <w:szCs w:val="21"/>
                      <w:lang w:val="en-US" w:eastAsia="zh-CN" w:bidi="zh-CN"/>
                    </w:rPr>
                    <w:t>《工业炉窑大气污染物排放标准》（GB9078-1996）表2标准限值</w:t>
                  </w:r>
                  <w:r>
                    <w:rPr>
                      <w:rFonts w:hint="default" w:ascii="Times New Roman" w:hAnsi="Times New Roman" w:eastAsia="宋体" w:cs="Times New Roman"/>
                      <w:color w:val="auto"/>
                      <w:spacing w:val="0"/>
                      <w:kern w:val="2"/>
                      <w:sz w:val="21"/>
                      <w:szCs w:val="21"/>
                      <w:lang w:val="en-US" w:eastAsia="zh-CN" w:bidi="zh-CN"/>
                    </w:rPr>
                    <w:fldChar w:fldCharType="begin"/>
                  </w:r>
                  <w:r>
                    <w:rPr>
                      <w:rFonts w:hint="default" w:ascii="Times New Roman" w:hAnsi="Times New Roman" w:eastAsia="宋体" w:cs="Times New Roman"/>
                      <w:color w:val="auto"/>
                      <w:spacing w:val="0"/>
                      <w:kern w:val="2"/>
                      <w:sz w:val="21"/>
                      <w:szCs w:val="21"/>
                      <w:lang w:val="en-US" w:eastAsia="zh-CN" w:bidi="zh-CN"/>
                    </w:rPr>
                    <w:instrText xml:space="preserve"> HYPERLINK "https://www.nanan.gov.cn/zwgk/zfxxgkzdgz/hjbh/jsxmhjyxpj/202602/t20260202_3263812.htm" \t "https://www.kimi.com/chat/_blank" </w:instrText>
                  </w:r>
                  <w:r>
                    <w:rPr>
                      <w:rFonts w:hint="default" w:ascii="Times New Roman" w:hAnsi="Times New Roman" w:eastAsia="宋体" w:cs="Times New Roman"/>
                      <w:color w:val="auto"/>
                      <w:spacing w:val="0"/>
                      <w:kern w:val="2"/>
                      <w:sz w:val="21"/>
                      <w:szCs w:val="21"/>
                      <w:lang w:val="en-US" w:eastAsia="zh-CN" w:bidi="zh-CN"/>
                    </w:rPr>
                    <w:fldChar w:fldCharType="separate"/>
                  </w:r>
                  <w:r>
                    <w:rPr>
                      <w:rFonts w:hint="default" w:ascii="Times New Roman" w:hAnsi="Times New Roman" w:eastAsia="宋体" w:cs="Times New Roman"/>
                      <w:color w:val="auto"/>
                      <w:spacing w:val="0"/>
                      <w:kern w:val="2"/>
                      <w:sz w:val="21"/>
                      <w:szCs w:val="21"/>
                      <w:lang w:val="en-US" w:eastAsia="zh-CN" w:bidi="zh-CN"/>
                    </w:rPr>
                    <w:fldChar w:fldCharType="end"/>
                  </w:r>
                </w:p>
              </w:tc>
            </w:tr>
            <w:tr w14:paraId="75B84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pct"/>
                  <w:shd w:val="clear" w:color="auto" w:fill="auto"/>
                  <w:vAlign w:val="center"/>
                </w:tcPr>
                <w:p w14:paraId="25F24682">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zh-CN"/>
                    </w:rPr>
                  </w:pPr>
                  <w:r>
                    <w:rPr>
                      <w:rFonts w:hint="default" w:ascii="Times New Roman" w:hAnsi="Times New Roman" w:eastAsia="宋体" w:cs="Times New Roman"/>
                      <w:color w:val="auto"/>
                      <w:spacing w:val="0"/>
                      <w:sz w:val="21"/>
                      <w:szCs w:val="21"/>
                      <w:lang w:val="en-US" w:eastAsia="zh-CN"/>
                    </w:rPr>
                    <w:t>DA00</w:t>
                  </w:r>
                  <w:r>
                    <w:rPr>
                      <w:rFonts w:hint="eastAsia" w:ascii="Times New Roman" w:hAnsi="Times New Roman" w:eastAsia="宋体" w:cs="Times New Roman"/>
                      <w:color w:val="auto"/>
                      <w:spacing w:val="0"/>
                      <w:sz w:val="21"/>
                      <w:szCs w:val="21"/>
                      <w:lang w:val="en-US" w:eastAsia="zh-CN"/>
                    </w:rPr>
                    <w:t>2</w:t>
                  </w:r>
                </w:p>
              </w:tc>
              <w:tc>
                <w:tcPr>
                  <w:tcW w:w="783" w:type="pct"/>
                  <w:shd w:val="clear" w:color="auto" w:fill="auto"/>
                  <w:vAlign w:val="center"/>
                </w:tcPr>
                <w:p w14:paraId="13909982">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b w:val="0"/>
                      <w:bCs w:val="0"/>
                      <w:color w:val="auto"/>
                      <w:spacing w:val="0"/>
                      <w:sz w:val="21"/>
                      <w:szCs w:val="21"/>
                    </w:rPr>
                    <w:t>颗粒物</w:t>
                  </w:r>
                </w:p>
              </w:tc>
              <w:tc>
                <w:tcPr>
                  <w:tcW w:w="747" w:type="pct"/>
                  <w:shd w:val="clear" w:color="auto" w:fill="auto"/>
                  <w:vAlign w:val="center"/>
                </w:tcPr>
                <w:p w14:paraId="29ADF047">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default" w:ascii="Times New Roman" w:hAnsi="Times New Roman" w:eastAsia="宋体" w:cs="Times New Roman"/>
                      <w:color w:val="auto"/>
                      <w:spacing w:val="0"/>
                      <w:sz w:val="21"/>
                      <w:szCs w:val="21"/>
                    </w:rPr>
                    <w:t>120</w:t>
                  </w:r>
                </w:p>
              </w:tc>
              <w:tc>
                <w:tcPr>
                  <w:tcW w:w="535" w:type="pct"/>
                  <w:shd w:val="clear" w:color="auto" w:fill="auto"/>
                  <w:vAlign w:val="center"/>
                </w:tcPr>
                <w:p w14:paraId="3028D24C">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eastAsia" w:ascii="Times New Roman" w:hAnsi="Times New Roman" w:cs="Times New Roman"/>
                      <w:color w:val="auto"/>
                      <w:spacing w:val="0"/>
                      <w:sz w:val="21"/>
                      <w:szCs w:val="21"/>
                      <w:lang w:val="en-US" w:eastAsia="zh-CN"/>
                    </w:rPr>
                    <w:t>15</w:t>
                  </w:r>
                </w:p>
              </w:tc>
              <w:tc>
                <w:tcPr>
                  <w:tcW w:w="779" w:type="pct"/>
                  <w:shd w:val="clear" w:color="auto" w:fill="auto"/>
                  <w:vAlign w:val="center"/>
                </w:tcPr>
                <w:p w14:paraId="03FACD92">
                  <w:pPr>
                    <w:pStyle w:val="97"/>
                    <w:keepNext w:val="0"/>
                    <w:keepLines w:val="0"/>
                    <w:pageBreakBefore w:val="0"/>
                    <w:widowControl/>
                    <w:kinsoku/>
                    <w:wordWrap/>
                    <w:overflowPunct/>
                    <w:topLinePunct w:val="0"/>
                    <w:autoSpaceDE/>
                    <w:autoSpaceDN/>
                    <w:bidi w:val="0"/>
                    <w:adjustRightInd/>
                    <w:snapToGrid/>
                    <w:spacing w:before="0" w:line="240" w:lineRule="auto"/>
                    <w:ind w:left="0" w:leftChars="0" w:right="0" w:rightChars="0"/>
                    <w:jc w:val="center"/>
                    <w:textAlignment w:val="auto"/>
                    <w:rPr>
                      <w:rFonts w:hint="default" w:ascii="Times New Roman" w:hAnsi="Times New Roman" w:eastAsia="宋体" w:cs="Times New Roman"/>
                      <w:color w:val="auto"/>
                      <w:spacing w:val="0"/>
                      <w:kern w:val="0"/>
                      <w:sz w:val="21"/>
                      <w:szCs w:val="21"/>
                      <w:lang w:val="en-US" w:eastAsia="zh-CN" w:bidi="ar"/>
                    </w:rPr>
                  </w:pPr>
                  <w:r>
                    <w:rPr>
                      <w:rFonts w:hint="eastAsia" w:ascii="Times New Roman" w:hAnsi="Times New Roman" w:eastAsia="宋体" w:cs="Times New Roman"/>
                      <w:color w:val="auto"/>
                      <w:spacing w:val="0"/>
                      <w:sz w:val="21"/>
                      <w:szCs w:val="21"/>
                      <w:lang w:val="en-US" w:eastAsia="zh-CN"/>
                    </w:rPr>
                    <w:t>3.5（1.75</w:t>
                  </w:r>
                  <w:r>
                    <w:rPr>
                      <w:rFonts w:hint="eastAsia" w:ascii="Times New Roman" w:hAnsi="Times New Roman" w:cs="Times New Roman"/>
                      <w:color w:val="auto"/>
                      <w:spacing w:val="0"/>
                      <w:sz w:val="21"/>
                      <w:szCs w:val="21"/>
                      <w:lang w:val="en-US" w:eastAsia="zh-CN"/>
                    </w:rPr>
                    <w:t>严格50%执行</w:t>
                  </w:r>
                  <w:r>
                    <w:rPr>
                      <w:rFonts w:hint="eastAsia" w:ascii="Times New Roman" w:hAnsi="Times New Roman" w:cs="Times New Roman"/>
                      <w:color w:val="auto"/>
                      <w:spacing w:val="0"/>
                      <w:sz w:val="21"/>
                      <w:szCs w:val="21"/>
                      <w:lang w:eastAsia="zh-CN"/>
                    </w:rPr>
                    <w:t>）</w:t>
                  </w:r>
                </w:p>
              </w:tc>
              <w:tc>
                <w:tcPr>
                  <w:tcW w:w="1499" w:type="pct"/>
                  <w:shd w:val="clear" w:color="auto" w:fill="auto"/>
                  <w:vAlign w:val="center"/>
                </w:tcPr>
                <w:p w14:paraId="2BDA8312">
                  <w:pPr>
                    <w:pStyle w:val="15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he-IL"/>
                    </w:rPr>
                    <w:t>《大气污染物综合排放标准》</w:t>
                  </w:r>
                  <w:r>
                    <w:rPr>
                      <w:rFonts w:hint="eastAsia" w:cs="Times New Roman"/>
                      <w:color w:val="auto"/>
                      <w:sz w:val="21"/>
                      <w:szCs w:val="21"/>
                      <w:highlight w:val="none"/>
                      <w:lang w:val="en-US" w:eastAsia="zh-CN" w:bidi="he-IL"/>
                    </w:rPr>
                    <w:t>（</w:t>
                  </w:r>
                  <w:r>
                    <w:rPr>
                      <w:rFonts w:hint="default" w:ascii="Times New Roman" w:hAnsi="Times New Roman" w:eastAsia="宋体" w:cs="Times New Roman"/>
                      <w:color w:val="auto"/>
                      <w:sz w:val="21"/>
                      <w:szCs w:val="21"/>
                      <w:highlight w:val="none"/>
                      <w:lang w:val="en-US" w:eastAsia="zh-CN" w:bidi="he-IL"/>
                    </w:rPr>
                    <w:t>GB16297－1996</w:t>
                  </w:r>
                  <w:r>
                    <w:rPr>
                      <w:rFonts w:hint="eastAsia" w:cs="Times New Roman"/>
                      <w:color w:val="auto"/>
                      <w:sz w:val="21"/>
                      <w:szCs w:val="21"/>
                      <w:highlight w:val="none"/>
                      <w:lang w:val="en-US" w:eastAsia="zh-CN" w:bidi="he-IL"/>
                    </w:rPr>
                    <w:t>）</w:t>
                  </w:r>
                  <w:r>
                    <w:rPr>
                      <w:rFonts w:hint="default" w:ascii="Times New Roman" w:hAnsi="Times New Roman" w:eastAsia="宋体" w:cs="Times New Roman"/>
                      <w:color w:val="auto"/>
                      <w:sz w:val="21"/>
                      <w:szCs w:val="21"/>
                      <w:highlight w:val="none"/>
                      <w:lang w:val="en-US" w:eastAsia="zh-CN" w:bidi="he-IL"/>
                    </w:rPr>
                    <w:t>表2</w:t>
                  </w:r>
                </w:p>
              </w:tc>
            </w:tr>
            <w:tr w14:paraId="58AD4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6"/>
                  <w:shd w:val="clear" w:color="auto" w:fill="auto"/>
                  <w:vAlign w:val="center"/>
                </w:tcPr>
                <w:p w14:paraId="1FFAF935">
                  <w:pPr>
                    <w:pStyle w:val="15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bidi="he-IL"/>
                    </w:rPr>
                  </w:pPr>
                  <w:r>
                    <w:rPr>
                      <w:rFonts w:hint="eastAsia" w:ascii="Times New Roman" w:hAnsi="Times New Roman" w:eastAsia="宋体" w:cs="Times New Roman"/>
                      <w:color w:val="auto"/>
                      <w:sz w:val="21"/>
                      <w:szCs w:val="21"/>
                      <w:highlight w:val="none"/>
                      <w:lang w:val="en-US" w:eastAsia="zh-CN" w:bidi="he-IL"/>
                    </w:rPr>
                    <w:t>注：</w:t>
                  </w:r>
                  <w:r>
                    <w:rPr>
                      <w:rFonts w:hint="eastAsia" w:ascii="Times New Roman" w:hAnsi="Times New Roman" w:eastAsia="宋体"/>
                      <w:spacing w:val="-2"/>
                      <w:sz w:val="21"/>
                    </w:rPr>
                    <w:t>根据项目周边建筑物高度情况，项目拟设置排气筒高度无法高出周围200米半径范围的建筑5米以上，本项目排气筒高度</w:t>
                  </w:r>
                  <w:r>
                    <w:rPr>
                      <w:rFonts w:hint="eastAsia" w:ascii="Times New Roman" w:hAnsi="Times New Roman" w:eastAsia="宋体"/>
                      <w:spacing w:val="-2"/>
                      <w:sz w:val="21"/>
                      <w:lang w:val="en-US" w:eastAsia="zh-CN"/>
                    </w:rPr>
                    <w:t>1</w:t>
                  </w:r>
                  <w:r>
                    <w:rPr>
                      <w:rFonts w:hint="eastAsia" w:ascii="Times New Roman" w:hAnsi="Times New Roman" w:eastAsia="宋体"/>
                      <w:spacing w:val="-2"/>
                      <w:sz w:val="21"/>
                    </w:rPr>
                    <w:t>5m，根据《大气污染物综合排放标准》</w:t>
                  </w:r>
                  <w:r>
                    <w:rPr>
                      <w:rFonts w:hint="eastAsia" w:ascii="Times New Roman" w:hAnsi="Times New Roman" w:eastAsia="宋体"/>
                      <w:spacing w:val="-2"/>
                      <w:sz w:val="21"/>
                      <w:lang w:eastAsia="zh-CN"/>
                    </w:rPr>
                    <w:t>（</w:t>
                  </w:r>
                  <w:r>
                    <w:rPr>
                      <w:rFonts w:hint="eastAsia" w:ascii="Times New Roman" w:hAnsi="Times New Roman" w:eastAsia="宋体"/>
                      <w:spacing w:val="-2"/>
                      <w:sz w:val="21"/>
                    </w:rPr>
                    <w:t>GB16297-1996</w:t>
                  </w:r>
                  <w:r>
                    <w:rPr>
                      <w:rFonts w:hint="eastAsia" w:ascii="Times New Roman" w:hAnsi="Times New Roman" w:eastAsia="宋体"/>
                      <w:spacing w:val="-2"/>
                      <w:sz w:val="21"/>
                      <w:lang w:eastAsia="zh-CN"/>
                    </w:rPr>
                    <w:t>）</w:t>
                  </w:r>
                  <w:r>
                    <w:rPr>
                      <w:rFonts w:hint="eastAsia" w:ascii="Times New Roman" w:hAnsi="Times New Roman" w:eastAsia="宋体"/>
                      <w:spacing w:val="-2"/>
                      <w:sz w:val="21"/>
                    </w:rPr>
                    <w:t>要求，不能达到该要求的排气筒，应按其高度对应的表列排放速率标准值严格50%执行。因此，项目颗粒物排放速率按上述限值的50%执行。</w:t>
                  </w:r>
                </w:p>
              </w:tc>
            </w:tr>
          </w:tbl>
          <w:p w14:paraId="483446AC">
            <w:pPr>
              <w:rPr>
                <w:rFonts w:hint="default"/>
                <w:lang w:val="en-US" w:eastAsia="zh-CN"/>
              </w:rPr>
            </w:pPr>
          </w:p>
          <w:p w14:paraId="094EBDFC">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auto"/>
                <w:lang w:val="en-US" w:eastAsia="zh-CN"/>
              </w:rPr>
            </w:pPr>
            <w:r>
              <w:rPr>
                <w:rFonts w:hint="eastAsia" w:cs="宋体"/>
                <w:color w:val="auto"/>
                <w:lang w:val="en-US" w:eastAsia="zh-CN"/>
              </w:rPr>
              <w:t>废气</w:t>
            </w:r>
            <w:r>
              <w:rPr>
                <w:rFonts w:hint="default" w:ascii="Times New Roman" w:hAnsi="Times New Roman" w:eastAsia="宋体" w:cs="宋体"/>
                <w:color w:val="auto"/>
                <w:lang w:val="en-US" w:eastAsia="zh-CN"/>
              </w:rPr>
              <w:t>无组织排放限制</w:t>
            </w:r>
          </w:p>
          <w:tbl>
            <w:tblPr>
              <w:tblStyle w:val="34"/>
              <w:tblW w:w="4925"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878"/>
              <w:gridCol w:w="891"/>
              <w:gridCol w:w="2492"/>
              <w:gridCol w:w="3564"/>
            </w:tblGrid>
            <w:tr w14:paraId="1008537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61" w:type="pct"/>
                  <w:vMerge w:val="restart"/>
                  <w:tcBorders>
                    <w:left w:val="nil"/>
                    <w:bottom w:val="single" w:color="000000" w:sz="4" w:space="0"/>
                    <w:right w:val="single" w:color="000000" w:sz="4" w:space="0"/>
                  </w:tcBorders>
                  <w:vAlign w:val="center"/>
                </w:tcPr>
                <w:p w14:paraId="1EB564D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1B63B449">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污染物</w:t>
                  </w:r>
                </w:p>
              </w:tc>
              <w:tc>
                <w:tcPr>
                  <w:tcW w:w="2161" w:type="pct"/>
                  <w:gridSpan w:val="2"/>
                  <w:tcBorders>
                    <w:left w:val="single" w:color="000000" w:sz="4" w:space="0"/>
                    <w:bottom w:val="single" w:color="000000" w:sz="4" w:space="0"/>
                    <w:right w:val="single" w:color="000000" w:sz="4" w:space="0"/>
                  </w:tcBorders>
                  <w:vAlign w:val="center"/>
                </w:tcPr>
                <w:p w14:paraId="2EB5FA4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无组织排放监控浓度限值</w:t>
                  </w:r>
                </w:p>
              </w:tc>
              <w:tc>
                <w:tcPr>
                  <w:tcW w:w="2276" w:type="pct"/>
                  <w:vMerge w:val="restart"/>
                  <w:tcBorders>
                    <w:left w:val="single" w:color="000000" w:sz="4" w:space="0"/>
                    <w:bottom w:val="single" w:color="000000" w:sz="4" w:space="0"/>
                    <w:right w:val="nil"/>
                  </w:tcBorders>
                  <w:vAlign w:val="center"/>
                </w:tcPr>
                <w:p w14:paraId="0D11622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5BC616C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标准依据</w:t>
                  </w:r>
                </w:p>
              </w:tc>
            </w:tr>
            <w:tr w14:paraId="4E33C3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6" w:hRule="atLeast"/>
              </w:trPr>
              <w:tc>
                <w:tcPr>
                  <w:tcW w:w="561" w:type="pct"/>
                  <w:vMerge w:val="continue"/>
                  <w:tcBorders>
                    <w:top w:val="nil"/>
                    <w:left w:val="nil"/>
                    <w:bottom w:val="single" w:color="000000" w:sz="4" w:space="0"/>
                    <w:right w:val="single" w:color="000000" w:sz="4" w:space="0"/>
                  </w:tcBorders>
                  <w:vAlign w:val="center"/>
                </w:tcPr>
                <w:p w14:paraId="1F2564C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c>
                <w:tcPr>
                  <w:tcW w:w="569" w:type="pct"/>
                  <w:tcBorders>
                    <w:top w:val="single" w:color="000000" w:sz="4" w:space="0"/>
                    <w:left w:val="single" w:color="000000" w:sz="4" w:space="0"/>
                    <w:bottom w:val="single" w:color="000000" w:sz="4" w:space="0"/>
                    <w:right w:val="single" w:color="000000" w:sz="4" w:space="0"/>
                  </w:tcBorders>
                  <w:vAlign w:val="center"/>
                </w:tcPr>
                <w:p w14:paraId="2246929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监控点</w:t>
                  </w:r>
                </w:p>
              </w:tc>
              <w:tc>
                <w:tcPr>
                  <w:tcW w:w="1592" w:type="pct"/>
                  <w:tcBorders>
                    <w:top w:val="single" w:color="000000" w:sz="4" w:space="0"/>
                    <w:left w:val="single" w:color="000000" w:sz="4" w:space="0"/>
                    <w:bottom w:val="single" w:color="000000" w:sz="4" w:space="0"/>
                    <w:right w:val="single" w:color="000000" w:sz="4" w:space="0"/>
                  </w:tcBorders>
                  <w:vAlign w:val="center"/>
                </w:tcPr>
                <w:p w14:paraId="5892344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浓度</w:t>
                  </w:r>
                </w:p>
              </w:tc>
              <w:tc>
                <w:tcPr>
                  <w:tcW w:w="2276" w:type="pct"/>
                  <w:vMerge w:val="continue"/>
                  <w:tcBorders>
                    <w:top w:val="nil"/>
                    <w:left w:val="single" w:color="000000" w:sz="4" w:space="0"/>
                    <w:bottom w:val="single" w:color="000000" w:sz="4" w:space="0"/>
                    <w:right w:val="nil"/>
                  </w:tcBorders>
                  <w:vAlign w:val="center"/>
                </w:tcPr>
                <w:p w14:paraId="69791B8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r>
            <w:tr w14:paraId="03EF7B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61" w:type="pct"/>
                  <w:vMerge w:val="restart"/>
                  <w:tcBorders>
                    <w:top w:val="single" w:color="000000" w:sz="4" w:space="0"/>
                    <w:left w:val="nil"/>
                    <w:bottom w:val="single" w:color="000000" w:sz="4" w:space="0"/>
                    <w:right w:val="single" w:color="000000" w:sz="4" w:space="0"/>
                  </w:tcBorders>
                  <w:vAlign w:val="center"/>
                </w:tcPr>
                <w:p w14:paraId="2A3F407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088BFEE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4051841A">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非甲烷总烃</w:t>
                  </w:r>
                </w:p>
              </w:tc>
              <w:tc>
                <w:tcPr>
                  <w:tcW w:w="569" w:type="pct"/>
                  <w:tcBorders>
                    <w:top w:val="single" w:color="000000" w:sz="4" w:space="0"/>
                    <w:left w:val="single" w:color="000000" w:sz="4" w:space="0"/>
                    <w:bottom w:val="single" w:color="000000" w:sz="4" w:space="0"/>
                    <w:right w:val="single" w:color="000000" w:sz="4" w:space="0"/>
                  </w:tcBorders>
                  <w:vAlign w:val="center"/>
                </w:tcPr>
                <w:p w14:paraId="4A2268E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企业边界</w:t>
                  </w:r>
                </w:p>
              </w:tc>
              <w:tc>
                <w:tcPr>
                  <w:tcW w:w="1592" w:type="pct"/>
                  <w:tcBorders>
                    <w:top w:val="single" w:color="000000" w:sz="4" w:space="0"/>
                    <w:left w:val="single" w:color="000000" w:sz="4" w:space="0"/>
                    <w:bottom w:val="single" w:color="000000" w:sz="4" w:space="0"/>
                    <w:right w:val="single" w:color="000000" w:sz="4" w:space="0"/>
                  </w:tcBorders>
                  <w:vAlign w:val="center"/>
                </w:tcPr>
                <w:p w14:paraId="7FBDE89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≤2.0mg/m</w:t>
                  </w:r>
                  <w:r>
                    <w:rPr>
                      <w:rFonts w:ascii="Times New Roman" w:hAnsi="Times New Roman" w:eastAsia="宋体"/>
                      <w:color w:val="auto"/>
                      <w:spacing w:val="-5"/>
                      <w:sz w:val="21"/>
                      <w:vertAlign w:val="superscript"/>
                    </w:rPr>
                    <w:t>3</w:t>
                  </w:r>
                </w:p>
              </w:tc>
              <w:tc>
                <w:tcPr>
                  <w:tcW w:w="2276" w:type="pct"/>
                  <w:tcBorders>
                    <w:top w:val="nil"/>
                    <w:left w:val="single" w:color="000000" w:sz="4" w:space="0"/>
                    <w:bottom w:val="single" w:color="000000" w:sz="4" w:space="0"/>
                    <w:right w:val="nil"/>
                  </w:tcBorders>
                  <w:vAlign w:val="center"/>
                </w:tcPr>
                <w:p w14:paraId="1948FAC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《工业涂装工序挥发性有机物排放标准》</w:t>
                  </w:r>
                </w:p>
                <w:p w14:paraId="4E3B731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hint="eastAsia" w:ascii="Times New Roman" w:hAnsi="Times New Roman"/>
                      <w:color w:val="auto"/>
                      <w:spacing w:val="-5"/>
                      <w:sz w:val="21"/>
                      <w:lang w:eastAsia="zh-CN"/>
                    </w:rPr>
                    <w:t>（</w:t>
                  </w:r>
                  <w:r>
                    <w:rPr>
                      <w:rFonts w:ascii="Times New Roman" w:hAnsi="Times New Roman" w:eastAsia="宋体"/>
                      <w:color w:val="auto"/>
                      <w:spacing w:val="-5"/>
                      <w:sz w:val="21"/>
                    </w:rPr>
                    <w:t>DB35/1783-2018</w:t>
                  </w:r>
                  <w:r>
                    <w:rPr>
                      <w:rFonts w:hint="eastAsia" w:ascii="Times New Roman" w:hAnsi="Times New Roman"/>
                      <w:color w:val="auto"/>
                      <w:spacing w:val="-5"/>
                      <w:sz w:val="21"/>
                      <w:lang w:eastAsia="zh-CN"/>
                    </w:rPr>
                    <w:t>）</w:t>
                  </w:r>
                  <w:r>
                    <w:rPr>
                      <w:rFonts w:ascii="Times New Roman" w:hAnsi="Times New Roman" w:eastAsia="宋体"/>
                      <w:color w:val="auto"/>
                      <w:spacing w:val="-5"/>
                      <w:sz w:val="21"/>
                    </w:rPr>
                    <w:t>表4</w:t>
                  </w:r>
                </w:p>
              </w:tc>
            </w:tr>
            <w:tr w14:paraId="433575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561" w:type="pct"/>
                  <w:vMerge w:val="continue"/>
                  <w:tcBorders>
                    <w:top w:val="nil"/>
                    <w:left w:val="nil"/>
                    <w:bottom w:val="single" w:color="000000" w:sz="4" w:space="0"/>
                    <w:right w:val="single" w:color="000000" w:sz="4" w:space="0"/>
                  </w:tcBorders>
                  <w:vAlign w:val="center"/>
                </w:tcPr>
                <w:p w14:paraId="6EDB066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c>
                <w:tcPr>
                  <w:tcW w:w="569" w:type="pct"/>
                  <w:vMerge w:val="restart"/>
                  <w:tcBorders>
                    <w:top w:val="single" w:color="000000" w:sz="4" w:space="0"/>
                    <w:left w:val="single" w:color="000000" w:sz="4" w:space="0"/>
                    <w:bottom w:val="single" w:color="000000" w:sz="4" w:space="0"/>
                    <w:right w:val="single" w:color="000000" w:sz="4" w:space="0"/>
                  </w:tcBorders>
                  <w:vAlign w:val="center"/>
                </w:tcPr>
                <w:p w14:paraId="7D2E6C0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0D770439">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p w14:paraId="5555349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厂区内</w:t>
                  </w:r>
                </w:p>
              </w:tc>
              <w:tc>
                <w:tcPr>
                  <w:tcW w:w="1592" w:type="pct"/>
                  <w:tcBorders>
                    <w:top w:val="single" w:color="000000" w:sz="4" w:space="0"/>
                    <w:left w:val="single" w:color="000000" w:sz="4" w:space="0"/>
                    <w:bottom w:val="single" w:color="000000" w:sz="4" w:space="0"/>
                    <w:right w:val="single" w:color="000000" w:sz="4" w:space="0"/>
                  </w:tcBorders>
                  <w:vAlign w:val="center"/>
                </w:tcPr>
                <w:p w14:paraId="2DC2D6D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厂内监控点1h平均浓度值</w:t>
                  </w:r>
                </w:p>
                <w:p w14:paraId="14C724C3">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≤8.0mg/m</w:t>
                  </w:r>
                  <w:r>
                    <w:rPr>
                      <w:rFonts w:ascii="Times New Roman" w:hAnsi="Times New Roman" w:eastAsia="宋体"/>
                      <w:color w:val="auto"/>
                      <w:spacing w:val="-5"/>
                      <w:sz w:val="21"/>
                      <w:vertAlign w:val="superscript"/>
                    </w:rPr>
                    <w:t>3</w:t>
                  </w:r>
                </w:p>
              </w:tc>
              <w:tc>
                <w:tcPr>
                  <w:tcW w:w="2276" w:type="pct"/>
                  <w:tcBorders>
                    <w:top w:val="single" w:color="000000" w:sz="4" w:space="0"/>
                    <w:left w:val="single" w:color="000000" w:sz="4" w:space="0"/>
                    <w:bottom w:val="single" w:color="000000" w:sz="4" w:space="0"/>
                    <w:right w:val="nil"/>
                  </w:tcBorders>
                  <w:vAlign w:val="center"/>
                </w:tcPr>
                <w:p w14:paraId="66BC3CA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《工业涂装工序挥发性有机物排放标准》</w:t>
                  </w:r>
                </w:p>
                <w:p w14:paraId="7A84C3E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hint="eastAsia" w:ascii="Times New Roman" w:hAnsi="Times New Roman"/>
                      <w:color w:val="auto"/>
                      <w:spacing w:val="-5"/>
                      <w:sz w:val="21"/>
                      <w:lang w:eastAsia="zh-CN"/>
                    </w:rPr>
                    <w:t>（</w:t>
                  </w:r>
                  <w:r>
                    <w:rPr>
                      <w:rFonts w:ascii="Times New Roman" w:hAnsi="Times New Roman" w:eastAsia="宋体"/>
                      <w:color w:val="auto"/>
                      <w:spacing w:val="-5"/>
                      <w:sz w:val="21"/>
                    </w:rPr>
                    <w:t>DB35/1783-2018</w:t>
                  </w:r>
                  <w:r>
                    <w:rPr>
                      <w:rFonts w:hint="eastAsia" w:ascii="Times New Roman" w:hAnsi="Times New Roman"/>
                      <w:color w:val="auto"/>
                      <w:spacing w:val="-5"/>
                      <w:sz w:val="21"/>
                      <w:lang w:eastAsia="zh-CN"/>
                    </w:rPr>
                    <w:t>）</w:t>
                  </w:r>
                  <w:r>
                    <w:rPr>
                      <w:rFonts w:ascii="Times New Roman" w:hAnsi="Times New Roman" w:eastAsia="宋体"/>
                      <w:color w:val="auto"/>
                      <w:spacing w:val="-5"/>
                      <w:sz w:val="21"/>
                    </w:rPr>
                    <w:t>表3</w:t>
                  </w:r>
                </w:p>
              </w:tc>
            </w:tr>
            <w:tr w14:paraId="7E7CB6C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561" w:type="pct"/>
                  <w:vMerge w:val="continue"/>
                  <w:tcBorders>
                    <w:top w:val="nil"/>
                    <w:left w:val="nil"/>
                    <w:bottom w:val="single" w:color="000000" w:sz="6" w:space="0"/>
                    <w:right w:val="single" w:color="000000" w:sz="4" w:space="0"/>
                  </w:tcBorders>
                  <w:vAlign w:val="center"/>
                </w:tcPr>
                <w:p w14:paraId="25B6A41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c>
                <w:tcPr>
                  <w:tcW w:w="569" w:type="pct"/>
                  <w:vMerge w:val="continue"/>
                  <w:tcBorders>
                    <w:top w:val="nil"/>
                    <w:left w:val="single" w:color="000000" w:sz="4" w:space="0"/>
                    <w:bottom w:val="single" w:color="000000" w:sz="6" w:space="0"/>
                    <w:right w:val="single" w:color="000000" w:sz="4" w:space="0"/>
                  </w:tcBorders>
                  <w:vAlign w:val="center"/>
                </w:tcPr>
                <w:p w14:paraId="0B36292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p>
              </w:tc>
              <w:tc>
                <w:tcPr>
                  <w:tcW w:w="1592" w:type="pct"/>
                  <w:tcBorders>
                    <w:top w:val="single" w:color="000000" w:sz="4" w:space="0"/>
                    <w:left w:val="single" w:color="000000" w:sz="4" w:space="0"/>
                    <w:bottom w:val="single" w:color="000000" w:sz="6" w:space="0"/>
                    <w:right w:val="single" w:color="000000" w:sz="4" w:space="0"/>
                  </w:tcBorders>
                  <w:vAlign w:val="center"/>
                </w:tcPr>
                <w:p w14:paraId="7A4DE75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厂内监控点任意一次浓度值≤30mg/m</w:t>
                  </w:r>
                  <w:r>
                    <w:rPr>
                      <w:rFonts w:ascii="Times New Roman" w:hAnsi="Times New Roman" w:eastAsia="宋体"/>
                      <w:color w:val="auto"/>
                      <w:spacing w:val="-5"/>
                      <w:sz w:val="21"/>
                      <w:vertAlign w:val="superscript"/>
                    </w:rPr>
                    <w:t>3</w:t>
                  </w:r>
                </w:p>
              </w:tc>
              <w:tc>
                <w:tcPr>
                  <w:tcW w:w="2276" w:type="pct"/>
                  <w:tcBorders>
                    <w:top w:val="single" w:color="000000" w:sz="4" w:space="0"/>
                    <w:left w:val="single" w:color="000000" w:sz="4" w:space="0"/>
                    <w:bottom w:val="single" w:color="000000" w:sz="4" w:space="0"/>
                    <w:right w:val="nil"/>
                  </w:tcBorders>
                  <w:vAlign w:val="center"/>
                </w:tcPr>
                <w:p w14:paraId="4B4BEAA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《挥发性有机物无组织排放控制标准》</w:t>
                  </w:r>
                </w:p>
                <w:p w14:paraId="5321BFA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hint="eastAsia" w:ascii="Times New Roman" w:hAnsi="Times New Roman"/>
                      <w:color w:val="auto"/>
                      <w:spacing w:val="-5"/>
                      <w:sz w:val="21"/>
                      <w:lang w:eastAsia="zh-CN"/>
                    </w:rPr>
                    <w:t>（</w:t>
                  </w:r>
                  <w:r>
                    <w:rPr>
                      <w:rFonts w:ascii="Times New Roman" w:hAnsi="Times New Roman" w:eastAsia="宋体"/>
                      <w:color w:val="auto"/>
                      <w:spacing w:val="-5"/>
                      <w:sz w:val="21"/>
                    </w:rPr>
                    <w:t>GB37822-2019</w:t>
                  </w:r>
                  <w:r>
                    <w:rPr>
                      <w:rFonts w:hint="eastAsia" w:ascii="Times New Roman" w:hAnsi="Times New Roman"/>
                      <w:color w:val="auto"/>
                      <w:spacing w:val="-5"/>
                      <w:sz w:val="21"/>
                      <w:lang w:eastAsia="zh-CN"/>
                    </w:rPr>
                    <w:t>）</w:t>
                  </w:r>
                  <w:r>
                    <w:rPr>
                      <w:rFonts w:ascii="Times New Roman" w:hAnsi="Times New Roman" w:eastAsia="宋体"/>
                      <w:color w:val="auto"/>
                      <w:spacing w:val="-5"/>
                      <w:sz w:val="21"/>
                    </w:rPr>
                    <w:t>附录A表A.1</w:t>
                  </w:r>
                </w:p>
              </w:tc>
            </w:tr>
            <w:tr w14:paraId="734A5C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561" w:type="pct"/>
                  <w:tcBorders>
                    <w:top w:val="single" w:color="000000" w:sz="6" w:space="0"/>
                    <w:left w:val="nil"/>
                    <w:bottom w:val="single" w:color="000000" w:sz="6" w:space="0"/>
                    <w:right w:val="single" w:color="000000" w:sz="4" w:space="0"/>
                  </w:tcBorders>
                  <w:vAlign w:val="center"/>
                </w:tcPr>
                <w:p w14:paraId="46B671F9">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5"/>
                      <w:sz w:val="21"/>
                      <w:lang w:val="en-US" w:eastAsia="zh-CN"/>
                    </w:rPr>
                  </w:pPr>
                  <w:r>
                    <w:rPr>
                      <w:rFonts w:hint="eastAsia" w:ascii="Times New Roman" w:hAnsi="Times New Roman"/>
                      <w:color w:val="auto"/>
                      <w:spacing w:val="-5"/>
                      <w:sz w:val="21"/>
                      <w:lang w:val="en-US" w:eastAsia="zh-CN"/>
                    </w:rPr>
                    <w:t>颗粒物</w:t>
                  </w:r>
                </w:p>
              </w:tc>
              <w:tc>
                <w:tcPr>
                  <w:tcW w:w="569" w:type="pct"/>
                  <w:tcBorders>
                    <w:top w:val="single" w:color="000000" w:sz="6" w:space="0"/>
                    <w:left w:val="single" w:color="000000" w:sz="4" w:space="0"/>
                    <w:bottom w:val="single" w:color="000000" w:sz="6" w:space="0"/>
                    <w:right w:val="single" w:color="000000" w:sz="4" w:space="0"/>
                  </w:tcBorders>
                  <w:vAlign w:val="center"/>
                </w:tcPr>
                <w:p w14:paraId="3180EB73">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color w:val="auto"/>
                      <w:spacing w:val="0"/>
                      <w:sz w:val="21"/>
                      <w:szCs w:val="21"/>
                    </w:rPr>
                    <w:t>周界外浓度最高点</w:t>
                  </w:r>
                </w:p>
              </w:tc>
              <w:tc>
                <w:tcPr>
                  <w:tcW w:w="1592" w:type="pct"/>
                  <w:tcBorders>
                    <w:top w:val="single" w:color="000000" w:sz="6" w:space="0"/>
                    <w:left w:val="single" w:color="000000" w:sz="4" w:space="0"/>
                    <w:bottom w:val="single" w:color="000000" w:sz="6" w:space="0"/>
                    <w:right w:val="single" w:color="000000" w:sz="4" w:space="0"/>
                  </w:tcBorders>
                  <w:vAlign w:val="center"/>
                </w:tcPr>
                <w:p w14:paraId="1092A84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1</w:t>
                  </w:r>
                  <w:r>
                    <w:rPr>
                      <w:rFonts w:ascii="Times New Roman" w:hAnsi="Times New Roman" w:eastAsia="宋体"/>
                      <w:color w:val="auto"/>
                      <w:spacing w:val="-5"/>
                      <w:sz w:val="21"/>
                    </w:rPr>
                    <w:t>.0mg/m</w:t>
                  </w:r>
                  <w:r>
                    <w:rPr>
                      <w:rFonts w:ascii="Times New Roman" w:hAnsi="Times New Roman" w:eastAsia="宋体"/>
                      <w:color w:val="auto"/>
                      <w:spacing w:val="-5"/>
                      <w:sz w:val="21"/>
                      <w:vertAlign w:val="superscript"/>
                    </w:rPr>
                    <w:t>3</w:t>
                  </w:r>
                </w:p>
              </w:tc>
              <w:tc>
                <w:tcPr>
                  <w:tcW w:w="2276" w:type="pct"/>
                  <w:tcBorders>
                    <w:top w:val="single" w:color="000000" w:sz="4" w:space="0"/>
                    <w:left w:val="single" w:color="000000" w:sz="4" w:space="0"/>
                    <w:bottom w:val="single" w:color="000000" w:sz="4" w:space="0"/>
                    <w:right w:val="nil"/>
                  </w:tcBorders>
                  <w:vAlign w:val="center"/>
                </w:tcPr>
                <w:p w14:paraId="793098A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pacing w:val="-5"/>
                      <w:sz w:val="21"/>
                    </w:rPr>
                  </w:pPr>
                  <w:r>
                    <w:rPr>
                      <w:rFonts w:ascii="Times New Roman" w:hAnsi="Times New Roman"/>
                      <w:color w:val="auto"/>
                      <w:spacing w:val="0"/>
                      <w:sz w:val="21"/>
                      <w:szCs w:val="21"/>
                    </w:rPr>
                    <w:t>《大气污染物综合排放标准》</w:t>
                  </w:r>
                  <w:r>
                    <w:rPr>
                      <w:rFonts w:hint="eastAsia" w:ascii="Times New Roman" w:hAnsi="Times New Roman"/>
                      <w:color w:val="auto"/>
                      <w:spacing w:val="0"/>
                      <w:sz w:val="21"/>
                      <w:szCs w:val="21"/>
                      <w:lang w:eastAsia="zh-CN"/>
                    </w:rPr>
                    <w:t>（</w:t>
                  </w:r>
                  <w:r>
                    <w:rPr>
                      <w:rFonts w:hint="default" w:ascii="Times New Roman" w:hAnsi="Times New Roman" w:eastAsia="宋体" w:cs="Times New Roman"/>
                      <w:color w:val="auto"/>
                      <w:sz w:val="21"/>
                      <w:szCs w:val="21"/>
                      <w:highlight w:val="none"/>
                      <w:lang w:val="en-US" w:eastAsia="zh-CN" w:bidi="he-IL"/>
                    </w:rPr>
                    <w:t>GB16297－1996</w:t>
                  </w:r>
                  <w:r>
                    <w:rPr>
                      <w:rFonts w:hint="eastAsia" w:ascii="Times New Roman" w:hAnsi="Times New Roman" w:cs="Times New Roman"/>
                      <w:color w:val="auto"/>
                      <w:sz w:val="21"/>
                      <w:szCs w:val="21"/>
                      <w:highlight w:val="none"/>
                      <w:lang w:val="en-US" w:eastAsia="zh-CN" w:bidi="he-IL"/>
                    </w:rPr>
                    <w:t>）</w:t>
                  </w:r>
                  <w:r>
                    <w:rPr>
                      <w:rFonts w:ascii="Times New Roman" w:hAnsi="Times New Roman"/>
                      <w:color w:val="auto"/>
                      <w:spacing w:val="0"/>
                      <w:sz w:val="21"/>
                      <w:szCs w:val="21"/>
                    </w:rPr>
                    <w:t>表</w:t>
                  </w:r>
                  <w:r>
                    <w:rPr>
                      <w:rFonts w:ascii="Times New Roman" w:hAnsi="Times New Roman" w:eastAsia="Times New Roman"/>
                      <w:color w:val="auto"/>
                      <w:sz w:val="21"/>
                      <w:szCs w:val="21"/>
                    </w:rPr>
                    <w:t>2</w:t>
                  </w:r>
                </w:p>
              </w:tc>
            </w:tr>
            <w:tr w14:paraId="50B880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561" w:type="pct"/>
                  <w:tcBorders>
                    <w:top w:val="single" w:color="000000" w:sz="6" w:space="0"/>
                    <w:left w:val="nil"/>
                    <w:bottom w:val="single" w:color="000000" w:sz="6" w:space="0"/>
                    <w:right w:val="single" w:color="000000" w:sz="4" w:space="0"/>
                  </w:tcBorders>
                  <w:vAlign w:val="center"/>
                </w:tcPr>
                <w:p w14:paraId="4F979EC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olor w:val="auto"/>
                      <w:spacing w:val="-5"/>
                      <w:sz w:val="21"/>
                      <w:lang w:val="en-US" w:eastAsia="zh-CN"/>
                    </w:rPr>
                  </w:pPr>
                  <w:r>
                    <w:rPr>
                      <w:rFonts w:hint="eastAsia" w:ascii="Times New Roman" w:hAnsi="Times New Roman"/>
                      <w:color w:val="auto"/>
                      <w:spacing w:val="-5"/>
                      <w:sz w:val="21"/>
                      <w:lang w:val="en-US" w:eastAsia="zh-CN"/>
                    </w:rPr>
                    <w:t>氨</w:t>
                  </w:r>
                </w:p>
              </w:tc>
              <w:tc>
                <w:tcPr>
                  <w:tcW w:w="569" w:type="pct"/>
                  <w:vMerge w:val="restart"/>
                  <w:tcBorders>
                    <w:top w:val="single" w:color="000000" w:sz="6" w:space="0"/>
                    <w:left w:val="single" w:color="000000" w:sz="4" w:space="0"/>
                    <w:right w:val="single" w:color="000000" w:sz="4" w:space="0"/>
                  </w:tcBorders>
                  <w:vAlign w:val="center"/>
                </w:tcPr>
                <w:p w14:paraId="0C4D2679">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olor w:val="auto"/>
                      <w:spacing w:val="0"/>
                      <w:sz w:val="21"/>
                      <w:szCs w:val="21"/>
                      <w:lang w:val="en-US" w:eastAsia="zh-CN"/>
                    </w:rPr>
                  </w:pPr>
                  <w:r>
                    <w:rPr>
                      <w:rFonts w:hint="eastAsia" w:ascii="Times New Roman" w:hAnsi="Times New Roman"/>
                      <w:color w:val="auto"/>
                      <w:spacing w:val="0"/>
                      <w:sz w:val="21"/>
                      <w:szCs w:val="21"/>
                      <w:lang w:val="en-US" w:eastAsia="zh-CN"/>
                    </w:rPr>
                    <w:t>厂界</w:t>
                  </w:r>
                </w:p>
              </w:tc>
              <w:tc>
                <w:tcPr>
                  <w:tcW w:w="1592" w:type="pct"/>
                  <w:tcBorders>
                    <w:top w:val="single" w:color="000000" w:sz="6" w:space="0"/>
                    <w:left w:val="single" w:color="000000" w:sz="4" w:space="0"/>
                    <w:bottom w:val="single" w:color="000000" w:sz="6" w:space="0"/>
                    <w:right w:val="single" w:color="000000" w:sz="4" w:space="0"/>
                  </w:tcBorders>
                  <w:vAlign w:val="center"/>
                </w:tcPr>
                <w:p w14:paraId="1A621873">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auto"/>
                      <w:spacing w:val="-5"/>
                      <w:sz w:val="21"/>
                      <w:lang w:val="en-US" w:eastAsia="zh-CN"/>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1.5</w:t>
                  </w:r>
                  <w:r>
                    <w:rPr>
                      <w:rFonts w:ascii="Times New Roman" w:hAnsi="Times New Roman" w:eastAsia="宋体"/>
                      <w:color w:val="auto"/>
                      <w:spacing w:val="-5"/>
                      <w:sz w:val="21"/>
                    </w:rPr>
                    <w:t>mg/m</w:t>
                  </w:r>
                  <w:r>
                    <w:rPr>
                      <w:rFonts w:ascii="Times New Roman" w:hAnsi="Times New Roman" w:eastAsia="宋体"/>
                      <w:color w:val="auto"/>
                      <w:spacing w:val="-5"/>
                      <w:sz w:val="21"/>
                      <w:vertAlign w:val="superscript"/>
                    </w:rPr>
                    <w:t>3</w:t>
                  </w:r>
                </w:p>
              </w:tc>
              <w:tc>
                <w:tcPr>
                  <w:tcW w:w="2276" w:type="pct"/>
                  <w:vMerge w:val="restart"/>
                  <w:tcBorders>
                    <w:top w:val="single" w:color="000000" w:sz="4" w:space="0"/>
                    <w:left w:val="single" w:color="000000" w:sz="4" w:space="0"/>
                    <w:right w:val="nil"/>
                  </w:tcBorders>
                  <w:vAlign w:val="center"/>
                </w:tcPr>
                <w:p w14:paraId="24BE398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r>
                    <w:rPr>
                      <w:rFonts w:ascii="Times New Roman" w:hAnsi="Times New Roman"/>
                      <w:color w:val="auto"/>
                      <w:spacing w:val="0"/>
                      <w:sz w:val="21"/>
                      <w:szCs w:val="21"/>
                    </w:rPr>
                    <w:t>《</w:t>
                  </w:r>
                  <w:r>
                    <w:rPr>
                      <w:rFonts w:hint="default" w:ascii="Times New Roman" w:hAnsi="Times New Roman"/>
                      <w:color w:val="auto"/>
                      <w:spacing w:val="0"/>
                      <w:sz w:val="21"/>
                      <w:szCs w:val="21"/>
                      <w:lang w:val="en-US" w:eastAsia="zh-CN"/>
                    </w:rPr>
                    <w:t>恶臭污染物排放标准》（GB14554-93）表1标准</w:t>
                  </w:r>
                </w:p>
              </w:tc>
            </w:tr>
            <w:tr w14:paraId="747491F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561" w:type="pct"/>
                  <w:tcBorders>
                    <w:top w:val="single" w:color="000000" w:sz="6" w:space="0"/>
                    <w:left w:val="nil"/>
                    <w:bottom w:val="single" w:color="000000" w:sz="6" w:space="0"/>
                    <w:right w:val="single" w:color="000000" w:sz="4" w:space="0"/>
                  </w:tcBorders>
                  <w:vAlign w:val="center"/>
                </w:tcPr>
                <w:p w14:paraId="11D3C6E8">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olor w:val="auto"/>
                      <w:spacing w:val="-5"/>
                      <w:sz w:val="21"/>
                      <w:lang w:val="en-US" w:eastAsia="zh-CN"/>
                    </w:rPr>
                  </w:pPr>
                  <w:r>
                    <w:rPr>
                      <w:rFonts w:hint="eastAsia" w:ascii="Times New Roman" w:hAnsi="Times New Roman"/>
                      <w:color w:val="auto"/>
                      <w:spacing w:val="-5"/>
                      <w:sz w:val="21"/>
                      <w:lang w:val="en-US" w:eastAsia="zh-CN"/>
                    </w:rPr>
                    <w:t>硫化氢</w:t>
                  </w:r>
                </w:p>
              </w:tc>
              <w:tc>
                <w:tcPr>
                  <w:tcW w:w="569" w:type="pct"/>
                  <w:vMerge w:val="continue"/>
                  <w:tcBorders>
                    <w:left w:val="single" w:color="000000" w:sz="4" w:space="0"/>
                    <w:right w:val="single" w:color="000000" w:sz="4" w:space="0"/>
                  </w:tcBorders>
                  <w:vAlign w:val="center"/>
                </w:tcPr>
                <w:p w14:paraId="56338C43">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p>
              </w:tc>
              <w:tc>
                <w:tcPr>
                  <w:tcW w:w="1592" w:type="pct"/>
                  <w:tcBorders>
                    <w:top w:val="single" w:color="000000" w:sz="6" w:space="0"/>
                    <w:left w:val="single" w:color="000000" w:sz="4" w:space="0"/>
                    <w:bottom w:val="single" w:color="000000" w:sz="6" w:space="0"/>
                    <w:right w:val="single" w:color="000000" w:sz="4" w:space="0"/>
                  </w:tcBorders>
                  <w:vAlign w:val="center"/>
                </w:tcPr>
                <w:p w14:paraId="54D45F43">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auto"/>
                      <w:spacing w:val="-5"/>
                      <w:sz w:val="21"/>
                      <w:lang w:val="en-US" w:eastAsia="zh-CN"/>
                    </w:rPr>
                  </w:pPr>
                  <w:r>
                    <w:rPr>
                      <w:rFonts w:ascii="Times New Roman" w:hAnsi="Times New Roman" w:eastAsia="宋体"/>
                      <w:color w:val="auto"/>
                      <w:spacing w:val="-5"/>
                      <w:sz w:val="21"/>
                      <w:highlight w:val="none"/>
                    </w:rPr>
                    <w:t>≤</w:t>
                  </w:r>
                  <w:r>
                    <w:rPr>
                      <w:rFonts w:hint="eastAsia" w:ascii="Times New Roman" w:hAnsi="Times New Roman" w:eastAsia="宋体"/>
                      <w:color w:val="auto"/>
                      <w:spacing w:val="-5"/>
                      <w:sz w:val="21"/>
                      <w:highlight w:val="none"/>
                      <w:lang w:val="en-US" w:eastAsia="zh-CN"/>
                    </w:rPr>
                    <w:t>0.</w:t>
                  </w:r>
                  <w:r>
                    <w:rPr>
                      <w:rFonts w:hint="eastAsia" w:ascii="Times New Roman" w:hAnsi="Times New Roman"/>
                      <w:color w:val="auto"/>
                      <w:spacing w:val="-5"/>
                      <w:sz w:val="21"/>
                      <w:highlight w:val="none"/>
                      <w:lang w:val="en-US" w:eastAsia="zh-CN"/>
                    </w:rPr>
                    <w:t>0</w:t>
                  </w:r>
                  <w:r>
                    <w:rPr>
                      <w:rFonts w:hint="eastAsia" w:ascii="Times New Roman" w:hAnsi="Times New Roman" w:eastAsia="宋体"/>
                      <w:color w:val="auto"/>
                      <w:spacing w:val="-5"/>
                      <w:sz w:val="21"/>
                      <w:highlight w:val="none"/>
                      <w:lang w:val="en-US" w:eastAsia="zh-CN"/>
                    </w:rPr>
                    <w:t>6</w:t>
                  </w:r>
                  <w:r>
                    <w:rPr>
                      <w:rFonts w:ascii="Times New Roman" w:hAnsi="Times New Roman" w:eastAsia="宋体"/>
                      <w:color w:val="auto"/>
                      <w:spacing w:val="-5"/>
                      <w:sz w:val="21"/>
                      <w:highlight w:val="none"/>
                    </w:rPr>
                    <w:t>mg/m</w:t>
                  </w:r>
                  <w:r>
                    <w:rPr>
                      <w:rFonts w:ascii="Times New Roman" w:hAnsi="Times New Roman" w:eastAsia="宋体"/>
                      <w:color w:val="auto"/>
                      <w:spacing w:val="-5"/>
                      <w:sz w:val="21"/>
                      <w:highlight w:val="none"/>
                      <w:vertAlign w:val="superscript"/>
                    </w:rPr>
                    <w:t>3</w:t>
                  </w:r>
                </w:p>
              </w:tc>
              <w:tc>
                <w:tcPr>
                  <w:tcW w:w="2276" w:type="pct"/>
                  <w:vMerge w:val="continue"/>
                  <w:tcBorders>
                    <w:left w:val="single" w:color="000000" w:sz="4" w:space="0"/>
                    <w:right w:val="nil"/>
                  </w:tcBorders>
                  <w:vAlign w:val="center"/>
                </w:tcPr>
                <w:p w14:paraId="3CA8CC6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p>
              </w:tc>
            </w:tr>
            <w:tr w14:paraId="5685F5C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0" w:hRule="atLeast"/>
              </w:trPr>
              <w:tc>
                <w:tcPr>
                  <w:tcW w:w="561" w:type="pct"/>
                  <w:tcBorders>
                    <w:top w:val="single" w:color="000000" w:sz="6" w:space="0"/>
                    <w:left w:val="nil"/>
                    <w:bottom w:val="single" w:color="000000" w:sz="12" w:space="0"/>
                    <w:right w:val="single" w:color="000000" w:sz="4" w:space="0"/>
                  </w:tcBorders>
                  <w:vAlign w:val="center"/>
                </w:tcPr>
                <w:p w14:paraId="27A9DE9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color w:val="auto"/>
                      <w:spacing w:val="-5"/>
                      <w:sz w:val="21"/>
                      <w:lang w:val="en-US" w:eastAsia="zh-CN"/>
                    </w:rPr>
                  </w:pPr>
                  <w:r>
                    <w:rPr>
                      <w:rFonts w:hint="eastAsia" w:ascii="Times New Roman" w:hAnsi="Times New Roman"/>
                      <w:color w:val="auto"/>
                      <w:spacing w:val="-5"/>
                      <w:sz w:val="21"/>
                      <w:lang w:val="en-US" w:eastAsia="zh-CN"/>
                    </w:rPr>
                    <w:t>臭气浓度</w:t>
                  </w:r>
                </w:p>
              </w:tc>
              <w:tc>
                <w:tcPr>
                  <w:tcW w:w="569" w:type="pct"/>
                  <w:vMerge w:val="continue"/>
                  <w:tcBorders>
                    <w:left w:val="single" w:color="000000" w:sz="4" w:space="0"/>
                    <w:bottom w:val="single" w:color="000000" w:sz="12" w:space="0"/>
                    <w:right w:val="single" w:color="000000" w:sz="4" w:space="0"/>
                  </w:tcBorders>
                  <w:vAlign w:val="center"/>
                </w:tcPr>
                <w:p w14:paraId="0C810AD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p>
              </w:tc>
              <w:tc>
                <w:tcPr>
                  <w:tcW w:w="1592" w:type="pct"/>
                  <w:tcBorders>
                    <w:top w:val="single" w:color="000000" w:sz="6" w:space="0"/>
                    <w:left w:val="single" w:color="000000" w:sz="4" w:space="0"/>
                    <w:bottom w:val="single" w:color="000000" w:sz="12" w:space="0"/>
                    <w:right w:val="single" w:color="000000" w:sz="4" w:space="0"/>
                  </w:tcBorders>
                  <w:vAlign w:val="center"/>
                </w:tcPr>
                <w:p w14:paraId="0640BD3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olor w:val="auto"/>
                      <w:spacing w:val="-5"/>
                      <w:sz w:val="21"/>
                      <w:lang w:val="en-US" w:eastAsia="zh-CN"/>
                    </w:rPr>
                  </w:pPr>
                  <w:r>
                    <w:rPr>
                      <w:rFonts w:ascii="Times New Roman" w:hAnsi="Times New Roman" w:eastAsia="宋体"/>
                      <w:color w:val="auto"/>
                      <w:spacing w:val="-5"/>
                      <w:sz w:val="21"/>
                    </w:rPr>
                    <w:t>≤</w:t>
                  </w:r>
                  <w:r>
                    <w:rPr>
                      <w:rFonts w:hint="eastAsia" w:ascii="Times New Roman" w:hAnsi="Times New Roman" w:eastAsia="宋体"/>
                      <w:color w:val="auto"/>
                      <w:spacing w:val="-5"/>
                      <w:sz w:val="21"/>
                      <w:lang w:val="en-US" w:eastAsia="zh-CN"/>
                    </w:rPr>
                    <w:t>20（无量纲）</w:t>
                  </w:r>
                </w:p>
              </w:tc>
              <w:tc>
                <w:tcPr>
                  <w:tcW w:w="2276" w:type="pct"/>
                  <w:vMerge w:val="continue"/>
                  <w:tcBorders>
                    <w:left w:val="single" w:color="000000" w:sz="4" w:space="0"/>
                    <w:bottom w:val="single" w:color="000000" w:sz="12" w:space="0"/>
                    <w:right w:val="nil"/>
                  </w:tcBorders>
                  <w:vAlign w:val="center"/>
                </w:tcPr>
                <w:p w14:paraId="2E0FFEE4">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color w:val="auto"/>
                      <w:spacing w:val="0"/>
                      <w:sz w:val="21"/>
                      <w:szCs w:val="21"/>
                    </w:rPr>
                  </w:pPr>
                </w:p>
              </w:tc>
            </w:tr>
          </w:tbl>
          <w:p w14:paraId="6F74AE75">
            <w:pPr>
              <w:rPr>
                <w:rFonts w:hint="default"/>
                <w:color w:val="auto"/>
                <w:lang w:val="en-US" w:eastAsia="zh-CN"/>
              </w:rPr>
            </w:pPr>
          </w:p>
          <w:bookmarkEnd w:id="32"/>
          <w:p w14:paraId="2D8BFDE3">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废水排放标准</w:t>
            </w:r>
          </w:p>
          <w:p w14:paraId="61371D5C">
            <w:pPr>
              <w:pStyle w:val="46"/>
              <w:ind w:firstLine="480"/>
              <w:rPr>
                <w:rFonts w:hint="eastAsia" w:ascii="Times New Roman" w:hAnsi="Times New Roman" w:eastAsia="宋体" w:cs="宋体"/>
                <w:color w:val="auto"/>
                <w:highlight w:val="none"/>
              </w:rPr>
            </w:pPr>
            <w:r>
              <w:rPr>
                <w:rFonts w:hint="eastAsia" w:cs="宋体"/>
                <w:color w:val="auto"/>
                <w:highlight w:val="none"/>
                <w:lang w:eastAsia="zh-CN"/>
              </w:rPr>
              <w:t>（1）</w:t>
            </w:r>
            <w:r>
              <w:rPr>
                <w:rFonts w:hint="eastAsia" w:ascii="Times New Roman" w:hAnsi="Times New Roman" w:eastAsia="宋体" w:cs="宋体"/>
                <w:color w:val="auto"/>
                <w:highlight w:val="none"/>
              </w:rPr>
              <w:t>项目水污染物排放标准</w:t>
            </w:r>
          </w:p>
          <w:p w14:paraId="6D91D43E">
            <w:pPr>
              <w:pStyle w:val="46"/>
              <w:ind w:firstLine="48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项目生产废水经自建</w:t>
            </w:r>
            <w:r>
              <w:rPr>
                <w:rFonts w:hint="eastAsia" w:cs="宋体"/>
                <w:color w:val="auto"/>
                <w:highlight w:val="none"/>
                <w:lang w:eastAsia="zh-CN"/>
              </w:rPr>
              <w:t>废水处理设施</w:t>
            </w:r>
            <w:r>
              <w:rPr>
                <w:rFonts w:hint="eastAsia" w:ascii="Times New Roman" w:hAnsi="Times New Roman" w:eastAsia="宋体" w:cs="宋体"/>
                <w:color w:val="auto"/>
                <w:highlight w:val="none"/>
              </w:rPr>
              <w:t>处理后排入市政污水管网送往</w:t>
            </w:r>
            <w:r>
              <w:rPr>
                <w:rFonts w:hint="eastAsia" w:ascii="Times New Roman" w:hAnsi="Times New Roman" w:eastAsia="宋体" w:cs="宋体"/>
                <w:color w:val="auto"/>
                <w:highlight w:val="none"/>
                <w:lang w:eastAsia="zh-CN"/>
              </w:rPr>
              <w:t>福清市第二污水处理厂</w:t>
            </w:r>
            <w:r>
              <w:rPr>
                <w:rFonts w:hint="eastAsia" w:ascii="Times New Roman" w:hAnsi="Times New Roman" w:eastAsia="宋体" w:cs="宋体"/>
                <w:color w:val="auto"/>
                <w:highlight w:val="none"/>
              </w:rPr>
              <w:t>集中处理，生活污水依托出租方化粪池处理后排入市政污水管网送往</w:t>
            </w:r>
            <w:r>
              <w:rPr>
                <w:rFonts w:hint="eastAsia" w:ascii="Times New Roman" w:hAnsi="Times New Roman" w:eastAsia="宋体" w:cs="宋体"/>
                <w:color w:val="auto"/>
                <w:highlight w:val="none"/>
                <w:lang w:eastAsia="zh-CN"/>
              </w:rPr>
              <w:t>福清市第二污水处理厂</w:t>
            </w:r>
            <w:r>
              <w:rPr>
                <w:rFonts w:hint="eastAsia" w:ascii="Times New Roman" w:hAnsi="Times New Roman" w:eastAsia="宋体" w:cs="宋体"/>
                <w:color w:val="auto"/>
                <w:highlight w:val="none"/>
              </w:rPr>
              <w:t>集中处理；</w:t>
            </w:r>
            <w:r>
              <w:rPr>
                <w:rFonts w:hint="eastAsia" w:cs="宋体"/>
                <w:color w:val="auto"/>
                <w:highlight w:val="none"/>
                <w:lang w:val="en-US" w:eastAsia="zh-CN"/>
              </w:rPr>
              <w:t>项目</w:t>
            </w:r>
            <w:r>
              <w:rPr>
                <w:rFonts w:hint="eastAsia" w:ascii="Times New Roman" w:hAnsi="Times New Roman" w:eastAsia="宋体" w:cs="宋体"/>
                <w:color w:val="auto"/>
                <w:highlight w:val="none"/>
              </w:rPr>
              <w:t>外排污水执行《污水综合排放标准》</w:t>
            </w:r>
            <w:r>
              <w:rPr>
                <w:rFonts w:hint="eastAsia" w:cs="宋体"/>
                <w:color w:val="auto"/>
                <w:highlight w:val="none"/>
                <w:lang w:eastAsia="zh-CN"/>
              </w:rPr>
              <w:t>（</w:t>
            </w:r>
            <w:r>
              <w:rPr>
                <w:rFonts w:hint="eastAsia" w:ascii="Times New Roman" w:hAnsi="Times New Roman" w:eastAsia="宋体" w:cs="宋体"/>
                <w:color w:val="auto"/>
                <w:highlight w:val="none"/>
              </w:rPr>
              <w:t>GB8978-1996</w:t>
            </w:r>
            <w:r>
              <w:rPr>
                <w:rFonts w:hint="eastAsia" w:cs="宋体"/>
                <w:color w:val="auto"/>
                <w:highlight w:val="none"/>
                <w:lang w:eastAsia="zh-CN"/>
              </w:rPr>
              <w:t>）</w:t>
            </w:r>
            <w:r>
              <w:rPr>
                <w:rFonts w:hint="eastAsia" w:ascii="Times New Roman" w:hAnsi="Times New Roman" w:eastAsia="宋体" w:cs="宋体"/>
                <w:color w:val="auto"/>
                <w:highlight w:val="none"/>
              </w:rPr>
              <w:t>表4中的三级标准，氨氮参照执行《污水排入城镇下水道水质标准》</w:t>
            </w:r>
            <w:r>
              <w:rPr>
                <w:rFonts w:hint="eastAsia" w:cs="宋体"/>
                <w:color w:val="auto"/>
                <w:highlight w:val="none"/>
                <w:lang w:eastAsia="zh-CN"/>
              </w:rPr>
              <w:t>（</w:t>
            </w:r>
            <w:r>
              <w:rPr>
                <w:rFonts w:hint="eastAsia" w:ascii="Times New Roman" w:hAnsi="Times New Roman" w:eastAsia="宋体" w:cs="宋体"/>
                <w:color w:val="auto"/>
                <w:highlight w:val="none"/>
              </w:rPr>
              <w:t>GB/T 31962-2015</w:t>
            </w:r>
            <w:r>
              <w:rPr>
                <w:rFonts w:hint="eastAsia" w:cs="宋体"/>
                <w:color w:val="auto"/>
                <w:highlight w:val="none"/>
                <w:lang w:eastAsia="zh-CN"/>
              </w:rPr>
              <w:t>）</w:t>
            </w:r>
            <w:r>
              <w:rPr>
                <w:rFonts w:hint="eastAsia" w:ascii="Times New Roman" w:hAnsi="Times New Roman" w:eastAsia="宋体" w:cs="宋体"/>
                <w:color w:val="auto"/>
                <w:highlight w:val="none"/>
              </w:rPr>
              <w:t>表1中B级标准，详见表3.</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p>
          <w:p w14:paraId="70BDA2C5">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项目污水排放标准限值一览表</w:t>
            </w:r>
          </w:p>
          <w:tbl>
            <w:tblPr>
              <w:tblStyle w:val="34"/>
              <w:tblW w:w="0" w:type="auto"/>
              <w:tblInd w:w="6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85"/>
              <w:gridCol w:w="1943"/>
              <w:gridCol w:w="4178"/>
            </w:tblGrid>
            <w:tr w14:paraId="272F4B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bottom w:val="single" w:color="000000" w:sz="12" w:space="0"/>
                  </w:tcBorders>
                  <w:vAlign w:val="center"/>
                </w:tcPr>
                <w:p w14:paraId="1A6F509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rPr>
                  </w:pPr>
                  <w:r>
                    <w:rPr>
                      <w:color w:val="auto"/>
                      <w:spacing w:val="-4"/>
                      <w:sz w:val="21"/>
                    </w:rPr>
                    <w:t>污染物名称</w:t>
                  </w:r>
                </w:p>
              </w:tc>
              <w:tc>
                <w:tcPr>
                  <w:tcW w:w="1943" w:type="dxa"/>
                  <w:tcBorders>
                    <w:bottom w:val="single" w:color="000000" w:sz="12" w:space="0"/>
                  </w:tcBorders>
                  <w:vAlign w:val="center"/>
                </w:tcPr>
                <w:p w14:paraId="6498A94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rPr>
                  </w:pPr>
                  <w:r>
                    <w:rPr>
                      <w:color w:val="auto"/>
                      <w:spacing w:val="-4"/>
                      <w:sz w:val="21"/>
                    </w:rPr>
                    <w:t>三级标准值</w:t>
                  </w:r>
                </w:p>
              </w:tc>
              <w:tc>
                <w:tcPr>
                  <w:tcW w:w="4178" w:type="dxa"/>
                  <w:tcBorders>
                    <w:bottom w:val="single" w:color="000000" w:sz="12" w:space="0"/>
                  </w:tcBorders>
                  <w:vAlign w:val="center"/>
                </w:tcPr>
                <w:p w14:paraId="1B3ED3E5">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rPr>
                  </w:pPr>
                  <w:r>
                    <w:rPr>
                      <w:color w:val="auto"/>
                      <w:spacing w:val="-7"/>
                      <w:sz w:val="21"/>
                    </w:rPr>
                    <w:t>标准来源</w:t>
                  </w:r>
                </w:p>
              </w:tc>
            </w:tr>
            <w:tr w14:paraId="7DB413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op w:val="single" w:color="000000" w:sz="12" w:space="0"/>
                    <w:tl2br w:val="nil"/>
                    <w:tr2bl w:val="nil"/>
                  </w:tcBorders>
                  <w:vAlign w:val="center"/>
                </w:tcPr>
                <w:p w14:paraId="24516DD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5"/>
                      <w:sz w:val="21"/>
                    </w:rPr>
                    <w:t>pH</w:t>
                  </w:r>
                </w:p>
              </w:tc>
              <w:tc>
                <w:tcPr>
                  <w:tcW w:w="1943" w:type="dxa"/>
                  <w:tcBorders>
                    <w:top w:val="single" w:color="000000" w:sz="12" w:space="0"/>
                    <w:tl2br w:val="nil"/>
                    <w:tr2bl w:val="nil"/>
                  </w:tcBorders>
                  <w:vAlign w:val="center"/>
                </w:tcPr>
                <w:p w14:paraId="7F76D3CF">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eastAsia="Times New Roman"/>
                      <w:color w:val="auto"/>
                      <w:sz w:val="21"/>
                    </w:rPr>
                  </w:pPr>
                  <w:r>
                    <w:rPr>
                      <w:rFonts w:ascii="Times New Roman" w:eastAsia="Times New Roman"/>
                      <w:color w:val="auto"/>
                      <w:spacing w:val="-2"/>
                      <w:sz w:val="21"/>
                    </w:rPr>
                    <w:t>6</w:t>
                  </w:r>
                  <w:r>
                    <w:rPr>
                      <w:color w:val="auto"/>
                      <w:spacing w:val="-2"/>
                      <w:sz w:val="21"/>
                    </w:rPr>
                    <w:t>～</w:t>
                  </w:r>
                  <w:r>
                    <w:rPr>
                      <w:rFonts w:ascii="Times New Roman" w:eastAsia="Times New Roman"/>
                      <w:color w:val="auto"/>
                      <w:spacing w:val="-2"/>
                      <w:sz w:val="21"/>
                    </w:rPr>
                    <w:t>9</w:t>
                  </w:r>
                  <w:r>
                    <w:rPr>
                      <w:rFonts w:hint="eastAsia" w:ascii="Times New Roman" w:eastAsia="宋体"/>
                      <w:color w:val="auto"/>
                      <w:spacing w:val="-2"/>
                      <w:sz w:val="21"/>
                      <w:lang w:eastAsia="zh-CN"/>
                    </w:rPr>
                    <w:t>（</w:t>
                  </w:r>
                  <w:r>
                    <w:rPr>
                      <w:color w:val="auto"/>
                      <w:spacing w:val="-2"/>
                      <w:sz w:val="21"/>
                    </w:rPr>
                    <w:t>无量纲</w:t>
                  </w:r>
                  <w:r>
                    <w:rPr>
                      <w:rFonts w:hint="eastAsia"/>
                      <w:color w:val="auto"/>
                      <w:spacing w:val="-2"/>
                      <w:sz w:val="21"/>
                      <w:lang w:eastAsia="zh-CN"/>
                    </w:rPr>
                    <w:t>）</w:t>
                  </w:r>
                </w:p>
              </w:tc>
              <w:tc>
                <w:tcPr>
                  <w:tcW w:w="4178" w:type="dxa"/>
                  <w:vMerge w:val="restart"/>
                  <w:tcBorders>
                    <w:top w:val="single" w:color="000000" w:sz="12" w:space="0"/>
                    <w:tl2br w:val="nil"/>
                    <w:tr2bl w:val="nil"/>
                  </w:tcBorders>
                  <w:vAlign w:val="center"/>
                </w:tcPr>
                <w:p w14:paraId="4AC12A7B">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1"/>
                    </w:rPr>
                  </w:pPr>
                </w:p>
                <w:p w14:paraId="14E9D9C1">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1"/>
                    </w:rPr>
                  </w:pPr>
                  <w:r>
                    <w:rPr>
                      <w:color w:val="auto"/>
                      <w:spacing w:val="-3"/>
                      <w:sz w:val="21"/>
                    </w:rPr>
                    <w:t>《污水综合排放标准》</w:t>
                  </w:r>
                </w:p>
                <w:p w14:paraId="56F92DD3">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eastAsia="Times New Roman"/>
                      <w:color w:val="auto"/>
                      <w:sz w:val="21"/>
                    </w:rPr>
                  </w:pPr>
                  <w:r>
                    <w:rPr>
                      <w:rFonts w:hint="eastAsia" w:ascii="Times New Roman" w:eastAsia="宋体"/>
                      <w:color w:val="auto"/>
                      <w:spacing w:val="-2"/>
                      <w:sz w:val="21"/>
                      <w:lang w:eastAsia="zh-CN"/>
                    </w:rPr>
                    <w:t>（</w:t>
                  </w:r>
                  <w:r>
                    <w:rPr>
                      <w:rFonts w:ascii="Times New Roman" w:eastAsia="Times New Roman"/>
                      <w:color w:val="auto"/>
                      <w:spacing w:val="-2"/>
                      <w:sz w:val="21"/>
                    </w:rPr>
                    <w:t>GB8978-1996</w:t>
                  </w:r>
                  <w:r>
                    <w:rPr>
                      <w:rFonts w:hint="eastAsia" w:ascii="Times New Roman" w:eastAsia="宋体"/>
                      <w:color w:val="auto"/>
                      <w:spacing w:val="-2"/>
                      <w:sz w:val="21"/>
                      <w:lang w:eastAsia="zh-CN"/>
                    </w:rPr>
                    <w:t>）</w:t>
                  </w:r>
                  <w:r>
                    <w:rPr>
                      <w:color w:val="auto"/>
                      <w:spacing w:val="-13"/>
                      <w:sz w:val="21"/>
                    </w:rPr>
                    <w:t>中表</w:t>
                  </w:r>
                  <w:r>
                    <w:rPr>
                      <w:rFonts w:ascii="Times New Roman" w:eastAsia="Times New Roman"/>
                      <w:color w:val="auto"/>
                      <w:spacing w:val="-10"/>
                      <w:sz w:val="21"/>
                    </w:rPr>
                    <w:t>4</w:t>
                  </w:r>
                </w:p>
              </w:tc>
            </w:tr>
            <w:tr w14:paraId="46CC70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5A1E657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5"/>
                      <w:sz w:val="21"/>
                    </w:rPr>
                    <w:t>COD</w:t>
                  </w:r>
                </w:p>
              </w:tc>
              <w:tc>
                <w:tcPr>
                  <w:tcW w:w="1943" w:type="dxa"/>
                  <w:tcBorders>
                    <w:tl2br w:val="nil"/>
                    <w:tr2bl w:val="nil"/>
                  </w:tcBorders>
                  <w:vAlign w:val="center"/>
                </w:tcPr>
                <w:p w14:paraId="2A9B4FC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2"/>
                      <w:sz w:val="21"/>
                    </w:rPr>
                    <w:t>500mg/L</w:t>
                  </w:r>
                </w:p>
              </w:tc>
              <w:tc>
                <w:tcPr>
                  <w:tcW w:w="4178" w:type="dxa"/>
                  <w:vMerge w:val="continue"/>
                  <w:tcBorders>
                    <w:tl2br w:val="nil"/>
                    <w:tr2bl w:val="nil"/>
                  </w:tcBorders>
                  <w:vAlign w:val="center"/>
                </w:tcPr>
                <w:p w14:paraId="68719890">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443E89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1F24602F">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13"/>
                    </w:rPr>
                  </w:pPr>
                  <w:r>
                    <w:rPr>
                      <w:rFonts w:ascii="Times New Roman"/>
                      <w:color w:val="auto"/>
                      <w:spacing w:val="-4"/>
                      <w:position w:val="2"/>
                      <w:sz w:val="21"/>
                    </w:rPr>
                    <w:t>BOD</w:t>
                  </w:r>
                  <w:r>
                    <w:rPr>
                      <w:rFonts w:ascii="Times New Roman"/>
                      <w:color w:val="auto"/>
                      <w:spacing w:val="-4"/>
                      <w:sz w:val="13"/>
                    </w:rPr>
                    <w:t>5</w:t>
                  </w:r>
                </w:p>
              </w:tc>
              <w:tc>
                <w:tcPr>
                  <w:tcW w:w="1943" w:type="dxa"/>
                  <w:tcBorders>
                    <w:tl2br w:val="nil"/>
                    <w:tr2bl w:val="nil"/>
                  </w:tcBorders>
                  <w:vAlign w:val="center"/>
                </w:tcPr>
                <w:p w14:paraId="71261B7D">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2"/>
                      <w:sz w:val="21"/>
                    </w:rPr>
                    <w:t>300mg/L</w:t>
                  </w:r>
                </w:p>
              </w:tc>
              <w:tc>
                <w:tcPr>
                  <w:tcW w:w="4178" w:type="dxa"/>
                  <w:vMerge w:val="continue"/>
                  <w:tcBorders>
                    <w:tl2br w:val="nil"/>
                    <w:tr2bl w:val="nil"/>
                  </w:tcBorders>
                  <w:vAlign w:val="center"/>
                </w:tcPr>
                <w:p w14:paraId="3398FFB8">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741F2C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5592B9E3">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5"/>
                      <w:sz w:val="21"/>
                    </w:rPr>
                    <w:t>SS</w:t>
                  </w:r>
                </w:p>
              </w:tc>
              <w:tc>
                <w:tcPr>
                  <w:tcW w:w="1943" w:type="dxa"/>
                  <w:tcBorders>
                    <w:tl2br w:val="nil"/>
                    <w:tr2bl w:val="nil"/>
                  </w:tcBorders>
                  <w:vAlign w:val="center"/>
                </w:tcPr>
                <w:p w14:paraId="7D552962">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2"/>
                      <w:sz w:val="21"/>
                    </w:rPr>
                    <w:t>400mg/L</w:t>
                  </w:r>
                </w:p>
              </w:tc>
              <w:tc>
                <w:tcPr>
                  <w:tcW w:w="4178" w:type="dxa"/>
                  <w:vMerge w:val="continue"/>
                  <w:tcBorders>
                    <w:tl2br w:val="nil"/>
                    <w:tr2bl w:val="nil"/>
                  </w:tcBorders>
                  <w:vAlign w:val="center"/>
                </w:tcPr>
                <w:p w14:paraId="6F721DF9">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253596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640F5C86">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eastAsia="宋体"/>
                      <w:color w:val="auto"/>
                      <w:spacing w:val="-5"/>
                      <w:sz w:val="21"/>
                      <w:lang w:val="en-US" w:eastAsia="zh-CN"/>
                    </w:rPr>
                  </w:pPr>
                  <w:r>
                    <w:rPr>
                      <w:rFonts w:hint="eastAsia" w:ascii="Times New Roman"/>
                      <w:color w:val="auto"/>
                      <w:spacing w:val="-5"/>
                      <w:sz w:val="21"/>
                      <w:lang w:val="en-US" w:eastAsia="zh-CN"/>
                    </w:rPr>
                    <w:t>石油类</w:t>
                  </w:r>
                </w:p>
              </w:tc>
              <w:tc>
                <w:tcPr>
                  <w:tcW w:w="1943" w:type="dxa"/>
                  <w:tcBorders>
                    <w:tl2br w:val="nil"/>
                    <w:tr2bl w:val="nil"/>
                  </w:tcBorders>
                  <w:vAlign w:val="center"/>
                </w:tcPr>
                <w:p w14:paraId="71EBE56C">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pacing w:val="-2"/>
                      <w:sz w:val="21"/>
                    </w:rPr>
                  </w:pPr>
                  <w:r>
                    <w:rPr>
                      <w:rFonts w:hint="eastAsia" w:ascii="Times New Roman"/>
                      <w:color w:val="auto"/>
                      <w:spacing w:val="-2"/>
                      <w:sz w:val="21"/>
                      <w:lang w:val="en-US" w:eastAsia="zh-CN"/>
                    </w:rPr>
                    <w:t>20</w:t>
                  </w:r>
                  <w:r>
                    <w:rPr>
                      <w:rFonts w:ascii="Times New Roman"/>
                      <w:color w:val="auto"/>
                      <w:spacing w:val="-2"/>
                      <w:sz w:val="21"/>
                    </w:rPr>
                    <w:t>mg/L</w:t>
                  </w:r>
                </w:p>
              </w:tc>
              <w:tc>
                <w:tcPr>
                  <w:tcW w:w="4178" w:type="dxa"/>
                  <w:vMerge w:val="continue"/>
                  <w:tcBorders>
                    <w:tl2br w:val="nil"/>
                    <w:tr2bl w:val="nil"/>
                  </w:tcBorders>
                  <w:vAlign w:val="center"/>
                </w:tcPr>
                <w:p w14:paraId="68D6AB46">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56B28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3903E91E">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color w:val="auto"/>
                      <w:spacing w:val="-5"/>
                      <w:sz w:val="21"/>
                      <w:lang w:val="en-US" w:eastAsia="zh-CN"/>
                    </w:rPr>
                  </w:pPr>
                  <w:r>
                    <w:rPr>
                      <w:rFonts w:hint="eastAsia" w:ascii="Times New Roman"/>
                      <w:color w:val="auto"/>
                      <w:spacing w:val="-5"/>
                      <w:sz w:val="21"/>
                      <w:lang w:val="en-US" w:eastAsia="zh-CN"/>
                    </w:rPr>
                    <w:t>LAS</w:t>
                  </w:r>
                </w:p>
              </w:tc>
              <w:tc>
                <w:tcPr>
                  <w:tcW w:w="1943" w:type="dxa"/>
                  <w:tcBorders>
                    <w:tl2br w:val="nil"/>
                    <w:tr2bl w:val="nil"/>
                  </w:tcBorders>
                  <w:vAlign w:val="center"/>
                </w:tcPr>
                <w:p w14:paraId="23A3BE31">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color w:val="auto"/>
                      <w:spacing w:val="-2"/>
                      <w:sz w:val="21"/>
                      <w:lang w:val="en-US" w:eastAsia="zh-CN"/>
                    </w:rPr>
                  </w:pPr>
                  <w:r>
                    <w:rPr>
                      <w:rFonts w:hint="eastAsia" w:ascii="Times New Roman"/>
                      <w:color w:val="auto"/>
                      <w:spacing w:val="-2"/>
                      <w:sz w:val="21"/>
                      <w:lang w:val="en-US" w:eastAsia="zh-CN"/>
                    </w:rPr>
                    <w:t>20</w:t>
                  </w:r>
                  <w:r>
                    <w:rPr>
                      <w:rFonts w:ascii="Times New Roman"/>
                      <w:color w:val="auto"/>
                      <w:spacing w:val="-2"/>
                      <w:sz w:val="21"/>
                    </w:rPr>
                    <w:t>mg/L</w:t>
                  </w:r>
                </w:p>
              </w:tc>
              <w:tc>
                <w:tcPr>
                  <w:tcW w:w="4178" w:type="dxa"/>
                  <w:vMerge w:val="continue"/>
                  <w:tcBorders>
                    <w:tl2br w:val="nil"/>
                    <w:tr2bl w:val="nil"/>
                  </w:tcBorders>
                  <w:vAlign w:val="center"/>
                </w:tcPr>
                <w:p w14:paraId="5B23494E">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
                      <w:szCs w:val="2"/>
                    </w:rPr>
                  </w:pPr>
                </w:p>
              </w:tc>
            </w:tr>
            <w:tr w14:paraId="620656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785" w:type="dxa"/>
                  <w:tcBorders>
                    <w:tl2br w:val="nil"/>
                    <w:tr2bl w:val="nil"/>
                  </w:tcBorders>
                  <w:vAlign w:val="center"/>
                </w:tcPr>
                <w:p w14:paraId="29690767">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auto"/>
                      <w:sz w:val="21"/>
                    </w:rPr>
                  </w:pPr>
                  <w:r>
                    <w:rPr>
                      <w:color w:val="auto"/>
                      <w:spacing w:val="-8"/>
                      <w:sz w:val="21"/>
                    </w:rPr>
                    <w:t>氨氮</w:t>
                  </w:r>
                </w:p>
              </w:tc>
              <w:tc>
                <w:tcPr>
                  <w:tcW w:w="1943" w:type="dxa"/>
                  <w:tcBorders>
                    <w:tl2br w:val="nil"/>
                    <w:tr2bl w:val="nil"/>
                  </w:tcBorders>
                  <w:vAlign w:val="center"/>
                </w:tcPr>
                <w:p w14:paraId="5AC54A80">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color w:val="auto"/>
                      <w:sz w:val="21"/>
                    </w:rPr>
                  </w:pPr>
                  <w:r>
                    <w:rPr>
                      <w:rFonts w:ascii="Times New Roman"/>
                      <w:color w:val="auto"/>
                      <w:spacing w:val="-2"/>
                      <w:sz w:val="21"/>
                    </w:rPr>
                    <w:t>45mg/L</w:t>
                  </w:r>
                </w:p>
              </w:tc>
              <w:tc>
                <w:tcPr>
                  <w:tcW w:w="4178" w:type="dxa"/>
                  <w:tcBorders>
                    <w:tl2br w:val="nil"/>
                    <w:tr2bl w:val="nil"/>
                  </w:tcBorders>
                  <w:vAlign w:val="center"/>
                </w:tcPr>
                <w:p w14:paraId="30F50CD9">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1"/>
                    </w:rPr>
                  </w:pPr>
                  <w:r>
                    <w:rPr>
                      <w:color w:val="auto"/>
                      <w:spacing w:val="-3"/>
                      <w:sz w:val="21"/>
                    </w:rPr>
                    <w:t>《污水排入城镇下水道水质标准》</w:t>
                  </w:r>
                </w:p>
                <w:p w14:paraId="359149BF">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color w:val="auto"/>
                      <w:sz w:val="21"/>
                    </w:rPr>
                  </w:pPr>
                  <w:r>
                    <w:rPr>
                      <w:rFonts w:hint="eastAsia" w:ascii="Times New Roman" w:eastAsia="宋体"/>
                      <w:color w:val="auto"/>
                      <w:sz w:val="21"/>
                      <w:lang w:eastAsia="zh-CN"/>
                    </w:rPr>
                    <w:t>（</w:t>
                  </w:r>
                  <w:r>
                    <w:rPr>
                      <w:rFonts w:ascii="Times New Roman" w:eastAsia="Times New Roman"/>
                      <w:color w:val="auto"/>
                      <w:sz w:val="21"/>
                    </w:rPr>
                    <w:t>GB/T</w:t>
                  </w:r>
                  <w:r>
                    <w:rPr>
                      <w:rFonts w:ascii="Times New Roman" w:eastAsia="Times New Roman"/>
                      <w:color w:val="auto"/>
                      <w:spacing w:val="-14"/>
                      <w:sz w:val="21"/>
                    </w:rPr>
                    <w:t xml:space="preserve"> </w:t>
                  </w:r>
                  <w:r>
                    <w:rPr>
                      <w:rFonts w:ascii="Times New Roman" w:eastAsia="Times New Roman"/>
                      <w:color w:val="auto"/>
                      <w:sz w:val="21"/>
                    </w:rPr>
                    <w:t>31962-2015</w:t>
                  </w:r>
                  <w:r>
                    <w:rPr>
                      <w:rFonts w:hint="eastAsia" w:ascii="Times New Roman" w:eastAsia="宋体"/>
                      <w:color w:val="auto"/>
                      <w:sz w:val="21"/>
                      <w:lang w:eastAsia="zh-CN"/>
                    </w:rPr>
                    <w:t>）</w:t>
                  </w:r>
                  <w:r>
                    <w:rPr>
                      <w:color w:val="auto"/>
                      <w:spacing w:val="-27"/>
                      <w:sz w:val="21"/>
                    </w:rPr>
                    <w:t>表</w:t>
                  </w:r>
                  <w:r>
                    <w:rPr>
                      <w:rFonts w:ascii="Times New Roman" w:eastAsia="Times New Roman"/>
                      <w:color w:val="auto"/>
                      <w:sz w:val="21"/>
                    </w:rPr>
                    <w:t>1</w:t>
                  </w:r>
                  <w:r>
                    <w:rPr>
                      <w:color w:val="auto"/>
                      <w:spacing w:val="-27"/>
                      <w:sz w:val="21"/>
                    </w:rPr>
                    <w:t>中</w:t>
                  </w:r>
                  <w:r>
                    <w:rPr>
                      <w:rFonts w:ascii="Times New Roman" w:eastAsia="Times New Roman"/>
                      <w:color w:val="auto"/>
                      <w:sz w:val="21"/>
                    </w:rPr>
                    <w:t>B</w:t>
                  </w:r>
                  <w:r>
                    <w:rPr>
                      <w:color w:val="auto"/>
                      <w:spacing w:val="-4"/>
                      <w:sz w:val="21"/>
                    </w:rPr>
                    <w:t>级标准</w:t>
                  </w:r>
                </w:p>
              </w:tc>
            </w:tr>
          </w:tbl>
          <w:p w14:paraId="78E2FE40">
            <w:pPr>
              <w:pStyle w:val="97"/>
              <w:numPr>
                <w:ilvl w:val="3"/>
                <w:numId w:val="0"/>
              </w:numPr>
              <w:tabs>
                <w:tab w:val="left" w:pos="767"/>
              </w:tabs>
              <w:spacing w:before="0" w:after="0" w:line="240" w:lineRule="auto"/>
              <w:ind w:left="767" w:leftChars="0" w:right="0" w:rightChars="0" w:hanging="277" w:firstLineChars="0"/>
              <w:jc w:val="left"/>
              <w:rPr>
                <w:color w:val="auto"/>
                <w:sz w:val="24"/>
              </w:rPr>
            </w:pPr>
            <w:r>
              <w:rPr>
                <w:rFonts w:hint="eastAsia" w:ascii="Times New Roman" w:hAnsi="Times New Roman" w:eastAsia="Times New Roman" w:cs="Times New Roman"/>
                <w:b w:val="0"/>
                <w:bCs w:val="0"/>
                <w:i w:val="0"/>
                <w:iCs w:val="0"/>
                <w:color w:val="auto"/>
                <w:spacing w:val="-1"/>
                <w:w w:val="100"/>
                <w:kern w:val="2"/>
                <w:sz w:val="22"/>
                <w:szCs w:val="22"/>
                <w:lang w:val="en-US" w:eastAsia="zh-CN" w:bidi="ar-SA"/>
              </w:rPr>
              <w:t>（2）</w:t>
            </w:r>
            <w:r>
              <w:rPr>
                <w:rFonts w:hint="eastAsia"/>
                <w:color w:val="auto"/>
                <w:spacing w:val="-2"/>
                <w:sz w:val="24"/>
                <w:lang w:eastAsia="zh-CN"/>
              </w:rPr>
              <w:t>污水处理厂</w:t>
            </w:r>
            <w:r>
              <w:rPr>
                <w:color w:val="auto"/>
                <w:spacing w:val="-2"/>
                <w:sz w:val="24"/>
              </w:rPr>
              <w:t>排放标准</w:t>
            </w:r>
          </w:p>
          <w:p w14:paraId="37C65E20">
            <w:pPr>
              <w:pStyle w:val="97"/>
              <w:spacing w:before="158" w:line="364" w:lineRule="auto"/>
              <w:ind w:left="10" w:right="87" w:firstLine="480"/>
              <w:jc w:val="both"/>
              <w:rPr>
                <w:color w:val="auto"/>
                <w:spacing w:val="-2"/>
                <w:sz w:val="24"/>
              </w:rPr>
            </w:pPr>
            <w:r>
              <w:rPr>
                <w:color w:val="auto"/>
                <w:spacing w:val="-2"/>
                <w:sz w:val="24"/>
              </w:rPr>
              <w:t>根据调查，</w:t>
            </w:r>
            <w:r>
              <w:rPr>
                <w:rFonts w:hint="eastAsia"/>
                <w:color w:val="auto"/>
                <w:spacing w:val="-2"/>
                <w:sz w:val="24"/>
                <w:lang w:eastAsia="zh-CN"/>
              </w:rPr>
              <w:t>福清市第二污水处理厂</w:t>
            </w:r>
            <w:r>
              <w:rPr>
                <w:color w:val="auto"/>
                <w:spacing w:val="-2"/>
                <w:sz w:val="24"/>
              </w:rPr>
              <w:t>尾水排放执行《城镇污水处理厂污染物排放标准》</w:t>
            </w:r>
            <w:r>
              <w:rPr>
                <w:rFonts w:hint="eastAsia"/>
                <w:color w:val="auto"/>
                <w:spacing w:val="-2"/>
                <w:sz w:val="24"/>
                <w:lang w:val="en-US" w:eastAsia="zh-CN"/>
              </w:rPr>
              <w:t>（</w:t>
            </w:r>
            <w:r>
              <w:rPr>
                <w:rFonts w:ascii="Times New Roman" w:eastAsia="Times New Roman"/>
                <w:color w:val="auto"/>
                <w:spacing w:val="-2"/>
                <w:sz w:val="24"/>
              </w:rPr>
              <w:t>GB18918-2002</w:t>
            </w:r>
            <w:r>
              <w:rPr>
                <w:rFonts w:hint="eastAsia" w:ascii="Times New Roman" w:eastAsia="宋体"/>
                <w:color w:val="auto"/>
                <w:spacing w:val="-2"/>
                <w:sz w:val="24"/>
                <w:lang w:eastAsia="zh-CN"/>
              </w:rPr>
              <w:t>）</w:t>
            </w:r>
            <w:r>
              <w:rPr>
                <w:color w:val="auto"/>
                <w:spacing w:val="-6"/>
                <w:sz w:val="24"/>
              </w:rPr>
              <w:t>及其修改单表</w:t>
            </w:r>
            <w:r>
              <w:rPr>
                <w:rFonts w:ascii="Times New Roman" w:eastAsia="Times New Roman"/>
                <w:color w:val="auto"/>
                <w:spacing w:val="-2"/>
                <w:sz w:val="24"/>
              </w:rPr>
              <w:t>1</w:t>
            </w:r>
            <w:r>
              <w:rPr>
                <w:color w:val="auto"/>
                <w:spacing w:val="-9"/>
                <w:sz w:val="24"/>
              </w:rPr>
              <w:t>的一级</w:t>
            </w:r>
            <w:r>
              <w:rPr>
                <w:rFonts w:ascii="Times New Roman" w:eastAsia="Times New Roman"/>
                <w:color w:val="auto"/>
                <w:spacing w:val="-2"/>
                <w:sz w:val="24"/>
              </w:rPr>
              <w:t>A</w:t>
            </w:r>
            <w:r>
              <w:rPr>
                <w:color w:val="auto"/>
                <w:spacing w:val="-2"/>
                <w:sz w:val="24"/>
              </w:rPr>
              <w:t>标准，具体详见表</w:t>
            </w:r>
            <w:r>
              <w:rPr>
                <w:rFonts w:ascii="Times New Roman" w:eastAsia="Times New Roman"/>
                <w:color w:val="auto"/>
                <w:spacing w:val="-2"/>
                <w:sz w:val="24"/>
              </w:rPr>
              <w:t>3.</w:t>
            </w:r>
            <w:r>
              <w:rPr>
                <w:rFonts w:hint="eastAsia" w:ascii="Times New Roman" w:eastAsia="宋体"/>
                <w:color w:val="auto"/>
                <w:spacing w:val="-2"/>
                <w:sz w:val="24"/>
                <w:lang w:val="en-US" w:eastAsia="zh-CN"/>
              </w:rPr>
              <w:t>3</w:t>
            </w:r>
            <w:r>
              <w:rPr>
                <w:rFonts w:ascii="Times New Roman" w:eastAsia="Times New Roman"/>
                <w:color w:val="auto"/>
                <w:spacing w:val="-2"/>
                <w:sz w:val="24"/>
              </w:rPr>
              <w:t>-</w:t>
            </w:r>
            <w:r>
              <w:rPr>
                <w:rFonts w:hint="eastAsia" w:ascii="Times New Roman" w:eastAsia="宋体"/>
                <w:color w:val="auto"/>
                <w:spacing w:val="-2"/>
                <w:sz w:val="24"/>
                <w:lang w:val="en-US" w:eastAsia="zh-CN"/>
              </w:rPr>
              <w:t>4</w:t>
            </w:r>
            <w:r>
              <w:rPr>
                <w:color w:val="auto"/>
                <w:spacing w:val="-2"/>
                <w:sz w:val="24"/>
              </w:rPr>
              <w:t>。</w:t>
            </w:r>
          </w:p>
          <w:p w14:paraId="673A16C8">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污水处理厂尾水排放标准一览表</w:t>
            </w:r>
          </w:p>
          <w:tbl>
            <w:tblPr>
              <w:tblStyle w:val="35"/>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90"/>
              <w:gridCol w:w="1991"/>
              <w:gridCol w:w="1992"/>
              <w:gridCol w:w="1991"/>
            </w:tblGrid>
            <w:tr w14:paraId="22485B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bottom w:val="single" w:color="000000" w:sz="12" w:space="0"/>
                  </w:tcBorders>
                  <w:vAlign w:val="center"/>
                </w:tcPr>
                <w:p w14:paraId="28BF05E4">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8"/>
                      <w:sz w:val="21"/>
                    </w:rPr>
                    <w:t>序号</w:t>
                  </w:r>
                </w:p>
              </w:tc>
              <w:tc>
                <w:tcPr>
                  <w:tcW w:w="1991" w:type="dxa"/>
                  <w:tcBorders>
                    <w:bottom w:val="single" w:color="000000" w:sz="12" w:space="0"/>
                  </w:tcBorders>
                  <w:vAlign w:val="center"/>
                </w:tcPr>
                <w:p w14:paraId="27A0820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4"/>
                      <w:sz w:val="21"/>
                    </w:rPr>
                    <w:t>污染物名称</w:t>
                  </w:r>
                </w:p>
              </w:tc>
              <w:tc>
                <w:tcPr>
                  <w:tcW w:w="1992" w:type="dxa"/>
                  <w:tcBorders>
                    <w:bottom w:val="single" w:color="000000" w:sz="12" w:space="0"/>
                  </w:tcBorders>
                  <w:vAlign w:val="center"/>
                </w:tcPr>
                <w:p w14:paraId="6B7B7F9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1"/>
                      <w:sz w:val="21"/>
                    </w:rPr>
                    <w:t>一级标准</w:t>
                  </w:r>
                  <w:r>
                    <w:rPr>
                      <w:rFonts w:ascii="Times New Roman" w:hAnsi="Times New Roman" w:eastAsia="宋体"/>
                      <w:color w:val="auto"/>
                      <w:sz w:val="21"/>
                    </w:rPr>
                    <w:t>A</w:t>
                  </w:r>
                  <w:r>
                    <w:rPr>
                      <w:rFonts w:ascii="Times New Roman" w:hAnsi="Times New Roman" w:eastAsia="宋体"/>
                      <w:color w:val="auto"/>
                      <w:spacing w:val="-5"/>
                      <w:sz w:val="21"/>
                    </w:rPr>
                    <w:t>标准</w:t>
                  </w:r>
                </w:p>
              </w:tc>
              <w:tc>
                <w:tcPr>
                  <w:tcW w:w="1991" w:type="dxa"/>
                  <w:tcBorders>
                    <w:bottom w:val="single" w:color="000000" w:sz="12" w:space="0"/>
                  </w:tcBorders>
                  <w:vAlign w:val="center"/>
                </w:tcPr>
                <w:p w14:paraId="0E736547">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r>
                    <w:rPr>
                      <w:rFonts w:ascii="Times New Roman" w:hAnsi="Times New Roman" w:eastAsia="宋体"/>
                      <w:color w:val="auto"/>
                      <w:spacing w:val="-7"/>
                      <w:sz w:val="21"/>
                    </w:rPr>
                    <w:t>标准来源</w:t>
                  </w:r>
                </w:p>
              </w:tc>
            </w:tr>
            <w:tr w14:paraId="7C3530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op w:val="single" w:color="000000" w:sz="12" w:space="0"/>
                    <w:tl2br w:val="nil"/>
                    <w:tr2bl w:val="nil"/>
                  </w:tcBorders>
                  <w:vAlign w:val="center"/>
                </w:tcPr>
                <w:p w14:paraId="37890D1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1</w:t>
                  </w:r>
                </w:p>
              </w:tc>
              <w:tc>
                <w:tcPr>
                  <w:tcW w:w="1991" w:type="dxa"/>
                  <w:tcBorders>
                    <w:top w:val="single" w:color="000000" w:sz="12" w:space="0"/>
                    <w:tl2br w:val="nil"/>
                    <w:tr2bl w:val="nil"/>
                  </w:tcBorders>
                  <w:vAlign w:val="center"/>
                </w:tcPr>
                <w:p w14:paraId="5454BEF2">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5"/>
                      <w:sz w:val="21"/>
                    </w:rPr>
                    <w:t>pH</w:t>
                  </w:r>
                </w:p>
              </w:tc>
              <w:tc>
                <w:tcPr>
                  <w:tcW w:w="1992" w:type="dxa"/>
                  <w:tcBorders>
                    <w:top w:val="single" w:color="000000" w:sz="12" w:space="0"/>
                    <w:tl2br w:val="nil"/>
                    <w:tr2bl w:val="nil"/>
                  </w:tcBorders>
                  <w:vAlign w:val="center"/>
                </w:tcPr>
                <w:p w14:paraId="1CDEB92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6～9</w:t>
                  </w:r>
                  <w:r>
                    <w:rPr>
                      <w:rFonts w:hint="eastAsia" w:ascii="Times New Roman" w:hAnsi="Times New Roman"/>
                      <w:color w:val="auto"/>
                      <w:spacing w:val="-2"/>
                      <w:sz w:val="21"/>
                      <w:lang w:eastAsia="zh-CN"/>
                    </w:rPr>
                    <w:t>（</w:t>
                  </w:r>
                  <w:r>
                    <w:rPr>
                      <w:rFonts w:ascii="Times New Roman" w:hAnsi="Times New Roman" w:eastAsia="宋体"/>
                      <w:color w:val="auto"/>
                      <w:spacing w:val="-2"/>
                      <w:sz w:val="21"/>
                    </w:rPr>
                    <w:t>无量纲</w:t>
                  </w:r>
                  <w:r>
                    <w:rPr>
                      <w:rFonts w:hint="eastAsia" w:ascii="Times New Roman" w:hAnsi="Times New Roman"/>
                      <w:color w:val="auto"/>
                      <w:spacing w:val="-2"/>
                      <w:sz w:val="21"/>
                      <w:lang w:eastAsia="zh-CN"/>
                    </w:rPr>
                    <w:t>）</w:t>
                  </w:r>
                </w:p>
              </w:tc>
              <w:tc>
                <w:tcPr>
                  <w:tcW w:w="1991" w:type="dxa"/>
                  <w:vMerge w:val="restart"/>
                  <w:tcBorders>
                    <w:top w:val="single" w:color="000000" w:sz="12" w:space="0"/>
                    <w:tl2br w:val="nil"/>
                    <w:tr2bl w:val="nil"/>
                  </w:tcBorders>
                  <w:vAlign w:val="center"/>
                </w:tcPr>
                <w:p w14:paraId="012970CB">
                  <w:pPr>
                    <w:pStyle w:val="9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《城镇污水处理厂污染物排放标准》</w:t>
                  </w:r>
                  <w:r>
                    <w:rPr>
                      <w:rFonts w:hint="eastAsia" w:ascii="Times New Roman" w:hAnsi="Times New Roman"/>
                      <w:color w:val="auto"/>
                      <w:spacing w:val="-2"/>
                      <w:sz w:val="21"/>
                      <w:lang w:eastAsia="zh-CN"/>
                    </w:rPr>
                    <w:t>（</w:t>
                  </w:r>
                  <w:r>
                    <w:rPr>
                      <w:rFonts w:ascii="Times New Roman" w:hAnsi="Times New Roman" w:eastAsia="宋体"/>
                      <w:color w:val="auto"/>
                      <w:spacing w:val="-2"/>
                      <w:sz w:val="21"/>
                    </w:rPr>
                    <w:t>GB18918-2002</w:t>
                  </w:r>
                  <w:r>
                    <w:rPr>
                      <w:rFonts w:hint="eastAsia" w:ascii="Times New Roman" w:hAnsi="Times New Roman"/>
                      <w:color w:val="auto"/>
                      <w:spacing w:val="-2"/>
                      <w:sz w:val="21"/>
                      <w:lang w:eastAsia="zh-CN"/>
                    </w:rPr>
                    <w:t>）</w:t>
                  </w:r>
                  <w:r>
                    <w:rPr>
                      <w:rFonts w:ascii="Times New Roman" w:hAnsi="Times New Roman" w:eastAsia="宋体"/>
                      <w:color w:val="auto"/>
                      <w:spacing w:val="-2"/>
                      <w:sz w:val="21"/>
                    </w:rPr>
                    <w:t>及其修</w:t>
                  </w:r>
                  <w:r>
                    <w:rPr>
                      <w:rFonts w:ascii="Times New Roman" w:hAnsi="Times New Roman" w:eastAsia="宋体"/>
                      <w:color w:val="auto"/>
                      <w:spacing w:val="-14"/>
                      <w:sz w:val="21"/>
                    </w:rPr>
                    <w:t>改单表</w:t>
                  </w:r>
                  <w:r>
                    <w:rPr>
                      <w:rFonts w:ascii="Times New Roman" w:hAnsi="Times New Roman" w:eastAsia="宋体"/>
                      <w:color w:val="auto"/>
                      <w:spacing w:val="-10"/>
                      <w:sz w:val="21"/>
                    </w:rPr>
                    <w:t>1</w:t>
                  </w:r>
                </w:p>
              </w:tc>
            </w:tr>
            <w:tr w14:paraId="471068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250DBECF">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2</w:t>
                  </w:r>
                </w:p>
              </w:tc>
              <w:tc>
                <w:tcPr>
                  <w:tcW w:w="1991" w:type="dxa"/>
                  <w:tcBorders>
                    <w:tl2br w:val="nil"/>
                    <w:tr2bl w:val="nil"/>
                  </w:tcBorders>
                  <w:vAlign w:val="center"/>
                </w:tcPr>
                <w:p w14:paraId="0F00C6B3">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5"/>
                      <w:sz w:val="21"/>
                    </w:rPr>
                    <w:t>COD</w:t>
                  </w:r>
                </w:p>
              </w:tc>
              <w:tc>
                <w:tcPr>
                  <w:tcW w:w="1992" w:type="dxa"/>
                  <w:tcBorders>
                    <w:tl2br w:val="nil"/>
                    <w:tr2bl w:val="nil"/>
                  </w:tcBorders>
                  <w:vAlign w:val="center"/>
                </w:tcPr>
                <w:p w14:paraId="4965ABC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50mg/L</w:t>
                  </w:r>
                </w:p>
              </w:tc>
              <w:tc>
                <w:tcPr>
                  <w:tcW w:w="1991" w:type="dxa"/>
                  <w:vMerge w:val="continue"/>
                  <w:tcBorders>
                    <w:tl2br w:val="nil"/>
                    <w:tr2bl w:val="nil"/>
                  </w:tcBorders>
                  <w:vAlign w:val="center"/>
                </w:tcPr>
                <w:p w14:paraId="76C79DAD">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r w14:paraId="17ED96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6DD50E74">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3</w:t>
                  </w:r>
                </w:p>
              </w:tc>
              <w:tc>
                <w:tcPr>
                  <w:tcW w:w="1991" w:type="dxa"/>
                  <w:tcBorders>
                    <w:tl2br w:val="nil"/>
                    <w:tr2bl w:val="nil"/>
                  </w:tcBorders>
                  <w:vAlign w:val="center"/>
                </w:tcPr>
                <w:p w14:paraId="369C50C5">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4"/>
                      <w:position w:val="2"/>
                      <w:sz w:val="21"/>
                    </w:rPr>
                    <w:t>BOD</w:t>
                  </w:r>
                  <w:r>
                    <w:rPr>
                      <w:rFonts w:ascii="Times New Roman" w:hAnsi="Times New Roman" w:eastAsia="宋体"/>
                      <w:color w:val="auto"/>
                      <w:spacing w:val="-4"/>
                      <w:sz w:val="13"/>
                    </w:rPr>
                    <w:t>5</w:t>
                  </w:r>
                </w:p>
              </w:tc>
              <w:tc>
                <w:tcPr>
                  <w:tcW w:w="1992" w:type="dxa"/>
                  <w:tcBorders>
                    <w:tl2br w:val="nil"/>
                    <w:tr2bl w:val="nil"/>
                  </w:tcBorders>
                  <w:vAlign w:val="center"/>
                </w:tcPr>
                <w:p w14:paraId="4D6B7C4A">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10mg/L</w:t>
                  </w:r>
                </w:p>
              </w:tc>
              <w:tc>
                <w:tcPr>
                  <w:tcW w:w="1991" w:type="dxa"/>
                  <w:vMerge w:val="continue"/>
                  <w:tcBorders>
                    <w:tl2br w:val="nil"/>
                    <w:tr2bl w:val="nil"/>
                  </w:tcBorders>
                  <w:vAlign w:val="center"/>
                </w:tcPr>
                <w:p w14:paraId="01F28E3F">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r w14:paraId="30460F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110EE3D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4</w:t>
                  </w:r>
                </w:p>
              </w:tc>
              <w:tc>
                <w:tcPr>
                  <w:tcW w:w="1991" w:type="dxa"/>
                  <w:tcBorders>
                    <w:tl2br w:val="nil"/>
                    <w:tr2bl w:val="nil"/>
                  </w:tcBorders>
                  <w:vAlign w:val="center"/>
                </w:tcPr>
                <w:p w14:paraId="7305E476">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5"/>
                      <w:sz w:val="21"/>
                    </w:rPr>
                    <w:t>SS</w:t>
                  </w:r>
                </w:p>
              </w:tc>
              <w:tc>
                <w:tcPr>
                  <w:tcW w:w="1992" w:type="dxa"/>
                  <w:tcBorders>
                    <w:tl2br w:val="nil"/>
                    <w:tr2bl w:val="nil"/>
                  </w:tcBorders>
                  <w:vAlign w:val="center"/>
                </w:tcPr>
                <w:p w14:paraId="1046E088">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10mg/L</w:t>
                  </w:r>
                </w:p>
              </w:tc>
              <w:tc>
                <w:tcPr>
                  <w:tcW w:w="1991" w:type="dxa"/>
                  <w:vMerge w:val="continue"/>
                  <w:tcBorders>
                    <w:tl2br w:val="nil"/>
                    <w:tr2bl w:val="nil"/>
                  </w:tcBorders>
                  <w:vAlign w:val="center"/>
                </w:tcPr>
                <w:p w14:paraId="71C5A492">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r w14:paraId="7B4382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22DB88B3">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10"/>
                      <w:sz w:val="21"/>
                    </w:rPr>
                    <w:t>5</w:t>
                  </w:r>
                </w:p>
              </w:tc>
              <w:tc>
                <w:tcPr>
                  <w:tcW w:w="1991" w:type="dxa"/>
                  <w:tcBorders>
                    <w:tl2br w:val="nil"/>
                    <w:tr2bl w:val="nil"/>
                  </w:tcBorders>
                  <w:vAlign w:val="center"/>
                </w:tcPr>
                <w:p w14:paraId="1FB07CED">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position w:val="2"/>
                      <w:sz w:val="21"/>
                    </w:rPr>
                    <w:t>NH</w:t>
                  </w:r>
                  <w:r>
                    <w:rPr>
                      <w:rFonts w:ascii="Times New Roman" w:hAnsi="Times New Roman" w:eastAsia="宋体"/>
                      <w:color w:val="auto"/>
                      <w:spacing w:val="-2"/>
                      <w:sz w:val="13"/>
                    </w:rPr>
                    <w:t>3</w:t>
                  </w:r>
                  <w:r>
                    <w:rPr>
                      <w:rFonts w:ascii="Times New Roman" w:hAnsi="Times New Roman" w:eastAsia="宋体"/>
                      <w:color w:val="auto"/>
                      <w:spacing w:val="-2"/>
                      <w:position w:val="2"/>
                      <w:sz w:val="21"/>
                    </w:rPr>
                    <w:t>-</w:t>
                  </w:r>
                  <w:r>
                    <w:rPr>
                      <w:rFonts w:ascii="Times New Roman" w:hAnsi="Times New Roman" w:eastAsia="宋体"/>
                      <w:color w:val="auto"/>
                      <w:spacing w:val="-10"/>
                      <w:position w:val="2"/>
                      <w:sz w:val="21"/>
                    </w:rPr>
                    <w:t>N</w:t>
                  </w:r>
                </w:p>
              </w:tc>
              <w:tc>
                <w:tcPr>
                  <w:tcW w:w="1992" w:type="dxa"/>
                  <w:tcBorders>
                    <w:tl2br w:val="nil"/>
                    <w:tr2bl w:val="nil"/>
                  </w:tcBorders>
                  <w:vAlign w:val="center"/>
                </w:tcPr>
                <w:p w14:paraId="6EC5DB67">
                  <w:pPr>
                    <w:pStyle w:val="9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olor w:val="auto"/>
                      <w:sz w:val="24"/>
                      <w:vertAlign w:val="baseline"/>
                    </w:rPr>
                  </w:pPr>
                  <w:r>
                    <w:rPr>
                      <w:rFonts w:ascii="Times New Roman" w:hAnsi="Times New Roman" w:eastAsia="宋体"/>
                      <w:color w:val="auto"/>
                      <w:spacing w:val="-2"/>
                      <w:sz w:val="21"/>
                    </w:rPr>
                    <w:t>5mg/L</w:t>
                  </w:r>
                </w:p>
              </w:tc>
              <w:tc>
                <w:tcPr>
                  <w:tcW w:w="1991" w:type="dxa"/>
                  <w:vMerge w:val="continue"/>
                  <w:tcBorders>
                    <w:tl2br w:val="nil"/>
                    <w:tr2bl w:val="nil"/>
                  </w:tcBorders>
                  <w:vAlign w:val="center"/>
                </w:tcPr>
                <w:p w14:paraId="419E3669">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r w14:paraId="426BA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1990" w:type="dxa"/>
                  <w:tcBorders>
                    <w:tl2br w:val="nil"/>
                    <w:tr2bl w:val="nil"/>
                  </w:tcBorders>
                  <w:vAlign w:val="center"/>
                </w:tcPr>
                <w:p w14:paraId="2389E66A">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6</w:t>
                  </w:r>
                </w:p>
              </w:tc>
              <w:tc>
                <w:tcPr>
                  <w:tcW w:w="1991" w:type="dxa"/>
                  <w:tcBorders>
                    <w:tl2br w:val="nil"/>
                    <w:tr2bl w:val="nil"/>
                  </w:tcBorders>
                  <w:vAlign w:val="center"/>
                </w:tcPr>
                <w:p w14:paraId="7940F708">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Times New Roman" w:hAnsi="Times New Roman" w:eastAsia="宋体"/>
                      <w:color w:val="auto"/>
                      <w:sz w:val="24"/>
                      <w:vertAlign w:val="baseline"/>
                      <w:lang w:val="en-US" w:eastAsia="zh-CN"/>
                    </w:rPr>
                  </w:pPr>
                  <w:r>
                    <w:rPr>
                      <w:rFonts w:hint="eastAsia" w:ascii="Times New Roman" w:hAnsi="Times New Roman" w:eastAsia="宋体"/>
                      <w:color w:val="auto"/>
                      <w:sz w:val="21"/>
                      <w:szCs w:val="21"/>
                      <w:vertAlign w:val="baseline"/>
                      <w:lang w:val="en-US" w:eastAsia="zh-CN"/>
                    </w:rPr>
                    <w:t>动植物油</w:t>
                  </w:r>
                </w:p>
              </w:tc>
              <w:tc>
                <w:tcPr>
                  <w:tcW w:w="1992" w:type="dxa"/>
                  <w:tcBorders>
                    <w:tl2br w:val="nil"/>
                    <w:tr2bl w:val="nil"/>
                  </w:tcBorders>
                  <w:vAlign w:val="center"/>
                </w:tcPr>
                <w:p w14:paraId="5C3314D7">
                  <w:pPr>
                    <w:keepNext w:val="0"/>
                    <w:keepLines w:val="0"/>
                    <w:pageBreakBefore w:val="0"/>
                    <w:widowControl w:val="0"/>
                    <w:tabs>
                      <w:tab w:val="left" w:pos="3741"/>
                      <w:tab w:val="left" w:pos="5726"/>
                    </w:tabs>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olor w:val="auto"/>
                      <w:sz w:val="24"/>
                      <w:vertAlign w:val="baseline"/>
                      <w:lang w:val="en-US" w:eastAsia="zh-CN"/>
                    </w:rPr>
                  </w:pPr>
                  <w:r>
                    <w:rPr>
                      <w:rFonts w:ascii="Times New Roman" w:hAnsi="Times New Roman" w:eastAsia="宋体"/>
                      <w:color w:val="auto"/>
                      <w:spacing w:val="-4"/>
                      <w:sz w:val="21"/>
                    </w:rPr>
                    <w:t>1mg/L</w:t>
                  </w:r>
                </w:p>
              </w:tc>
              <w:tc>
                <w:tcPr>
                  <w:tcW w:w="1991" w:type="dxa"/>
                  <w:vMerge w:val="continue"/>
                  <w:tcBorders>
                    <w:tl2br w:val="nil"/>
                    <w:tr2bl w:val="nil"/>
                  </w:tcBorders>
                  <w:vAlign w:val="center"/>
                </w:tcPr>
                <w:p w14:paraId="65FA1FAB">
                  <w:pPr>
                    <w:pStyle w:val="97"/>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olor w:val="auto"/>
                      <w:sz w:val="24"/>
                      <w:vertAlign w:val="baseline"/>
                    </w:rPr>
                  </w:pPr>
                </w:p>
              </w:tc>
            </w:tr>
          </w:tbl>
          <w:p w14:paraId="75EEC5C5">
            <w:pPr>
              <w:pStyle w:val="97"/>
              <w:rPr>
                <w:color w:val="auto"/>
                <w:sz w:val="24"/>
              </w:rPr>
            </w:pPr>
          </w:p>
          <w:p w14:paraId="7E9C8FD7">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噪声排放标准</w:t>
            </w:r>
          </w:p>
          <w:p w14:paraId="24B9669C">
            <w:pPr>
              <w:pStyle w:val="4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运营期</w:t>
            </w:r>
            <w:r>
              <w:rPr>
                <w:rFonts w:hint="default" w:ascii="Times New Roman" w:hAnsi="Times New Roman" w:cs="Times New Roman"/>
                <w:color w:val="auto"/>
                <w:highlight w:val="none"/>
              </w:rPr>
              <w:t>厂界噪声执行《工业企业厂界环境噪声排放标准》</w:t>
            </w:r>
            <w:r>
              <w:rPr>
                <w:rFonts w:hint="eastAsia" w:cs="Times New Roman"/>
                <w:color w:val="auto"/>
                <w:highlight w:val="none"/>
                <w:lang w:eastAsia="zh-CN"/>
              </w:rPr>
              <w:t>（</w:t>
            </w:r>
            <w:r>
              <w:rPr>
                <w:rFonts w:hint="default" w:ascii="Times New Roman" w:hAnsi="Times New Roman" w:cs="Times New Roman"/>
                <w:color w:val="auto"/>
                <w:highlight w:val="none"/>
              </w:rPr>
              <w:t>GB12348-2008</w:t>
            </w:r>
            <w:r>
              <w:rPr>
                <w:rFonts w:hint="eastAsia" w:cs="Times New Roman"/>
                <w:color w:val="auto"/>
                <w:highlight w:val="none"/>
                <w:lang w:eastAsia="zh-CN"/>
              </w:rPr>
              <w:t>）中第</w:t>
            </w:r>
            <w:r>
              <w:rPr>
                <w:rFonts w:hint="eastAsia" w:cs="Times New Roman"/>
                <w:color w:val="auto"/>
                <w:highlight w:val="none"/>
                <w:lang w:val="en-US" w:eastAsia="zh-CN"/>
              </w:rPr>
              <w:t>3</w:t>
            </w:r>
            <w:r>
              <w:rPr>
                <w:rFonts w:hint="default" w:ascii="Times New Roman" w:hAnsi="Times New Roman" w:cs="Times New Roman"/>
                <w:color w:val="auto"/>
                <w:highlight w:val="none"/>
              </w:rPr>
              <w:t>类标准。</w:t>
            </w:r>
          </w:p>
          <w:p w14:paraId="5322E3A3">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工业企业厂界环境噪声</w:t>
            </w:r>
            <w:r>
              <w:rPr>
                <w:rFonts w:hint="eastAsia" w:ascii="Times New Roman" w:hAnsi="Times New Roman" w:eastAsia="宋体" w:cs="宋体"/>
                <w:color w:val="auto"/>
                <w:highlight w:val="none"/>
                <w:lang w:val="en-US" w:eastAsia="zh-CN"/>
              </w:rPr>
              <w:t>排放限值</w:t>
            </w:r>
          </w:p>
          <w:tbl>
            <w:tblPr>
              <w:tblStyle w:val="34"/>
              <w:tblW w:w="7971" w:type="dxa"/>
              <w:jc w:val="center"/>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Layout w:type="autofit"/>
              <w:tblCellMar>
                <w:top w:w="0" w:type="dxa"/>
                <w:left w:w="108" w:type="dxa"/>
                <w:bottom w:w="0" w:type="dxa"/>
                <w:right w:w="108" w:type="dxa"/>
              </w:tblCellMar>
            </w:tblPr>
            <w:tblGrid>
              <w:gridCol w:w="2658"/>
              <w:gridCol w:w="2658"/>
              <w:gridCol w:w="2655"/>
            </w:tblGrid>
            <w:tr w14:paraId="767B1BC5">
              <w:tblPrEx>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14:paraId="655C897D">
                  <w:pPr>
                    <w:pStyle w:val="48"/>
                    <w:keepNext w:val="0"/>
                    <w:keepLines w:val="0"/>
                    <w:suppressLineNumbers w:val="0"/>
                    <w:tabs>
                      <w:tab w:val="left" w:pos="0"/>
                    </w:tabs>
                    <w:bidi w:val="0"/>
                    <w:spacing w:before="0" w:beforeAutospacing="0" w:after="0" w:afterAutospacing="0"/>
                    <w:ind w:right="0"/>
                    <w:rPr>
                      <w:rFonts w:hint="default"/>
                      <w:color w:val="auto"/>
                    </w:rPr>
                  </w:pPr>
                  <w:r>
                    <w:rPr>
                      <w:rFonts w:hint="default"/>
                      <w:color w:val="auto"/>
                    </w:rPr>
                    <w:t>类别</w:t>
                  </w:r>
                </w:p>
              </w:tc>
              <w:tc>
                <w:tcPr>
                  <w:tcW w:w="2658" w:type="dxa"/>
                  <w:tcBorders>
                    <w:tl2br w:val="nil"/>
                    <w:tr2bl w:val="nil"/>
                  </w:tcBorders>
                  <w:vAlign w:val="center"/>
                </w:tcPr>
                <w:p w14:paraId="0AABD3ED">
                  <w:pPr>
                    <w:pStyle w:val="48"/>
                    <w:keepNext w:val="0"/>
                    <w:keepLines w:val="0"/>
                    <w:suppressLineNumbers w:val="0"/>
                    <w:tabs>
                      <w:tab w:val="left" w:pos="0"/>
                    </w:tabs>
                    <w:bidi w:val="0"/>
                    <w:spacing w:before="0" w:beforeAutospacing="0" w:after="0" w:afterAutospacing="0"/>
                    <w:ind w:right="0"/>
                    <w:rPr>
                      <w:rFonts w:hint="default"/>
                      <w:color w:val="auto"/>
                    </w:rPr>
                  </w:pPr>
                  <w:r>
                    <w:rPr>
                      <w:rFonts w:hint="default"/>
                      <w:color w:val="auto"/>
                    </w:rPr>
                    <w:t>昼间</w:t>
                  </w:r>
                </w:p>
              </w:tc>
              <w:tc>
                <w:tcPr>
                  <w:tcW w:w="2655" w:type="dxa"/>
                  <w:tcBorders>
                    <w:tl2br w:val="nil"/>
                    <w:tr2bl w:val="nil"/>
                  </w:tcBorders>
                  <w:vAlign w:val="center"/>
                </w:tcPr>
                <w:p w14:paraId="417F6AFB">
                  <w:pPr>
                    <w:pStyle w:val="48"/>
                    <w:keepNext w:val="0"/>
                    <w:keepLines w:val="0"/>
                    <w:suppressLineNumbers w:val="0"/>
                    <w:tabs>
                      <w:tab w:val="left" w:pos="0"/>
                    </w:tabs>
                    <w:bidi w:val="0"/>
                    <w:spacing w:before="0" w:beforeAutospacing="0" w:after="0" w:afterAutospacing="0"/>
                    <w:ind w:right="0"/>
                    <w:rPr>
                      <w:rFonts w:hint="default"/>
                      <w:color w:val="auto"/>
                    </w:rPr>
                  </w:pPr>
                  <w:r>
                    <w:rPr>
                      <w:rFonts w:hint="default"/>
                      <w:color w:val="auto"/>
                    </w:rPr>
                    <w:t>夜间</w:t>
                  </w:r>
                </w:p>
              </w:tc>
            </w:tr>
            <w:tr w14:paraId="0A5C84CA">
              <w:tblPrEx>
                <w:tblBorders>
                  <w:top w:val="single" w:color="000000" w:sz="12" w:space="0"/>
                  <w:left w:val="none" w:color="auto" w:sz="0" w:space="0"/>
                  <w:bottom w:val="single" w:color="000000" w:sz="12" w:space="0"/>
                  <w:right w:val="none" w:color="auto" w:sz="0" w:space="0"/>
                  <w:insideH w:val="single" w:color="000000" w:sz="12" w:space="0"/>
                  <w:insideV w:val="single" w:color="auto" w:sz="4" w:space="0"/>
                </w:tblBorders>
                <w:tblCellMar>
                  <w:top w:w="0" w:type="dxa"/>
                  <w:left w:w="108" w:type="dxa"/>
                  <w:bottom w:w="0" w:type="dxa"/>
                  <w:right w:w="108" w:type="dxa"/>
                </w:tblCellMar>
              </w:tblPrEx>
              <w:trPr>
                <w:cantSplit/>
                <w:trHeight w:val="340" w:hRule="atLeast"/>
                <w:jc w:val="center"/>
              </w:trPr>
              <w:tc>
                <w:tcPr>
                  <w:tcW w:w="2658" w:type="dxa"/>
                  <w:tcBorders>
                    <w:tl2br w:val="nil"/>
                    <w:tr2bl w:val="nil"/>
                  </w:tcBorders>
                  <w:vAlign w:val="center"/>
                </w:tcPr>
                <w:p w14:paraId="3767AE82">
                  <w:pPr>
                    <w:pStyle w:val="48"/>
                    <w:keepNext w:val="0"/>
                    <w:keepLines w:val="0"/>
                    <w:suppressLineNumbers w:val="0"/>
                    <w:tabs>
                      <w:tab w:val="left" w:pos="0"/>
                    </w:tabs>
                    <w:bidi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3</w:t>
                  </w:r>
                  <w:r>
                    <w:rPr>
                      <w:rFonts w:hint="default"/>
                      <w:color w:val="auto"/>
                    </w:rPr>
                    <w:t>类</w:t>
                  </w:r>
                </w:p>
              </w:tc>
              <w:tc>
                <w:tcPr>
                  <w:tcW w:w="2658" w:type="dxa"/>
                  <w:tcBorders>
                    <w:tl2br w:val="nil"/>
                    <w:tr2bl w:val="nil"/>
                  </w:tcBorders>
                  <w:vAlign w:val="center"/>
                </w:tcPr>
                <w:p w14:paraId="0155CE78">
                  <w:pPr>
                    <w:pStyle w:val="48"/>
                    <w:keepNext w:val="0"/>
                    <w:keepLines w:val="0"/>
                    <w:suppressLineNumbers w:val="0"/>
                    <w:tabs>
                      <w:tab w:val="left" w:pos="0"/>
                    </w:tabs>
                    <w:bidi w:val="0"/>
                    <w:spacing w:before="0" w:beforeAutospacing="0" w:after="0" w:afterAutospacing="0"/>
                    <w:ind w:left="0" w:leftChars="0" w:right="0" w:rightChars="0" w:firstLine="0" w:firstLineChars="0"/>
                    <w:rPr>
                      <w:rFonts w:hint="default" w:eastAsia="宋体"/>
                      <w:color w:val="auto"/>
                      <w:lang w:val="en-US" w:eastAsia="zh-CN"/>
                    </w:rPr>
                  </w:pPr>
                  <w:r>
                    <w:rPr>
                      <w:rFonts w:ascii="Times New Roman" w:hAnsi="Times New Roman"/>
                      <w:color w:val="auto"/>
                      <w:spacing w:val="-5"/>
                      <w:sz w:val="21"/>
                    </w:rPr>
                    <w:t>≤</w:t>
                  </w:r>
                  <w:r>
                    <w:rPr>
                      <w:rFonts w:hint="default"/>
                      <w:color w:val="auto"/>
                    </w:rPr>
                    <w:t>6</w:t>
                  </w:r>
                  <w:r>
                    <w:rPr>
                      <w:rFonts w:hint="eastAsia"/>
                      <w:color w:val="auto"/>
                      <w:lang w:val="en-US" w:eastAsia="zh-CN"/>
                    </w:rPr>
                    <w:t>5dB(A)</w:t>
                  </w:r>
                </w:p>
              </w:tc>
              <w:tc>
                <w:tcPr>
                  <w:tcW w:w="2655" w:type="dxa"/>
                  <w:tcBorders>
                    <w:tl2br w:val="nil"/>
                    <w:tr2bl w:val="nil"/>
                  </w:tcBorders>
                  <w:vAlign w:val="center"/>
                </w:tcPr>
                <w:p w14:paraId="4909D635">
                  <w:pPr>
                    <w:pStyle w:val="48"/>
                    <w:keepNext w:val="0"/>
                    <w:keepLines w:val="0"/>
                    <w:suppressLineNumbers w:val="0"/>
                    <w:tabs>
                      <w:tab w:val="left" w:pos="0"/>
                    </w:tabs>
                    <w:bidi w:val="0"/>
                    <w:spacing w:before="0" w:beforeAutospacing="0" w:after="0" w:afterAutospacing="0"/>
                    <w:ind w:left="0" w:leftChars="0" w:right="0" w:rightChars="0" w:firstLine="0" w:firstLineChars="0"/>
                    <w:rPr>
                      <w:rFonts w:hint="default"/>
                      <w:color w:val="auto"/>
                    </w:rPr>
                  </w:pPr>
                  <w:r>
                    <w:rPr>
                      <w:rFonts w:ascii="Times New Roman" w:hAnsi="Times New Roman"/>
                      <w:color w:val="auto"/>
                      <w:spacing w:val="-5"/>
                      <w:sz w:val="21"/>
                    </w:rPr>
                    <w:t>≤</w:t>
                  </w:r>
                  <w:r>
                    <w:rPr>
                      <w:rFonts w:hint="default"/>
                      <w:color w:val="auto"/>
                    </w:rPr>
                    <w:t>5</w:t>
                  </w:r>
                  <w:r>
                    <w:rPr>
                      <w:rFonts w:hint="eastAsia"/>
                      <w:color w:val="auto"/>
                      <w:lang w:val="en-US" w:eastAsia="zh-CN"/>
                    </w:rPr>
                    <w:t>5dB(A)</w:t>
                  </w:r>
                </w:p>
              </w:tc>
            </w:tr>
          </w:tbl>
          <w:p w14:paraId="6FBAC390">
            <w:pPr>
              <w:pStyle w:val="4"/>
              <w:numPr>
                <w:ilvl w:val="2"/>
                <w:numId w:val="1"/>
              </w:numPr>
              <w:bidi w:val="0"/>
              <w:ind w:left="720" w:leftChars="0" w:hanging="720" w:firstLineChars="0"/>
              <w:rPr>
                <w:rFonts w:hint="eastAsia"/>
                <w:color w:val="auto"/>
                <w:highlight w:val="none"/>
                <w:lang w:val="en-US" w:eastAsia="zh-CN"/>
              </w:rPr>
            </w:pPr>
            <w:r>
              <w:rPr>
                <w:rFonts w:hint="eastAsia"/>
                <w:color w:val="auto"/>
                <w:highlight w:val="none"/>
                <w:lang w:val="en-US" w:eastAsia="zh-CN"/>
              </w:rPr>
              <w:t>固体废物执行标准</w:t>
            </w:r>
          </w:p>
          <w:p w14:paraId="59F612F8">
            <w:pPr>
              <w:pStyle w:val="46"/>
              <w:ind w:firstLine="480"/>
              <w:rPr>
                <w:rFonts w:ascii="宋体" w:hAnsi="宋体" w:cs="宋体"/>
                <w:color w:val="auto"/>
                <w:kern w:val="0"/>
                <w:szCs w:val="21"/>
                <w:highlight w:val="none"/>
              </w:rPr>
            </w:pPr>
            <w:r>
              <w:rPr>
                <w:rFonts w:hint="eastAsia"/>
                <w:color w:val="auto"/>
                <w:highlight w:val="none"/>
              </w:rPr>
              <w:t>本项目运营期项目生活垃圾处置执行《中华人民共和国固体废物污染环境防治法》</w:t>
            </w:r>
            <w:r>
              <w:rPr>
                <w:rFonts w:hint="eastAsia"/>
                <w:color w:val="auto"/>
                <w:highlight w:val="none"/>
                <w:lang w:eastAsia="zh-CN"/>
              </w:rPr>
              <w:t>（</w:t>
            </w:r>
            <w:r>
              <w:rPr>
                <w:rFonts w:hint="eastAsia"/>
                <w:color w:val="auto"/>
                <w:highlight w:val="none"/>
              </w:rPr>
              <w:t>2020 年修订</w:t>
            </w:r>
            <w:r>
              <w:rPr>
                <w:rFonts w:hint="eastAsia"/>
                <w:color w:val="auto"/>
                <w:highlight w:val="none"/>
                <w:lang w:eastAsia="zh-CN"/>
              </w:rPr>
              <w:t>）</w:t>
            </w:r>
            <w:r>
              <w:rPr>
                <w:rFonts w:hint="eastAsia"/>
                <w:color w:val="auto"/>
                <w:highlight w:val="none"/>
              </w:rPr>
              <w:t>的相关规定；产生的一般工业固废应按照《一般工业固体废物贮存和填埋污染控制标准》</w:t>
            </w:r>
            <w:r>
              <w:rPr>
                <w:rFonts w:hint="eastAsia"/>
                <w:color w:val="auto"/>
                <w:highlight w:val="none"/>
                <w:lang w:eastAsia="zh-CN"/>
              </w:rPr>
              <w:t>（</w:t>
            </w:r>
            <w:r>
              <w:rPr>
                <w:rFonts w:hint="eastAsia"/>
                <w:color w:val="auto"/>
                <w:highlight w:val="none"/>
              </w:rPr>
              <w:t>GB18599-2020</w:t>
            </w:r>
            <w:r>
              <w:rPr>
                <w:rFonts w:hint="eastAsia"/>
                <w:color w:val="auto"/>
                <w:highlight w:val="none"/>
                <w:lang w:eastAsia="zh-CN"/>
              </w:rPr>
              <w:t>）</w:t>
            </w:r>
            <w:r>
              <w:rPr>
                <w:rFonts w:hint="eastAsia"/>
                <w:color w:val="auto"/>
                <w:highlight w:val="none"/>
              </w:rPr>
              <w:t>进行处理处置。项目内产生的危险废物应按照《危险废物贮存污染控制标准》</w:t>
            </w:r>
            <w:r>
              <w:rPr>
                <w:rFonts w:hint="eastAsia"/>
                <w:color w:val="auto"/>
                <w:highlight w:val="none"/>
                <w:lang w:eastAsia="zh-CN"/>
              </w:rPr>
              <w:t>（</w:t>
            </w:r>
            <w:r>
              <w:rPr>
                <w:rFonts w:hint="eastAsia"/>
                <w:color w:val="auto"/>
                <w:highlight w:val="none"/>
              </w:rPr>
              <w:t>GB 18597-2023</w:t>
            </w:r>
            <w:r>
              <w:rPr>
                <w:rFonts w:hint="eastAsia"/>
                <w:color w:val="auto"/>
                <w:highlight w:val="none"/>
                <w:lang w:eastAsia="zh-CN"/>
              </w:rPr>
              <w:t>）</w:t>
            </w:r>
            <w:r>
              <w:rPr>
                <w:rFonts w:hint="eastAsia"/>
                <w:color w:val="auto"/>
                <w:highlight w:val="none"/>
              </w:rPr>
              <w:t>的要求进行贮存，并委托有资质单位处理。</w:t>
            </w:r>
          </w:p>
        </w:tc>
      </w:tr>
      <w:tr w14:paraId="02EFE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800" w:type="dxa"/>
            <w:vAlign w:val="center"/>
          </w:tcPr>
          <w:p w14:paraId="4DC83655">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总量</w:t>
            </w:r>
          </w:p>
          <w:p w14:paraId="532D00B9">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控制</w:t>
            </w:r>
          </w:p>
          <w:p w14:paraId="035D0130">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vAlign w:val="center"/>
          </w:tcPr>
          <w:p w14:paraId="1AC972E4">
            <w:pPr>
              <w:pStyle w:val="3"/>
              <w:numPr>
                <w:ilvl w:val="1"/>
                <w:numId w:val="1"/>
              </w:numPr>
              <w:bidi w:val="0"/>
              <w:ind w:left="0" w:leftChars="0" w:firstLine="0" w:firstLineChars="0"/>
              <w:rPr>
                <w:rFonts w:hint="eastAsia" w:ascii="Times New Roman" w:hAnsi="Times New Roman" w:eastAsia="宋体" w:cs="Times New Roman"/>
                <w:color w:val="auto"/>
                <w:highlight w:val="none"/>
              </w:rPr>
            </w:pPr>
            <w:bookmarkStart w:id="33" w:name="_Toc18142"/>
            <w:bookmarkStart w:id="34" w:name="_Toc22536"/>
            <w:bookmarkStart w:id="35" w:name="_Toc24101"/>
            <w:bookmarkStart w:id="36" w:name="_Toc551"/>
            <w:r>
              <w:rPr>
                <w:rFonts w:hint="eastAsia" w:ascii="Times New Roman" w:hAnsi="Times New Roman" w:eastAsia="宋体" w:cs="Times New Roman"/>
                <w:color w:val="auto"/>
                <w:highlight w:val="none"/>
              </w:rPr>
              <w:t>总量控制分析</w:t>
            </w:r>
          </w:p>
          <w:p w14:paraId="62BE1F5C">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总量控制因子</w:t>
            </w:r>
            <w:bookmarkEnd w:id="33"/>
            <w:bookmarkEnd w:id="34"/>
            <w:bookmarkEnd w:id="35"/>
            <w:bookmarkEnd w:id="36"/>
          </w:p>
          <w:p w14:paraId="78ED062D">
            <w:pPr>
              <w:pStyle w:val="46"/>
              <w:ind w:firstLine="480"/>
              <w:rPr>
                <w:color w:val="auto"/>
                <w:highlight w:val="none"/>
              </w:rPr>
            </w:pPr>
            <w:r>
              <w:rPr>
                <w:rFonts w:hint="eastAsia" w:ascii="Times New Roman" w:hAnsi="Times New Roman"/>
                <w:color w:val="auto"/>
              </w:rPr>
              <w:t>根据</w:t>
            </w:r>
            <w:r>
              <w:rPr>
                <w:rFonts w:ascii="Times New Roman" w:hAnsi="Times New Roman"/>
                <w:color w:val="auto"/>
              </w:rPr>
              <w:t>国家</w:t>
            </w:r>
            <w:r>
              <w:rPr>
                <w:rFonts w:hint="eastAsia" w:ascii="Times New Roman" w:hAnsi="Times New Roman"/>
                <w:color w:val="auto"/>
              </w:rPr>
              <w:t>“</w:t>
            </w:r>
            <w:r>
              <w:rPr>
                <w:rFonts w:ascii="Times New Roman" w:hAnsi="Times New Roman"/>
                <w:color w:val="auto"/>
              </w:rPr>
              <w:t>十</w:t>
            </w:r>
            <w:r>
              <w:rPr>
                <w:rFonts w:hint="eastAsia" w:ascii="Times New Roman" w:hAnsi="Times New Roman"/>
                <w:color w:val="auto"/>
              </w:rPr>
              <w:t>四</w:t>
            </w:r>
            <w:r>
              <w:rPr>
                <w:rFonts w:ascii="Times New Roman" w:hAnsi="Times New Roman"/>
                <w:color w:val="auto"/>
              </w:rPr>
              <w:t>五</w:t>
            </w:r>
            <w:r>
              <w:rPr>
                <w:rFonts w:hint="eastAsia" w:ascii="Times New Roman" w:hAnsi="Times New Roman"/>
                <w:color w:val="auto"/>
              </w:rPr>
              <w:t>”</w:t>
            </w:r>
            <w:r>
              <w:rPr>
                <w:rFonts w:ascii="Times New Roman" w:hAnsi="Times New Roman"/>
                <w:color w:val="auto"/>
              </w:rPr>
              <w:t>期间污染物</w:t>
            </w:r>
            <w:r>
              <w:rPr>
                <w:rFonts w:hint="eastAsia" w:ascii="Times New Roman" w:hAnsi="Times New Roman"/>
                <w:color w:val="auto"/>
              </w:rPr>
              <w:t>总量</w:t>
            </w:r>
            <w:r>
              <w:rPr>
                <w:rFonts w:ascii="Times New Roman" w:hAnsi="Times New Roman"/>
                <w:color w:val="auto"/>
              </w:rPr>
              <w:t>控制</w:t>
            </w:r>
            <w:r>
              <w:rPr>
                <w:rFonts w:hint="eastAsia" w:ascii="Times New Roman" w:hAnsi="Times New Roman"/>
                <w:color w:val="auto"/>
              </w:rPr>
              <w:t>要求及</w:t>
            </w:r>
            <w:r>
              <w:rPr>
                <w:rFonts w:ascii="Times New Roman" w:hAnsi="Times New Roman"/>
                <w:color w:val="auto"/>
              </w:rPr>
              <w:t>《福建省“十四五”生态环境保护专项规划》（闽政办〔2021〕59号）</w:t>
            </w:r>
            <w:r>
              <w:rPr>
                <w:rFonts w:hint="eastAsia" w:ascii="Times New Roman" w:hAnsi="Times New Roman"/>
                <w:color w:val="auto"/>
              </w:rPr>
              <w:t>、</w:t>
            </w:r>
            <w:r>
              <w:rPr>
                <w:rFonts w:ascii="Times New Roman" w:hAnsi="Times New Roman"/>
                <w:color w:val="auto"/>
              </w:rPr>
              <w:t>《福建省人民政府关于推进排污权有偿使用和交易工作的意见</w:t>
            </w:r>
            <w:r>
              <w:rPr>
                <w:rFonts w:hint="eastAsia"/>
                <w:color w:val="auto"/>
                <w:lang w:eastAsia="zh-CN"/>
              </w:rPr>
              <w:t>（</w:t>
            </w:r>
            <w:r>
              <w:rPr>
                <w:rFonts w:ascii="Times New Roman" w:hAnsi="Times New Roman"/>
                <w:color w:val="auto"/>
              </w:rPr>
              <w:t>试行</w:t>
            </w:r>
            <w:r>
              <w:rPr>
                <w:rFonts w:hint="eastAsia"/>
                <w:color w:val="auto"/>
                <w:lang w:eastAsia="zh-CN"/>
              </w:rPr>
              <w:t>）</w:t>
            </w:r>
            <w:r>
              <w:rPr>
                <w:rFonts w:ascii="Times New Roman" w:hAnsi="Times New Roman"/>
                <w:color w:val="auto"/>
              </w:rPr>
              <w:t>》</w:t>
            </w:r>
            <w:r>
              <w:rPr>
                <w:rFonts w:hint="eastAsia" w:ascii="Times New Roman" w:hAnsi="Times New Roman"/>
                <w:color w:val="auto"/>
              </w:rPr>
              <w:t>（</w:t>
            </w:r>
            <w:r>
              <w:rPr>
                <w:rFonts w:ascii="Times New Roman" w:hAnsi="Times New Roman"/>
                <w:color w:val="auto"/>
              </w:rPr>
              <w:t>闽政</w:t>
            </w:r>
            <w:r>
              <w:rPr>
                <w:rFonts w:hint="eastAsia" w:ascii="Times New Roman" w:hAnsi="Times New Roman"/>
                <w:color w:val="auto"/>
                <w:lang w:eastAsia="zh-CN"/>
              </w:rPr>
              <w:t>〔2014〕</w:t>
            </w:r>
            <w:r>
              <w:rPr>
                <w:rFonts w:ascii="Times New Roman" w:hAnsi="Times New Roman"/>
                <w:color w:val="auto"/>
              </w:rPr>
              <w:t>24号</w:t>
            </w:r>
            <w:r>
              <w:rPr>
                <w:rFonts w:hint="eastAsia" w:ascii="Times New Roman" w:hAnsi="Times New Roman"/>
                <w:color w:val="auto"/>
              </w:rPr>
              <w:t>）</w:t>
            </w:r>
            <w:r>
              <w:rPr>
                <w:rFonts w:ascii="Times New Roman" w:hAnsi="Times New Roman"/>
                <w:color w:val="auto"/>
              </w:rPr>
              <w:t>、《福建省环保厅关于贯彻落实</w:t>
            </w:r>
            <w:r>
              <w:rPr>
                <w:rFonts w:hint="eastAsia"/>
                <w:color w:val="auto"/>
                <w:lang w:eastAsia="zh-CN"/>
              </w:rPr>
              <w:t>〈</w:t>
            </w:r>
            <w:r>
              <w:rPr>
                <w:rFonts w:ascii="Times New Roman" w:hAnsi="Times New Roman"/>
                <w:color w:val="auto"/>
              </w:rPr>
              <w:t>推进排污权有偿使用和交易工作的意见</w:t>
            </w:r>
            <w:r>
              <w:rPr>
                <w:rFonts w:hint="eastAsia" w:ascii="Times New Roman" w:hAnsi="Times New Roman"/>
                <w:color w:val="auto"/>
              </w:rPr>
              <w:t>（</w:t>
            </w:r>
            <w:r>
              <w:rPr>
                <w:rFonts w:ascii="Times New Roman" w:hAnsi="Times New Roman"/>
                <w:color w:val="auto"/>
              </w:rPr>
              <w:t>试行</w:t>
            </w:r>
            <w:r>
              <w:rPr>
                <w:rFonts w:hint="eastAsia" w:ascii="Times New Roman" w:hAnsi="Times New Roman"/>
                <w:color w:val="auto"/>
              </w:rPr>
              <w:t>）</w:t>
            </w:r>
            <w:r>
              <w:rPr>
                <w:rFonts w:hint="eastAsia"/>
                <w:color w:val="auto"/>
                <w:lang w:eastAsia="zh-CN"/>
              </w:rPr>
              <w:t>〉</w:t>
            </w:r>
            <w:r>
              <w:rPr>
                <w:rFonts w:ascii="Times New Roman" w:hAnsi="Times New Roman"/>
                <w:color w:val="auto"/>
              </w:rPr>
              <w:t>的通知》</w:t>
            </w:r>
            <w:r>
              <w:rPr>
                <w:rFonts w:hint="eastAsia" w:ascii="Times New Roman" w:hAnsi="Times New Roman"/>
                <w:color w:val="auto"/>
              </w:rPr>
              <w:t>（</w:t>
            </w:r>
            <w:r>
              <w:rPr>
                <w:rFonts w:ascii="Times New Roman" w:hAnsi="Times New Roman"/>
                <w:color w:val="auto"/>
              </w:rPr>
              <w:t>闽环发</w:t>
            </w:r>
            <w:r>
              <w:rPr>
                <w:rFonts w:hint="eastAsia" w:ascii="Times New Roman" w:hAnsi="Times New Roman"/>
                <w:color w:val="auto"/>
                <w:lang w:eastAsia="zh-CN"/>
              </w:rPr>
              <w:t>〔2014〕</w:t>
            </w:r>
            <w:r>
              <w:rPr>
                <w:rFonts w:ascii="Times New Roman" w:hAnsi="Times New Roman"/>
                <w:color w:val="auto"/>
              </w:rPr>
              <w:t>9号</w:t>
            </w:r>
            <w:r>
              <w:rPr>
                <w:rFonts w:hint="eastAsia" w:ascii="Times New Roman" w:hAnsi="Times New Roman"/>
                <w:color w:val="auto"/>
              </w:rPr>
              <w:t>）</w:t>
            </w:r>
            <w:r>
              <w:rPr>
                <w:rFonts w:ascii="Times New Roman" w:hAnsi="Times New Roman"/>
                <w:color w:val="auto"/>
              </w:rPr>
              <w:t>、《福建省环保厅关于环评审批中落实排污权交易工作要求的通知》</w:t>
            </w:r>
            <w:r>
              <w:rPr>
                <w:rFonts w:hint="eastAsia" w:ascii="Times New Roman" w:hAnsi="Times New Roman"/>
                <w:color w:val="auto"/>
              </w:rPr>
              <w:t>（</w:t>
            </w:r>
            <w:r>
              <w:rPr>
                <w:rFonts w:ascii="Times New Roman" w:hAnsi="Times New Roman"/>
                <w:color w:val="auto"/>
              </w:rPr>
              <w:t>闽环保评</w:t>
            </w:r>
            <w:r>
              <w:rPr>
                <w:rFonts w:hint="eastAsia" w:ascii="Times New Roman" w:hAnsi="Times New Roman"/>
                <w:color w:val="auto"/>
                <w:lang w:eastAsia="zh-CN"/>
              </w:rPr>
              <w:t>〔2014〕</w:t>
            </w:r>
            <w:r>
              <w:rPr>
                <w:rFonts w:ascii="Times New Roman" w:hAnsi="Times New Roman"/>
                <w:color w:val="auto"/>
              </w:rPr>
              <w:t>43号</w:t>
            </w:r>
            <w:r>
              <w:rPr>
                <w:rFonts w:hint="eastAsia" w:ascii="Times New Roman" w:hAnsi="Times New Roman"/>
                <w:color w:val="auto"/>
              </w:rPr>
              <w:t>）</w:t>
            </w:r>
            <w:r>
              <w:rPr>
                <w:rFonts w:ascii="Times New Roman" w:hAnsi="Times New Roman"/>
                <w:color w:val="auto"/>
              </w:rPr>
              <w:t>等有关文件要求，</w:t>
            </w:r>
            <w:r>
              <w:rPr>
                <w:color w:val="auto"/>
                <w:highlight w:val="none"/>
              </w:rPr>
              <w:t>结合本项目排污特征，确定本项目总量控制因子为挥发性有机物（以非甲烷总烃计）。</w:t>
            </w:r>
          </w:p>
          <w:p w14:paraId="29215CD4">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bookmarkStart w:id="37" w:name="_Toc17857"/>
            <w:bookmarkStart w:id="38" w:name="_Toc26157"/>
            <w:bookmarkStart w:id="39" w:name="_Toc32260"/>
            <w:bookmarkStart w:id="40" w:name="_Toc9744"/>
            <w:r>
              <w:rPr>
                <w:rFonts w:hint="eastAsia" w:ascii="Times New Roman" w:hAnsi="Times New Roman" w:eastAsia="宋体" w:cs="Times New Roman"/>
                <w:color w:val="auto"/>
                <w:highlight w:val="none"/>
                <w:lang w:val="en-US" w:eastAsia="zh-CN"/>
              </w:rPr>
              <w:t>污染物总量控制指标</w:t>
            </w:r>
            <w:bookmarkEnd w:id="37"/>
            <w:bookmarkEnd w:id="38"/>
            <w:bookmarkEnd w:id="39"/>
            <w:bookmarkEnd w:id="40"/>
          </w:p>
          <w:p w14:paraId="60D2117B">
            <w:pPr>
              <w:pStyle w:val="5"/>
              <w:numPr>
                <w:ilvl w:val="3"/>
                <w:numId w:val="13"/>
              </w:numPr>
              <w:tabs>
                <w:tab w:val="left" w:pos="0"/>
              </w:tabs>
              <w:bidi w:val="0"/>
              <w:ind w:left="864" w:leftChars="0" w:hanging="864" w:firstLineChars="0"/>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水污染物排放总量控制</w:t>
            </w:r>
          </w:p>
          <w:p w14:paraId="1E9D838D">
            <w:pPr>
              <w:pStyle w:val="46"/>
              <w:ind w:firstLine="480"/>
              <w:rPr>
                <w:rFonts w:hint="default"/>
                <w:color w:val="auto"/>
                <w:highlight w:val="none"/>
              </w:rPr>
            </w:pPr>
            <w:r>
              <w:rPr>
                <w:rFonts w:hint="eastAsia"/>
                <w:color w:val="auto"/>
                <w:highlight w:val="none"/>
                <w:lang w:eastAsia="zh-CN"/>
              </w:rPr>
              <w:t>福清市第二污水处理厂</w:t>
            </w:r>
            <w:r>
              <w:rPr>
                <w:rFonts w:hint="default"/>
                <w:color w:val="auto"/>
                <w:highlight w:val="none"/>
              </w:rPr>
              <w:t>出水排放执行《城镇污水处理厂污染物排放标准》（GB18918-2002）中一级</w:t>
            </w:r>
            <w:r>
              <w:rPr>
                <w:rFonts w:hint="default"/>
                <w:color w:val="auto"/>
                <w:highlight w:val="none"/>
                <w:lang w:val="en-US" w:eastAsia="zh-CN"/>
              </w:rPr>
              <w:t>A</w:t>
            </w:r>
            <w:r>
              <w:rPr>
                <w:rFonts w:hint="default"/>
                <w:color w:val="auto"/>
                <w:highlight w:val="none"/>
              </w:rPr>
              <w:t>排放标准：COD</w:t>
            </w:r>
            <w:r>
              <w:rPr>
                <w:rFonts w:hint="eastAsia"/>
                <w:color w:val="auto"/>
                <w:highlight w:val="none"/>
                <w:lang w:eastAsia="zh-CN"/>
              </w:rPr>
              <w:t>为</w:t>
            </w:r>
            <w:r>
              <w:rPr>
                <w:rFonts w:hint="default"/>
                <w:color w:val="auto"/>
                <w:highlight w:val="none"/>
                <w:lang w:val="en-US" w:eastAsia="zh-CN"/>
              </w:rPr>
              <w:t>50</w:t>
            </w:r>
            <w:r>
              <w:rPr>
                <w:rFonts w:hint="default"/>
                <w:color w:val="auto"/>
                <w:highlight w:val="none"/>
              </w:rPr>
              <w:t>mg/L、氨氮</w:t>
            </w:r>
            <w:r>
              <w:rPr>
                <w:rFonts w:hint="eastAsia"/>
                <w:color w:val="auto"/>
                <w:highlight w:val="none"/>
                <w:lang w:eastAsia="zh-CN"/>
              </w:rPr>
              <w:t>为</w:t>
            </w:r>
            <w:r>
              <w:rPr>
                <w:rFonts w:hint="default"/>
                <w:color w:val="auto"/>
                <w:highlight w:val="none"/>
                <w:lang w:val="en-US" w:eastAsia="zh-CN"/>
              </w:rPr>
              <w:t>5</w:t>
            </w:r>
            <w:r>
              <w:rPr>
                <w:rFonts w:hint="default"/>
                <w:color w:val="auto"/>
                <w:highlight w:val="none"/>
              </w:rPr>
              <w:t>mg/L，统一处理后项目污染物排放总量详见表</w:t>
            </w:r>
            <w:r>
              <w:rPr>
                <w:rFonts w:hint="default"/>
                <w:color w:val="auto"/>
                <w:highlight w:val="none"/>
                <w:lang w:val="en-US" w:eastAsia="zh-CN"/>
              </w:rPr>
              <w:t>3.</w:t>
            </w:r>
            <w:r>
              <w:rPr>
                <w:rFonts w:hint="eastAsia"/>
                <w:color w:val="auto"/>
                <w:highlight w:val="none"/>
                <w:lang w:val="en-US" w:eastAsia="zh-CN"/>
              </w:rPr>
              <w:t>4</w:t>
            </w:r>
            <w:r>
              <w:rPr>
                <w:rFonts w:hint="default"/>
                <w:color w:val="auto"/>
                <w:highlight w:val="none"/>
              </w:rPr>
              <w:t>-1。</w:t>
            </w:r>
          </w:p>
          <w:p w14:paraId="11583A60">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本项目水污染物排放总量指标</w:t>
            </w:r>
          </w:p>
          <w:tbl>
            <w:tblPr>
              <w:tblStyle w:val="34"/>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866"/>
              <w:gridCol w:w="936"/>
              <w:gridCol w:w="1225"/>
              <w:gridCol w:w="1137"/>
              <w:gridCol w:w="2996"/>
            </w:tblGrid>
            <w:tr w14:paraId="186922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509" w:type="pct"/>
                  <w:tcBorders>
                    <w:top w:val="single" w:color="auto" w:sz="12" w:space="0"/>
                    <w:left w:val="nil"/>
                    <w:bottom w:val="single" w:color="auto" w:sz="12" w:space="0"/>
                    <w:right w:val="single" w:color="auto" w:sz="4" w:space="0"/>
                  </w:tcBorders>
                  <w:noWrap w:val="0"/>
                  <w:vAlign w:val="center"/>
                </w:tcPr>
                <w:p w14:paraId="5A181A3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w:t>
                  </w:r>
                </w:p>
              </w:tc>
              <w:tc>
                <w:tcPr>
                  <w:tcW w:w="2611" w:type="pct"/>
                  <w:gridSpan w:val="4"/>
                  <w:tcBorders>
                    <w:top w:val="single" w:color="auto" w:sz="12" w:space="0"/>
                    <w:left w:val="single" w:color="auto" w:sz="4" w:space="0"/>
                    <w:bottom w:val="single" w:color="auto" w:sz="12" w:space="0"/>
                    <w:right w:val="single" w:color="auto" w:sz="4" w:space="0"/>
                  </w:tcBorders>
                  <w:noWrap w:val="0"/>
                  <w:vAlign w:val="center"/>
                </w:tcPr>
                <w:p w14:paraId="0AA41F8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建议最终排入环境控制指标</w:t>
                  </w:r>
                </w:p>
              </w:tc>
              <w:tc>
                <w:tcPr>
                  <w:tcW w:w="1879" w:type="pct"/>
                  <w:tcBorders>
                    <w:top w:val="single" w:color="auto" w:sz="12" w:space="0"/>
                    <w:left w:val="single" w:color="auto" w:sz="4" w:space="0"/>
                    <w:bottom w:val="single" w:color="auto" w:sz="12" w:space="0"/>
                    <w:right w:val="nil"/>
                  </w:tcBorders>
                  <w:noWrap w:val="0"/>
                  <w:vAlign w:val="center"/>
                </w:tcPr>
                <w:p w14:paraId="39C6904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建议申报指标t/a</w:t>
                  </w:r>
                </w:p>
              </w:tc>
            </w:tr>
            <w:tr w14:paraId="155BE6E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09" w:type="pct"/>
                  <w:tcBorders>
                    <w:top w:val="single" w:color="auto" w:sz="12" w:space="0"/>
                    <w:left w:val="nil"/>
                    <w:bottom w:val="single" w:color="auto" w:sz="4" w:space="0"/>
                    <w:right w:val="single" w:color="auto" w:sz="4" w:space="0"/>
                  </w:tcBorders>
                  <w:noWrap w:val="0"/>
                  <w:vAlign w:val="center"/>
                </w:tcPr>
                <w:p w14:paraId="3C8CE8B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543" w:type="pct"/>
                  <w:tcBorders>
                    <w:top w:val="single" w:color="auto" w:sz="12" w:space="0"/>
                    <w:left w:val="single" w:color="auto" w:sz="4" w:space="0"/>
                    <w:bottom w:val="single" w:color="auto" w:sz="4" w:space="0"/>
                    <w:right w:val="single" w:color="auto" w:sz="4" w:space="0"/>
                  </w:tcBorders>
                  <w:noWrap w:val="0"/>
                  <w:vAlign w:val="center"/>
                </w:tcPr>
                <w:p w14:paraId="463B268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排放浓度mg/L</w:t>
                  </w:r>
                </w:p>
              </w:tc>
              <w:tc>
                <w:tcPr>
                  <w:tcW w:w="587" w:type="pct"/>
                  <w:tcBorders>
                    <w:top w:val="single" w:color="auto" w:sz="12" w:space="0"/>
                    <w:left w:val="single" w:color="auto" w:sz="4" w:space="0"/>
                    <w:bottom w:val="single" w:color="auto" w:sz="4" w:space="0"/>
                    <w:right w:val="single" w:color="auto" w:sz="4" w:space="0"/>
                  </w:tcBorders>
                  <w:noWrap w:val="0"/>
                  <w:vAlign w:val="center"/>
                </w:tcPr>
                <w:p w14:paraId="55E384F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总排放量t/a</w:t>
                  </w:r>
                </w:p>
              </w:tc>
              <w:tc>
                <w:tcPr>
                  <w:tcW w:w="768" w:type="pct"/>
                  <w:tcBorders>
                    <w:top w:val="single" w:color="auto" w:sz="12" w:space="0"/>
                    <w:left w:val="single" w:color="auto" w:sz="4" w:space="0"/>
                    <w:bottom w:val="single" w:color="auto" w:sz="4" w:space="0"/>
                    <w:right w:val="single" w:color="auto" w:sz="4" w:space="0"/>
                  </w:tcBorders>
                  <w:noWrap w:val="0"/>
                  <w:vAlign w:val="center"/>
                </w:tcPr>
                <w:p w14:paraId="26255D1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生产废水排放量t/a</w:t>
                  </w:r>
                </w:p>
              </w:tc>
              <w:tc>
                <w:tcPr>
                  <w:tcW w:w="712" w:type="pct"/>
                  <w:tcBorders>
                    <w:top w:val="single" w:color="auto" w:sz="12" w:space="0"/>
                    <w:left w:val="single" w:color="auto" w:sz="4" w:space="0"/>
                    <w:bottom w:val="single" w:color="auto" w:sz="4" w:space="0"/>
                    <w:right w:val="single" w:color="auto" w:sz="4" w:space="0"/>
                  </w:tcBorders>
                  <w:noWrap w:val="0"/>
                  <w:vAlign w:val="center"/>
                </w:tcPr>
                <w:p w14:paraId="2D4E5FC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生活污水排放量t/a</w:t>
                  </w:r>
                </w:p>
              </w:tc>
              <w:tc>
                <w:tcPr>
                  <w:tcW w:w="1879" w:type="pct"/>
                  <w:tcBorders>
                    <w:top w:val="single" w:color="auto" w:sz="12" w:space="0"/>
                    <w:left w:val="single" w:color="auto" w:sz="4" w:space="0"/>
                    <w:bottom w:val="single" w:color="auto" w:sz="4" w:space="0"/>
                    <w:right w:val="nil"/>
                  </w:tcBorders>
                  <w:noWrap w:val="0"/>
                  <w:vAlign w:val="center"/>
                </w:tcPr>
                <w:p w14:paraId="775DF4C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由</w:t>
                  </w:r>
                  <w:r>
                    <w:rPr>
                      <w:rFonts w:hint="default" w:ascii="Times New Roman" w:hAnsi="Times New Roman" w:eastAsia="宋体" w:cs="Times New Roman"/>
                      <w:color w:val="auto"/>
                      <w:sz w:val="21"/>
                      <w:szCs w:val="21"/>
                      <w:highlight w:val="none"/>
                      <w:lang w:eastAsia="zh-CN"/>
                    </w:rPr>
                    <w:t>污水</w:t>
                  </w:r>
                  <w:r>
                    <w:rPr>
                      <w:rFonts w:hint="eastAsia" w:cs="Times New Roman"/>
                      <w:color w:val="auto"/>
                      <w:sz w:val="21"/>
                      <w:szCs w:val="21"/>
                      <w:highlight w:val="none"/>
                      <w:lang w:eastAsia="zh-CN"/>
                    </w:rPr>
                    <w:t>处理厂中</w:t>
                  </w:r>
                  <w:r>
                    <w:rPr>
                      <w:rFonts w:hint="default" w:ascii="Times New Roman" w:hAnsi="Times New Roman" w:eastAsia="宋体" w:cs="Times New Roman"/>
                      <w:color w:val="auto"/>
                      <w:sz w:val="21"/>
                      <w:szCs w:val="21"/>
                      <w:highlight w:val="none"/>
                    </w:rPr>
                    <w:t>调配</w:t>
                  </w:r>
                </w:p>
              </w:tc>
            </w:tr>
            <w:tr w14:paraId="24D7418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9" w:type="pct"/>
                  <w:tcBorders>
                    <w:top w:val="single" w:color="auto" w:sz="4" w:space="0"/>
                    <w:left w:val="nil"/>
                    <w:bottom w:val="single" w:color="auto" w:sz="4" w:space="0"/>
                    <w:right w:val="single" w:color="auto" w:sz="4" w:space="0"/>
                  </w:tcBorders>
                  <w:noWrap w:val="0"/>
                  <w:vAlign w:val="center"/>
                </w:tcPr>
                <w:p w14:paraId="589A2FA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p>
              </w:tc>
              <w:tc>
                <w:tcPr>
                  <w:tcW w:w="543" w:type="pct"/>
                  <w:tcBorders>
                    <w:top w:val="single" w:color="auto" w:sz="4" w:space="0"/>
                    <w:left w:val="single" w:color="auto" w:sz="4" w:space="0"/>
                    <w:bottom w:val="single" w:color="auto" w:sz="4" w:space="0"/>
                    <w:right w:val="single" w:color="auto" w:sz="4" w:space="0"/>
                  </w:tcBorders>
                  <w:noWrap w:val="0"/>
                  <w:vAlign w:val="center"/>
                </w:tcPr>
                <w:p w14:paraId="627A049E">
                  <w:pPr>
                    <w:pStyle w:val="156"/>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7638B74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1140</w:t>
                  </w:r>
                </w:p>
              </w:tc>
              <w:tc>
                <w:tcPr>
                  <w:tcW w:w="768" w:type="pct"/>
                  <w:tcBorders>
                    <w:top w:val="single" w:color="auto" w:sz="4" w:space="0"/>
                    <w:left w:val="single" w:color="auto" w:sz="4" w:space="0"/>
                    <w:bottom w:val="single" w:color="auto" w:sz="4" w:space="0"/>
                    <w:right w:val="single" w:color="auto" w:sz="4" w:space="0"/>
                  </w:tcBorders>
                  <w:noWrap w:val="0"/>
                  <w:vAlign w:val="center"/>
                </w:tcPr>
                <w:p w14:paraId="434340D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780</w:t>
                  </w:r>
                </w:p>
              </w:tc>
              <w:tc>
                <w:tcPr>
                  <w:tcW w:w="712" w:type="pct"/>
                  <w:tcBorders>
                    <w:top w:val="single" w:color="auto" w:sz="4" w:space="0"/>
                    <w:left w:val="single" w:color="auto" w:sz="4" w:space="0"/>
                    <w:bottom w:val="single" w:color="auto" w:sz="4" w:space="0"/>
                    <w:right w:val="single" w:color="auto" w:sz="4" w:space="0"/>
                  </w:tcBorders>
                  <w:noWrap w:val="0"/>
                  <w:vAlign w:val="center"/>
                </w:tcPr>
                <w:p w14:paraId="4E617FA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360</w:t>
                  </w:r>
                </w:p>
              </w:tc>
              <w:tc>
                <w:tcPr>
                  <w:tcW w:w="1879" w:type="pct"/>
                  <w:tcBorders>
                    <w:top w:val="single" w:color="auto" w:sz="4" w:space="0"/>
                    <w:left w:val="single" w:color="auto" w:sz="4" w:space="0"/>
                    <w:bottom w:val="single" w:color="auto" w:sz="4" w:space="0"/>
                    <w:right w:val="nil"/>
                  </w:tcBorders>
                  <w:noWrap w:val="0"/>
                  <w:vAlign w:val="center"/>
                </w:tcPr>
                <w:p w14:paraId="0732E8B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780</w:t>
                  </w:r>
                </w:p>
              </w:tc>
            </w:tr>
            <w:tr w14:paraId="59126D0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09" w:type="pct"/>
                  <w:tcBorders>
                    <w:top w:val="single" w:color="auto" w:sz="4" w:space="0"/>
                    <w:left w:val="nil"/>
                    <w:bottom w:val="single" w:color="auto" w:sz="4" w:space="0"/>
                    <w:right w:val="single" w:color="auto" w:sz="4" w:space="0"/>
                  </w:tcBorders>
                  <w:noWrap w:val="0"/>
                  <w:vAlign w:val="center"/>
                </w:tcPr>
                <w:p w14:paraId="6771F3F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543" w:type="pct"/>
                  <w:tcBorders>
                    <w:top w:val="single" w:color="auto" w:sz="4" w:space="0"/>
                    <w:left w:val="single" w:color="auto" w:sz="4" w:space="0"/>
                    <w:bottom w:val="single" w:color="auto" w:sz="4" w:space="0"/>
                    <w:right w:val="single" w:color="auto" w:sz="4" w:space="0"/>
                  </w:tcBorders>
                  <w:noWrap w:val="0"/>
                  <w:vAlign w:val="center"/>
                </w:tcPr>
                <w:p w14:paraId="782C931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3C61C0B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w:t>
                  </w:r>
                </w:p>
              </w:tc>
              <w:tc>
                <w:tcPr>
                  <w:tcW w:w="768" w:type="pct"/>
                  <w:tcBorders>
                    <w:top w:val="single" w:color="auto" w:sz="4" w:space="0"/>
                    <w:left w:val="single" w:color="auto" w:sz="4" w:space="0"/>
                    <w:bottom w:val="single" w:color="auto" w:sz="4" w:space="0"/>
                    <w:right w:val="single" w:color="auto" w:sz="4" w:space="0"/>
                  </w:tcBorders>
                  <w:noWrap w:val="0"/>
                  <w:vAlign w:val="center"/>
                </w:tcPr>
                <w:p w14:paraId="2075B7C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0.039</w:t>
                  </w:r>
                </w:p>
              </w:tc>
              <w:tc>
                <w:tcPr>
                  <w:tcW w:w="712" w:type="pct"/>
                  <w:tcBorders>
                    <w:top w:val="single" w:color="auto" w:sz="4" w:space="0"/>
                    <w:left w:val="single" w:color="auto" w:sz="4" w:space="0"/>
                    <w:bottom w:val="single" w:color="auto" w:sz="4" w:space="0"/>
                    <w:right w:val="single" w:color="auto" w:sz="4" w:space="0"/>
                  </w:tcBorders>
                  <w:noWrap w:val="0"/>
                  <w:vAlign w:val="center"/>
                </w:tcPr>
                <w:p w14:paraId="65C7176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1879" w:type="pct"/>
                  <w:tcBorders>
                    <w:top w:val="single" w:color="auto" w:sz="4" w:space="0"/>
                    <w:left w:val="single" w:color="auto" w:sz="4" w:space="0"/>
                    <w:bottom w:val="single" w:color="auto" w:sz="4" w:space="0"/>
                    <w:right w:val="nil"/>
                  </w:tcBorders>
                  <w:noWrap w:val="0"/>
                  <w:vAlign w:val="center"/>
                </w:tcPr>
                <w:p w14:paraId="0FEDD9A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0.039</w:t>
                  </w:r>
                </w:p>
              </w:tc>
            </w:tr>
            <w:tr w14:paraId="085A0E4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9" w:type="pct"/>
                  <w:tcBorders>
                    <w:top w:val="single" w:color="auto" w:sz="4" w:space="0"/>
                    <w:left w:val="nil"/>
                    <w:bottom w:val="single" w:color="auto" w:sz="12" w:space="0"/>
                    <w:right w:val="single" w:color="auto" w:sz="4" w:space="0"/>
                  </w:tcBorders>
                  <w:noWrap w:val="0"/>
                  <w:vAlign w:val="center"/>
                </w:tcPr>
                <w:p w14:paraId="46757E6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543" w:type="pct"/>
                  <w:tcBorders>
                    <w:top w:val="single" w:color="auto" w:sz="4" w:space="0"/>
                    <w:left w:val="single" w:color="auto" w:sz="4" w:space="0"/>
                    <w:bottom w:val="single" w:color="auto" w:sz="12" w:space="0"/>
                    <w:right w:val="single" w:color="auto" w:sz="4" w:space="0"/>
                  </w:tcBorders>
                  <w:noWrap w:val="0"/>
                  <w:vAlign w:val="center"/>
                </w:tcPr>
                <w:p w14:paraId="1C721F5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587" w:type="pct"/>
                  <w:tcBorders>
                    <w:top w:val="single" w:color="auto" w:sz="4" w:space="0"/>
                    <w:left w:val="single" w:color="auto" w:sz="4" w:space="0"/>
                    <w:bottom w:val="single" w:color="auto" w:sz="12" w:space="0"/>
                    <w:right w:val="single" w:color="auto" w:sz="4" w:space="0"/>
                  </w:tcBorders>
                  <w:noWrap w:val="0"/>
                  <w:vAlign w:val="center"/>
                </w:tcPr>
                <w:p w14:paraId="619D980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0.0057</w:t>
                  </w:r>
                </w:p>
              </w:tc>
              <w:tc>
                <w:tcPr>
                  <w:tcW w:w="768" w:type="pct"/>
                  <w:tcBorders>
                    <w:top w:val="single" w:color="auto" w:sz="4" w:space="0"/>
                    <w:left w:val="single" w:color="auto" w:sz="4" w:space="0"/>
                    <w:bottom w:val="single" w:color="auto" w:sz="12" w:space="0"/>
                    <w:right w:val="single" w:color="auto" w:sz="4" w:space="0"/>
                  </w:tcBorders>
                  <w:noWrap w:val="0"/>
                  <w:vAlign w:val="center"/>
                </w:tcPr>
                <w:p w14:paraId="694CAF3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0.0039</w:t>
                  </w:r>
                </w:p>
              </w:tc>
              <w:tc>
                <w:tcPr>
                  <w:tcW w:w="712" w:type="pct"/>
                  <w:tcBorders>
                    <w:top w:val="single" w:color="auto" w:sz="4" w:space="0"/>
                    <w:left w:val="single" w:color="auto" w:sz="4" w:space="0"/>
                    <w:bottom w:val="single" w:color="auto" w:sz="12" w:space="0"/>
                    <w:right w:val="single" w:color="auto" w:sz="4" w:space="0"/>
                  </w:tcBorders>
                  <w:noWrap w:val="0"/>
                  <w:vAlign w:val="center"/>
                </w:tcPr>
                <w:p w14:paraId="73899E7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0.0018</w:t>
                  </w:r>
                </w:p>
              </w:tc>
              <w:tc>
                <w:tcPr>
                  <w:tcW w:w="1879" w:type="pct"/>
                  <w:tcBorders>
                    <w:top w:val="single" w:color="auto" w:sz="4" w:space="0"/>
                    <w:left w:val="single" w:color="auto" w:sz="4" w:space="0"/>
                    <w:bottom w:val="single" w:color="auto" w:sz="12" w:space="0"/>
                    <w:right w:val="nil"/>
                  </w:tcBorders>
                  <w:noWrap w:val="0"/>
                  <w:vAlign w:val="center"/>
                </w:tcPr>
                <w:p w14:paraId="0FF10E8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0.0039</w:t>
                  </w:r>
                </w:p>
              </w:tc>
            </w:tr>
          </w:tbl>
          <w:p w14:paraId="61C0D1A1">
            <w:pPr>
              <w:rPr>
                <w:rFonts w:hint="default"/>
                <w:color w:val="auto"/>
                <w:lang w:val="en-US" w:eastAsia="zh-CN"/>
              </w:rPr>
            </w:pPr>
          </w:p>
          <w:p w14:paraId="566445AD">
            <w:pPr>
              <w:pStyle w:val="46"/>
              <w:ind w:firstLine="480"/>
              <w:rPr>
                <w:color w:val="auto"/>
                <w:highlight w:val="none"/>
              </w:rPr>
            </w:pPr>
            <w:r>
              <w:rPr>
                <w:color w:val="auto"/>
                <w:highlight w:val="none"/>
              </w:rPr>
              <w:t>根据《福建省环保厅关于进一步加快推进排污权有偿使用和交易工作的意见》（闽环发</w:t>
            </w:r>
            <w:r>
              <w:rPr>
                <w:rFonts w:hint="eastAsia"/>
                <w:color w:val="auto"/>
                <w:highlight w:val="none"/>
                <w:lang w:eastAsia="zh-CN"/>
              </w:rPr>
              <w:t>〔</w:t>
            </w:r>
            <w:r>
              <w:rPr>
                <w:color w:val="auto"/>
                <w:highlight w:val="none"/>
              </w:rPr>
              <w:t>2015</w:t>
            </w:r>
            <w:r>
              <w:rPr>
                <w:rFonts w:hint="eastAsia"/>
                <w:color w:val="auto"/>
                <w:highlight w:val="none"/>
                <w:lang w:eastAsia="zh-CN"/>
              </w:rPr>
              <w:t>〕</w:t>
            </w:r>
            <w:r>
              <w:rPr>
                <w:color w:val="auto"/>
                <w:highlight w:val="none"/>
              </w:rPr>
              <w:t>6号）中相关规定</w:t>
            </w:r>
            <w:r>
              <w:rPr>
                <w:rFonts w:hint="eastAsia"/>
                <w:color w:val="auto"/>
                <w:highlight w:val="none"/>
                <w:lang w:eastAsia="zh-CN"/>
              </w:rPr>
              <w:t>“</w:t>
            </w:r>
            <w:r>
              <w:rPr>
                <w:color w:val="auto"/>
                <w:highlight w:val="none"/>
              </w:rPr>
              <w:t>对于水污染物，仅核定工业废水部分</w:t>
            </w:r>
            <w:r>
              <w:rPr>
                <w:rFonts w:hint="eastAsia"/>
                <w:color w:val="auto"/>
                <w:highlight w:val="none"/>
                <w:lang w:eastAsia="zh-CN"/>
              </w:rPr>
              <w:t>”</w:t>
            </w:r>
            <w:r>
              <w:rPr>
                <w:color w:val="auto"/>
                <w:highlight w:val="none"/>
              </w:rPr>
              <w:t>，因此，本项目生活污水中COD、氨氮无需购买总量。</w:t>
            </w:r>
          </w:p>
          <w:p w14:paraId="4A78665C">
            <w:pPr>
              <w:pStyle w:val="46"/>
              <w:ind w:firstLine="480"/>
              <w:rPr>
                <w:color w:val="auto"/>
                <w:highlight w:val="none"/>
              </w:rPr>
            </w:pPr>
            <w:r>
              <w:rPr>
                <w:color w:val="auto"/>
                <w:highlight w:val="none"/>
              </w:rPr>
              <w:t>项目建成实施后生产废水经</w:t>
            </w:r>
            <w:r>
              <w:rPr>
                <w:rFonts w:hint="eastAsia"/>
                <w:color w:val="auto"/>
                <w:highlight w:val="none"/>
                <w:lang w:eastAsia="zh-CN"/>
              </w:rPr>
              <w:t>废水处理设施</w:t>
            </w:r>
            <w:r>
              <w:rPr>
                <w:color w:val="auto"/>
                <w:highlight w:val="none"/>
              </w:rPr>
              <w:t>处理后，排入</w:t>
            </w:r>
            <w:r>
              <w:rPr>
                <w:rFonts w:hint="eastAsia"/>
                <w:color w:val="auto"/>
                <w:highlight w:val="none"/>
                <w:lang w:eastAsia="zh-CN"/>
              </w:rPr>
              <w:t>福清市第二污水处理厂</w:t>
            </w:r>
            <w:r>
              <w:rPr>
                <w:color w:val="auto"/>
                <w:highlight w:val="none"/>
              </w:rPr>
              <w:t>处理；本项目生活污水经化粪池处理后排入</w:t>
            </w:r>
            <w:r>
              <w:rPr>
                <w:rFonts w:hint="eastAsia"/>
                <w:color w:val="auto"/>
                <w:highlight w:val="none"/>
                <w:lang w:eastAsia="zh-CN"/>
              </w:rPr>
              <w:t>福清市第二污水处理厂</w:t>
            </w:r>
            <w:r>
              <w:rPr>
                <w:color w:val="auto"/>
                <w:highlight w:val="none"/>
              </w:rPr>
              <w:t>处理。</w:t>
            </w:r>
          </w:p>
          <w:p w14:paraId="7BF3926F">
            <w:pPr>
              <w:pStyle w:val="46"/>
              <w:ind w:firstLine="480"/>
              <w:rPr>
                <w:rFonts w:hint="eastAsia"/>
                <w:color w:val="auto"/>
                <w:highlight w:val="none"/>
              </w:rPr>
            </w:pPr>
            <w:r>
              <w:rPr>
                <w:rFonts w:hint="eastAsia"/>
                <w:color w:val="auto"/>
                <w:highlight w:val="none"/>
              </w:rPr>
              <w:t>根据《生态环境部门进一步促进民营经济发展的若干措施》（环综合〔2024〕62号）：对</w:t>
            </w:r>
            <w:r>
              <w:rPr>
                <w:rFonts w:hint="eastAsia"/>
                <w:color w:val="auto"/>
                <w:highlight w:val="none"/>
                <w:lang w:val="en-US" w:eastAsia="zh-CN"/>
              </w:rPr>
              <w:t>二氧化硫、</w:t>
            </w:r>
            <w:r>
              <w:rPr>
                <w:rFonts w:hint="eastAsia"/>
                <w:color w:val="auto"/>
                <w:highlight w:val="none"/>
              </w:rPr>
              <w:t>氮氧化物、化学需氧量、挥发性有机污染物的单项新增年排放量小于0.1吨，氨氮小于0.01吨的建设项目，免予提交总量指标来源说明，由地方生态环境部门统筹总量指标替代来源，并纳入台账管理。</w:t>
            </w:r>
            <w:r>
              <w:rPr>
                <w:rFonts w:hint="eastAsia"/>
                <w:color w:val="auto"/>
                <w:highlight w:val="none"/>
                <w:u w:val="single"/>
              </w:rPr>
              <w:t>本项目化学需氧量单项新增年排放量小于0.1吨、氨氮小于0.01吨，免予提交总量指标来源说明，由地方生态环境部门统筹总量指标替代来源，并纳入台账管理。</w:t>
            </w:r>
          </w:p>
          <w:p w14:paraId="7EE0BF6F">
            <w:pPr>
              <w:pStyle w:val="5"/>
              <w:numPr>
                <w:ilvl w:val="3"/>
                <w:numId w:val="13"/>
              </w:numPr>
              <w:tabs>
                <w:tab w:val="left" w:pos="0"/>
              </w:tabs>
              <w:bidi w:val="0"/>
              <w:ind w:left="864" w:leftChars="0" w:hanging="864" w:firstLineChars="0"/>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大气污染物总量控制</w:t>
            </w:r>
          </w:p>
          <w:p w14:paraId="791FED68">
            <w:pPr>
              <w:pStyle w:val="144"/>
              <w:adjustRightInd/>
              <w:snapToGrid/>
              <w:ind w:firstLine="31680"/>
              <w:rPr>
                <w:rFonts w:ascii="Times New Roman" w:hAnsi="Times New Roman" w:eastAsia="宋体"/>
                <w:color w:val="auto"/>
                <w:szCs w:val="24"/>
                <w:highlight w:val="none"/>
              </w:rPr>
            </w:pPr>
            <w:r>
              <w:rPr>
                <w:rFonts w:hint="eastAsia" w:ascii="Times New Roman" w:hAnsi="Times New Roman" w:eastAsia="宋体"/>
                <w:color w:val="auto"/>
                <w:szCs w:val="24"/>
                <w:highlight w:val="none"/>
              </w:rPr>
              <w:t>本项目</w:t>
            </w:r>
            <w:r>
              <w:rPr>
                <w:rFonts w:hint="eastAsia" w:ascii="Times New Roman" w:hAnsi="Times New Roman" w:eastAsia="宋体"/>
                <w:color w:val="auto"/>
                <w:highlight w:val="none"/>
                <w:lang w:val="en-US" w:eastAsia="zh-CN"/>
              </w:rPr>
              <w:t>大气</w:t>
            </w:r>
            <w:r>
              <w:rPr>
                <w:rFonts w:hint="eastAsia" w:ascii="Times New Roman" w:hAnsi="Times New Roman" w:eastAsia="宋体"/>
                <w:color w:val="auto"/>
                <w:szCs w:val="24"/>
                <w:highlight w:val="none"/>
              </w:rPr>
              <w:t>污染物主要为</w:t>
            </w:r>
            <w:r>
              <w:rPr>
                <w:rFonts w:hint="eastAsia" w:ascii="Times New Roman" w:hAnsi="Times New Roman" w:eastAsia="宋体"/>
                <w:color w:val="auto"/>
                <w:szCs w:val="24"/>
                <w:highlight w:val="none"/>
                <w:lang w:val="en-US" w:eastAsia="zh-CN"/>
              </w:rPr>
              <w:t>VOCs</w:t>
            </w:r>
            <w:r>
              <w:rPr>
                <w:rFonts w:hint="eastAsia"/>
                <w:color w:val="auto"/>
                <w:szCs w:val="24"/>
                <w:highlight w:val="none"/>
                <w:lang w:val="en-US" w:eastAsia="zh-CN"/>
              </w:rPr>
              <w:t>、SO</w:t>
            </w:r>
            <w:r>
              <w:rPr>
                <w:rFonts w:hint="eastAsia"/>
                <w:color w:val="auto"/>
                <w:szCs w:val="24"/>
                <w:highlight w:val="none"/>
                <w:vertAlign w:val="subscript"/>
                <w:lang w:val="en-US" w:eastAsia="zh-CN"/>
              </w:rPr>
              <w:t>2</w:t>
            </w:r>
            <w:r>
              <w:rPr>
                <w:rFonts w:hint="eastAsia"/>
                <w:color w:val="auto"/>
                <w:szCs w:val="24"/>
                <w:highlight w:val="none"/>
                <w:lang w:val="en-US" w:eastAsia="zh-CN"/>
              </w:rPr>
              <w:t>、NOx等</w:t>
            </w:r>
            <w:r>
              <w:rPr>
                <w:rFonts w:hint="eastAsia" w:ascii="Times New Roman" w:hAnsi="Times New Roman" w:eastAsia="宋体"/>
                <w:color w:val="auto"/>
                <w:szCs w:val="24"/>
                <w:highlight w:val="none"/>
              </w:rPr>
              <w:t>。项目总量控制指标见表</w:t>
            </w:r>
            <w:r>
              <w:rPr>
                <w:rFonts w:hint="eastAsia" w:ascii="Times New Roman" w:hAnsi="Times New Roman" w:eastAsia="宋体"/>
                <w:color w:val="auto"/>
                <w:szCs w:val="24"/>
                <w:highlight w:val="none"/>
                <w:lang w:val="en-US" w:eastAsia="zh-CN"/>
              </w:rPr>
              <w:t>3.4-</w:t>
            </w:r>
            <w:r>
              <w:rPr>
                <w:rFonts w:hint="eastAsia"/>
                <w:color w:val="auto"/>
                <w:szCs w:val="24"/>
                <w:highlight w:val="none"/>
                <w:lang w:val="en-US" w:eastAsia="zh-CN"/>
              </w:rPr>
              <w:t>2</w:t>
            </w:r>
            <w:r>
              <w:rPr>
                <w:rFonts w:hint="eastAsia" w:ascii="Times New Roman" w:hAnsi="Times New Roman" w:eastAsia="宋体"/>
                <w:color w:val="auto"/>
                <w:szCs w:val="24"/>
                <w:highlight w:val="none"/>
              </w:rPr>
              <w:t>。</w:t>
            </w:r>
          </w:p>
          <w:p w14:paraId="3214E90C">
            <w:pPr>
              <w:pStyle w:val="44"/>
              <w:keepNext/>
              <w:keepLines/>
              <w:pageBreakBefore w:val="0"/>
              <w:widowControl w:val="0"/>
              <w:numPr>
                <w:ilvl w:val="7"/>
                <w:numId w:val="1"/>
              </w:numPr>
              <w:kinsoku/>
              <w:wordWrap/>
              <w:overflowPunct/>
              <w:topLinePunct w:val="0"/>
              <w:autoSpaceDE/>
              <w:autoSpaceDN/>
              <w:bidi w:val="0"/>
              <w:adjustRightInd/>
              <w:snapToGrid/>
              <w:spacing w:before="0" w:after="0"/>
              <w:ind w:left="630" w:leftChars="0" w:firstLine="0" w:firstLineChars="0"/>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项目废气总量控制指标</w:t>
            </w:r>
          </w:p>
          <w:tbl>
            <w:tblPr>
              <w:tblStyle w:val="86"/>
              <w:tblW w:w="4996"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20"/>
              <w:gridCol w:w="1339"/>
              <w:gridCol w:w="1440"/>
              <w:gridCol w:w="1634"/>
              <w:gridCol w:w="2135"/>
            </w:tblGrid>
            <w:tr w14:paraId="4915F8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1" w:type="pct"/>
                  <w:tcBorders>
                    <w:bottom w:val="single" w:color="000000" w:sz="12" w:space="0"/>
                  </w:tcBorders>
                  <w:vAlign w:val="center"/>
                </w:tcPr>
                <w:p w14:paraId="34B2EA4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污染物</w:t>
                  </w:r>
                </w:p>
              </w:tc>
              <w:tc>
                <w:tcPr>
                  <w:tcW w:w="840" w:type="pct"/>
                  <w:tcBorders>
                    <w:bottom w:val="single" w:color="000000" w:sz="12" w:space="0"/>
                  </w:tcBorders>
                  <w:vAlign w:val="center"/>
                </w:tcPr>
                <w:p w14:paraId="4288EA0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有组织</w:t>
                  </w:r>
                  <w:r>
                    <w:rPr>
                      <w:rFonts w:hint="eastAsia" w:ascii="Times New Roman" w:hAnsi="Times New Roman" w:eastAsia="宋体"/>
                      <w:color w:val="auto"/>
                      <w:highlight w:val="none"/>
                      <w:lang w:val="en-US" w:eastAsia="zh-CN"/>
                    </w:rPr>
                    <w:t>t/a</w:t>
                  </w:r>
                </w:p>
              </w:tc>
              <w:tc>
                <w:tcPr>
                  <w:tcW w:w="903" w:type="pct"/>
                  <w:tcBorders>
                    <w:bottom w:val="single" w:color="000000" w:sz="12" w:space="0"/>
                  </w:tcBorders>
                  <w:vAlign w:val="center"/>
                </w:tcPr>
                <w:p w14:paraId="5625932E">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无组织</w:t>
                  </w:r>
                  <w:r>
                    <w:rPr>
                      <w:rFonts w:hint="eastAsia" w:ascii="Times New Roman" w:hAnsi="Times New Roman" w:eastAsia="宋体"/>
                      <w:color w:val="auto"/>
                      <w:highlight w:val="none"/>
                      <w:lang w:val="en-US" w:eastAsia="zh-CN"/>
                    </w:rPr>
                    <w:t>t/a</w:t>
                  </w:r>
                </w:p>
              </w:tc>
              <w:tc>
                <w:tcPr>
                  <w:tcW w:w="1025" w:type="pct"/>
                  <w:tcBorders>
                    <w:bottom w:val="single" w:color="000000" w:sz="12" w:space="0"/>
                  </w:tcBorders>
                  <w:vAlign w:val="center"/>
                </w:tcPr>
                <w:p w14:paraId="1BA40B1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全厂排放量</w:t>
                  </w:r>
                  <w:r>
                    <w:rPr>
                      <w:rFonts w:hint="eastAsia" w:ascii="Times New Roman" w:hAnsi="Times New Roman" w:eastAsia="宋体"/>
                      <w:color w:val="auto"/>
                      <w:highlight w:val="none"/>
                      <w:lang w:val="en-US" w:eastAsia="zh-CN"/>
                    </w:rPr>
                    <w:t>t/a</w:t>
                  </w:r>
                </w:p>
              </w:tc>
              <w:tc>
                <w:tcPr>
                  <w:tcW w:w="1339" w:type="pct"/>
                  <w:tcBorders>
                    <w:bottom w:val="single" w:color="000000" w:sz="12" w:space="0"/>
                  </w:tcBorders>
                  <w:vAlign w:val="center"/>
                </w:tcPr>
                <w:p w14:paraId="354D7BB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b/>
                      <w:bCs/>
                      <w:color w:val="auto"/>
                      <w:spacing w:val="6"/>
                      <w:sz w:val="21"/>
                      <w:highlight w:val="none"/>
                      <w:lang w:val="en-US" w:eastAsia="zh-CN"/>
                    </w:rPr>
                  </w:pPr>
                  <w:r>
                    <w:rPr>
                      <w:rFonts w:hint="eastAsia" w:ascii="Times New Roman" w:hAnsi="Times New Roman"/>
                      <w:b/>
                      <w:bCs/>
                      <w:color w:val="auto"/>
                      <w:spacing w:val="6"/>
                      <w:sz w:val="21"/>
                      <w:highlight w:val="none"/>
                      <w:lang w:val="en-US" w:eastAsia="zh-CN"/>
                    </w:rPr>
                    <w:t>建议申请总量指标</w:t>
                  </w:r>
                  <w:r>
                    <w:rPr>
                      <w:rFonts w:hint="eastAsia" w:ascii="Times New Roman" w:hAnsi="Times New Roman" w:eastAsia="宋体"/>
                      <w:color w:val="auto"/>
                      <w:highlight w:val="none"/>
                      <w:lang w:val="en-US" w:eastAsia="zh-CN"/>
                    </w:rPr>
                    <w:t>t/a</w:t>
                  </w:r>
                </w:p>
              </w:tc>
            </w:tr>
            <w:tr w14:paraId="3DDC2F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1" w:type="pct"/>
                  <w:tcBorders>
                    <w:top w:val="single" w:color="000000" w:sz="12" w:space="0"/>
                    <w:tl2br w:val="nil"/>
                    <w:tr2bl w:val="nil"/>
                  </w:tcBorders>
                  <w:vAlign w:val="center"/>
                </w:tcPr>
                <w:p w14:paraId="1F6FF1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5"/>
                      <w:sz w:val="21"/>
                      <w:szCs w:val="20"/>
                      <w:highlight w:val="none"/>
                    </w:rPr>
                    <w:t>VOCs</w:t>
                  </w:r>
                </w:p>
              </w:tc>
              <w:tc>
                <w:tcPr>
                  <w:tcW w:w="840" w:type="pct"/>
                  <w:tcBorders>
                    <w:top w:val="single" w:color="000000" w:sz="12" w:space="0"/>
                    <w:tl2br w:val="nil"/>
                    <w:tr2bl w:val="nil"/>
                  </w:tcBorders>
                  <w:vAlign w:val="top"/>
                </w:tcPr>
                <w:p w14:paraId="55F0C7C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0"/>
                      <w:highlight w:val="none"/>
                      <w:lang w:val="en-US" w:eastAsia="zh-CN"/>
                    </w:rPr>
                  </w:pPr>
                  <w:r>
                    <w:rPr>
                      <w:rFonts w:hint="eastAsia" w:cs="Times New Roman"/>
                      <w:color w:val="auto"/>
                      <w:spacing w:val="3"/>
                      <w:sz w:val="21"/>
                      <w:szCs w:val="20"/>
                      <w:highlight w:val="none"/>
                      <w:lang w:val="en-US" w:eastAsia="zh-CN"/>
                    </w:rPr>
                    <w:t>0.6123</w:t>
                  </w:r>
                </w:p>
              </w:tc>
              <w:tc>
                <w:tcPr>
                  <w:tcW w:w="903" w:type="pct"/>
                  <w:tcBorders>
                    <w:top w:val="single" w:color="000000" w:sz="12" w:space="0"/>
                    <w:tl2br w:val="nil"/>
                    <w:tr2bl w:val="nil"/>
                  </w:tcBorders>
                  <w:vAlign w:val="top"/>
                </w:tcPr>
                <w:p w14:paraId="20DA4C2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0"/>
                      <w:highlight w:val="none"/>
                      <w:lang w:val="en-US" w:eastAsia="zh-CN"/>
                    </w:rPr>
                  </w:pPr>
                  <w:r>
                    <w:rPr>
                      <w:rFonts w:hint="eastAsia" w:cs="Times New Roman"/>
                      <w:color w:val="auto"/>
                      <w:spacing w:val="3"/>
                      <w:sz w:val="21"/>
                      <w:szCs w:val="20"/>
                      <w:highlight w:val="none"/>
                      <w:lang w:val="en-US" w:eastAsia="zh-CN"/>
                    </w:rPr>
                    <w:t>0.2721</w:t>
                  </w:r>
                </w:p>
              </w:tc>
              <w:tc>
                <w:tcPr>
                  <w:tcW w:w="1025" w:type="pct"/>
                  <w:tcBorders>
                    <w:top w:val="single" w:color="000000" w:sz="12" w:space="0"/>
                    <w:tl2br w:val="nil"/>
                    <w:tr2bl w:val="nil"/>
                  </w:tcBorders>
                  <w:vAlign w:val="top"/>
                </w:tcPr>
                <w:p w14:paraId="011AE05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3"/>
                      <w:sz w:val="21"/>
                      <w:szCs w:val="20"/>
                      <w:highlight w:val="none"/>
                      <w:lang w:val="en-US" w:eastAsia="zh-CN"/>
                    </w:rPr>
                  </w:pPr>
                  <w:r>
                    <w:rPr>
                      <w:rFonts w:hint="eastAsia" w:cs="Times New Roman"/>
                      <w:color w:val="auto"/>
                      <w:spacing w:val="3"/>
                      <w:sz w:val="21"/>
                      <w:szCs w:val="20"/>
                      <w:highlight w:val="none"/>
                      <w:lang w:val="en-US" w:eastAsia="zh-CN"/>
                    </w:rPr>
                    <w:t>0.8845</w:t>
                  </w:r>
                </w:p>
              </w:tc>
              <w:tc>
                <w:tcPr>
                  <w:tcW w:w="1339" w:type="pct"/>
                  <w:tcBorders>
                    <w:top w:val="single" w:color="000000" w:sz="12" w:space="0"/>
                    <w:tl2br w:val="nil"/>
                    <w:tr2bl w:val="nil"/>
                  </w:tcBorders>
                  <w:shd w:val="clear" w:color="auto" w:fill="auto"/>
                  <w:vAlign w:val="top"/>
                </w:tcPr>
                <w:p w14:paraId="4797DE3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spacing w:val="3"/>
                      <w:kern w:val="2"/>
                      <w:sz w:val="21"/>
                      <w:szCs w:val="20"/>
                      <w:highlight w:val="none"/>
                      <w:lang w:val="en-US" w:eastAsia="zh-CN" w:bidi="ar-SA"/>
                    </w:rPr>
                  </w:pPr>
                  <w:r>
                    <w:rPr>
                      <w:rFonts w:hint="eastAsia" w:cs="Times New Roman"/>
                      <w:color w:val="auto"/>
                      <w:spacing w:val="3"/>
                      <w:sz w:val="21"/>
                      <w:szCs w:val="20"/>
                      <w:highlight w:val="none"/>
                      <w:lang w:val="en-US" w:eastAsia="zh-CN"/>
                    </w:rPr>
                    <w:t>0.8845</w:t>
                  </w:r>
                </w:p>
              </w:tc>
            </w:tr>
            <w:tr w14:paraId="39D50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1" w:type="pct"/>
                  <w:tcBorders>
                    <w:tl2br w:val="nil"/>
                    <w:tr2bl w:val="nil"/>
                  </w:tcBorders>
                  <w:vAlign w:val="center"/>
                </w:tcPr>
                <w:p w14:paraId="2D03774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13"/>
                      <w:highlight w:val="none"/>
                    </w:rPr>
                  </w:pPr>
                  <w:r>
                    <w:rPr>
                      <w:rFonts w:ascii="Times New Roman" w:hAnsi="Times New Roman" w:eastAsia="宋体" w:cs="Times New Roman"/>
                      <w:color w:val="auto"/>
                      <w:sz w:val="21"/>
                      <w:szCs w:val="20"/>
                      <w:highlight w:val="none"/>
                    </w:rPr>
                    <w:t>SO</w:t>
                  </w:r>
                  <w:r>
                    <w:rPr>
                      <w:rFonts w:ascii="Times New Roman" w:hAnsi="Times New Roman" w:eastAsia="宋体" w:cs="Times New Roman"/>
                      <w:color w:val="auto"/>
                      <w:spacing w:val="1"/>
                      <w:sz w:val="21"/>
                      <w:szCs w:val="13"/>
                      <w:highlight w:val="none"/>
                      <w:vertAlign w:val="subscript"/>
                    </w:rPr>
                    <w:t>2</w:t>
                  </w:r>
                </w:p>
              </w:tc>
              <w:tc>
                <w:tcPr>
                  <w:tcW w:w="840" w:type="pct"/>
                  <w:tcBorders>
                    <w:tl2br w:val="nil"/>
                    <w:tr2bl w:val="nil"/>
                  </w:tcBorders>
                  <w:vAlign w:val="center"/>
                </w:tcPr>
                <w:p w14:paraId="55AF3F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0.009</w:t>
                  </w:r>
                </w:p>
              </w:tc>
              <w:tc>
                <w:tcPr>
                  <w:tcW w:w="903" w:type="pct"/>
                  <w:tcBorders>
                    <w:tl2br w:val="nil"/>
                    <w:tr2bl w:val="nil"/>
                  </w:tcBorders>
                  <w:vAlign w:val="center"/>
                </w:tcPr>
                <w:p w14:paraId="23C42C9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0.001</w:t>
                  </w:r>
                </w:p>
              </w:tc>
              <w:tc>
                <w:tcPr>
                  <w:tcW w:w="1025" w:type="pct"/>
                  <w:tcBorders>
                    <w:tl2br w:val="nil"/>
                    <w:tr2bl w:val="nil"/>
                  </w:tcBorders>
                  <w:vAlign w:val="center"/>
                </w:tcPr>
                <w:p w14:paraId="28C1CF1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0.01</w:t>
                  </w:r>
                </w:p>
              </w:tc>
              <w:tc>
                <w:tcPr>
                  <w:tcW w:w="1339" w:type="pct"/>
                  <w:tcBorders>
                    <w:tl2br w:val="nil"/>
                    <w:tr2bl w:val="nil"/>
                  </w:tcBorders>
                  <w:shd w:val="clear" w:color="auto" w:fill="auto"/>
                  <w:vAlign w:val="center"/>
                </w:tcPr>
                <w:p w14:paraId="5A965E0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0.01</w:t>
                  </w:r>
                </w:p>
              </w:tc>
            </w:tr>
            <w:tr w14:paraId="38BF2D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1" w:type="pct"/>
                  <w:tcBorders>
                    <w:tl2br w:val="nil"/>
                    <w:tr2bl w:val="nil"/>
                  </w:tcBorders>
                  <w:vAlign w:val="center"/>
                </w:tcPr>
                <w:p w14:paraId="7CC1F65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6"/>
                      <w:sz w:val="21"/>
                      <w:szCs w:val="20"/>
                      <w:highlight w:val="none"/>
                    </w:rPr>
                    <w:t>NOx</w:t>
                  </w:r>
                </w:p>
              </w:tc>
              <w:tc>
                <w:tcPr>
                  <w:tcW w:w="840" w:type="pct"/>
                  <w:tcBorders>
                    <w:tl2br w:val="nil"/>
                    <w:tr2bl w:val="nil"/>
                  </w:tcBorders>
                  <w:vAlign w:val="center"/>
                </w:tcPr>
                <w:p w14:paraId="262171D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0.07396</w:t>
                  </w:r>
                </w:p>
              </w:tc>
              <w:tc>
                <w:tcPr>
                  <w:tcW w:w="903" w:type="pct"/>
                  <w:tcBorders>
                    <w:tl2br w:val="nil"/>
                    <w:tr2bl w:val="nil"/>
                  </w:tcBorders>
                  <w:vAlign w:val="center"/>
                </w:tcPr>
                <w:p w14:paraId="0ACC0AA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0.0082</w:t>
                  </w:r>
                </w:p>
              </w:tc>
              <w:tc>
                <w:tcPr>
                  <w:tcW w:w="1025" w:type="pct"/>
                  <w:tcBorders>
                    <w:tl2br w:val="nil"/>
                    <w:tr2bl w:val="nil"/>
                  </w:tcBorders>
                  <w:vAlign w:val="center"/>
                </w:tcPr>
                <w:p w14:paraId="0688161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0.082</w:t>
                  </w:r>
                </w:p>
              </w:tc>
              <w:tc>
                <w:tcPr>
                  <w:tcW w:w="1339" w:type="pct"/>
                  <w:tcBorders>
                    <w:tl2br w:val="nil"/>
                    <w:tr2bl w:val="nil"/>
                  </w:tcBorders>
                  <w:shd w:val="clear" w:color="auto" w:fill="auto"/>
                  <w:vAlign w:val="center"/>
                </w:tcPr>
                <w:p w14:paraId="40C4818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0.082</w:t>
                  </w:r>
                </w:p>
              </w:tc>
            </w:tr>
            <w:tr w14:paraId="40A4F0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1" w:type="pct"/>
                  <w:tcBorders>
                    <w:tl2br w:val="nil"/>
                    <w:tr2bl w:val="nil"/>
                  </w:tcBorders>
                  <w:vAlign w:val="center"/>
                </w:tcPr>
                <w:p w14:paraId="1C7232F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6"/>
                      <w:sz w:val="21"/>
                      <w:szCs w:val="20"/>
                      <w:highlight w:val="none"/>
                      <w:lang w:val="en-US" w:eastAsia="zh-CN"/>
                    </w:rPr>
                  </w:pPr>
                  <w:r>
                    <w:rPr>
                      <w:rFonts w:hint="eastAsia" w:cs="Times New Roman"/>
                      <w:color w:val="auto"/>
                      <w:spacing w:val="6"/>
                      <w:sz w:val="21"/>
                      <w:szCs w:val="20"/>
                      <w:highlight w:val="none"/>
                      <w:lang w:val="en-US" w:eastAsia="zh-CN"/>
                    </w:rPr>
                    <w:t>颗粒物</w:t>
                  </w:r>
                </w:p>
              </w:tc>
              <w:tc>
                <w:tcPr>
                  <w:tcW w:w="840" w:type="pct"/>
                  <w:tcBorders>
                    <w:tl2br w:val="nil"/>
                    <w:tr2bl w:val="nil"/>
                  </w:tcBorders>
                  <w:shd w:val="clear" w:color="auto" w:fill="auto"/>
                  <w:vAlign w:val="center"/>
                </w:tcPr>
                <w:p w14:paraId="5C88277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0.4579</w:t>
                  </w:r>
                </w:p>
              </w:tc>
              <w:tc>
                <w:tcPr>
                  <w:tcW w:w="903" w:type="pct"/>
                  <w:tcBorders>
                    <w:tl2br w:val="nil"/>
                    <w:tr2bl w:val="nil"/>
                  </w:tcBorders>
                  <w:shd w:val="clear" w:color="auto" w:fill="auto"/>
                  <w:vAlign w:val="center"/>
                </w:tcPr>
                <w:p w14:paraId="40B765B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0.3797</w:t>
                  </w:r>
                </w:p>
              </w:tc>
              <w:tc>
                <w:tcPr>
                  <w:tcW w:w="1025" w:type="pct"/>
                  <w:tcBorders>
                    <w:tl2br w:val="nil"/>
                    <w:tr2bl w:val="nil"/>
                  </w:tcBorders>
                  <w:shd w:val="clear" w:color="auto" w:fill="auto"/>
                  <w:vAlign w:val="center"/>
                </w:tcPr>
                <w:p w14:paraId="7AA5A8E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0.8376</w:t>
                  </w:r>
                </w:p>
              </w:tc>
              <w:tc>
                <w:tcPr>
                  <w:tcW w:w="1339" w:type="pct"/>
                  <w:tcBorders>
                    <w:tl2br w:val="nil"/>
                    <w:tr2bl w:val="nil"/>
                  </w:tcBorders>
                  <w:vAlign w:val="center"/>
                </w:tcPr>
                <w:p w14:paraId="07CF46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cs="Times New Roman"/>
                      <w:color w:val="auto"/>
                      <w:sz w:val="21"/>
                      <w:szCs w:val="20"/>
                      <w:highlight w:val="none"/>
                      <w:lang w:val="en-US" w:eastAsia="zh-CN"/>
                    </w:rPr>
                  </w:pPr>
                  <w:r>
                    <w:rPr>
                      <w:rFonts w:hint="eastAsia" w:ascii="Times New Roman" w:hAnsi="Times New Roman" w:cs="Times New Roman"/>
                      <w:color w:val="auto"/>
                      <w:sz w:val="21"/>
                      <w:szCs w:val="21"/>
                      <w:highlight w:val="none"/>
                      <w:lang w:val="en-US" w:eastAsia="zh-CN"/>
                    </w:rPr>
                    <w:t>/</w:t>
                  </w:r>
                </w:p>
              </w:tc>
            </w:tr>
            <w:tr w14:paraId="29282F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1" w:type="pct"/>
                  <w:tcBorders>
                    <w:tl2br w:val="nil"/>
                    <w:tr2bl w:val="nil"/>
                  </w:tcBorders>
                  <w:vAlign w:val="center"/>
                </w:tcPr>
                <w:p w14:paraId="3B878C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6"/>
                      <w:sz w:val="21"/>
                      <w:szCs w:val="20"/>
                      <w:highlight w:val="none"/>
                      <w:lang w:val="en-US" w:eastAsia="zh-CN"/>
                    </w:rPr>
                  </w:pPr>
                  <w:r>
                    <w:rPr>
                      <w:rFonts w:hint="eastAsia" w:cs="Times New Roman"/>
                      <w:color w:val="auto"/>
                      <w:spacing w:val="6"/>
                      <w:sz w:val="21"/>
                      <w:szCs w:val="20"/>
                      <w:highlight w:val="none"/>
                      <w:lang w:val="en-US" w:eastAsia="zh-CN"/>
                    </w:rPr>
                    <w:t>氨</w:t>
                  </w:r>
                </w:p>
              </w:tc>
              <w:tc>
                <w:tcPr>
                  <w:tcW w:w="840" w:type="pct"/>
                  <w:tcBorders>
                    <w:tl2br w:val="nil"/>
                    <w:tr2bl w:val="nil"/>
                  </w:tcBorders>
                  <w:shd w:val="clear" w:color="auto" w:fill="auto"/>
                  <w:vAlign w:val="center"/>
                </w:tcPr>
                <w:p w14:paraId="5826394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03" w:type="pct"/>
                  <w:tcBorders>
                    <w:tl2br w:val="nil"/>
                    <w:tr2bl w:val="nil"/>
                  </w:tcBorders>
                  <w:shd w:val="clear" w:color="auto" w:fill="auto"/>
                  <w:vAlign w:val="center"/>
                </w:tcPr>
                <w:p w14:paraId="107FDCC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w:t>
                  </w:r>
                </w:p>
              </w:tc>
              <w:tc>
                <w:tcPr>
                  <w:tcW w:w="1025" w:type="pct"/>
                  <w:tcBorders>
                    <w:tl2br w:val="nil"/>
                    <w:tr2bl w:val="nil"/>
                  </w:tcBorders>
                  <w:shd w:val="clear" w:color="auto" w:fill="auto"/>
                  <w:vAlign w:val="center"/>
                </w:tcPr>
                <w:p w14:paraId="53D8A9BD">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0.06</w:t>
                  </w:r>
                </w:p>
              </w:tc>
              <w:tc>
                <w:tcPr>
                  <w:tcW w:w="1339" w:type="pct"/>
                  <w:tcBorders>
                    <w:tl2br w:val="nil"/>
                    <w:tr2bl w:val="nil"/>
                  </w:tcBorders>
                  <w:shd w:val="clear" w:color="auto" w:fill="auto"/>
                  <w:vAlign w:val="center"/>
                </w:tcPr>
                <w:p w14:paraId="5EF0B7A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6C13D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91" w:type="pct"/>
                  <w:tcBorders>
                    <w:tl2br w:val="nil"/>
                    <w:tr2bl w:val="nil"/>
                  </w:tcBorders>
                  <w:vAlign w:val="center"/>
                </w:tcPr>
                <w:p w14:paraId="3CDCE9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cs="Times New Roman"/>
                      <w:color w:val="auto"/>
                      <w:spacing w:val="6"/>
                      <w:sz w:val="21"/>
                      <w:szCs w:val="20"/>
                      <w:highlight w:val="none"/>
                      <w:lang w:val="en-US" w:eastAsia="zh-CN"/>
                    </w:rPr>
                  </w:pPr>
                  <w:r>
                    <w:rPr>
                      <w:rFonts w:hint="eastAsia" w:cs="Times New Roman"/>
                      <w:color w:val="auto"/>
                      <w:spacing w:val="6"/>
                      <w:sz w:val="21"/>
                      <w:szCs w:val="20"/>
                      <w:highlight w:val="none"/>
                      <w:lang w:val="en-US" w:eastAsia="zh-CN"/>
                    </w:rPr>
                    <w:t>硫化氢</w:t>
                  </w:r>
                </w:p>
              </w:tc>
              <w:tc>
                <w:tcPr>
                  <w:tcW w:w="840" w:type="pct"/>
                  <w:tcBorders>
                    <w:tl2br w:val="nil"/>
                    <w:tr2bl w:val="nil"/>
                  </w:tcBorders>
                  <w:shd w:val="clear" w:color="auto" w:fill="auto"/>
                  <w:vAlign w:val="center"/>
                </w:tcPr>
                <w:p w14:paraId="30B7A7D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903" w:type="pct"/>
                  <w:tcBorders>
                    <w:tl2br w:val="nil"/>
                    <w:tr2bl w:val="nil"/>
                  </w:tcBorders>
                  <w:shd w:val="clear" w:color="auto" w:fill="auto"/>
                  <w:vAlign w:val="center"/>
                </w:tcPr>
                <w:p w14:paraId="7E408E8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0.12</w:t>
                  </w:r>
                </w:p>
              </w:tc>
              <w:tc>
                <w:tcPr>
                  <w:tcW w:w="1025" w:type="pct"/>
                  <w:tcBorders>
                    <w:tl2br w:val="nil"/>
                    <w:tr2bl w:val="nil"/>
                  </w:tcBorders>
                  <w:shd w:val="clear" w:color="auto" w:fill="auto"/>
                  <w:vAlign w:val="center"/>
                </w:tcPr>
                <w:p w14:paraId="26FC2EB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0.12</w:t>
                  </w:r>
                </w:p>
              </w:tc>
              <w:tc>
                <w:tcPr>
                  <w:tcW w:w="1339" w:type="pct"/>
                  <w:tcBorders>
                    <w:tl2br w:val="nil"/>
                    <w:tr2bl w:val="nil"/>
                  </w:tcBorders>
                  <w:shd w:val="clear" w:color="auto" w:fill="auto"/>
                  <w:vAlign w:val="center"/>
                </w:tcPr>
                <w:p w14:paraId="7CC6EA0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bl>
          <w:p w14:paraId="04B6D681">
            <w:pPr>
              <w:pStyle w:val="46"/>
              <w:ind w:firstLine="480"/>
              <w:rPr>
                <w:rFonts w:hint="default"/>
                <w:color w:val="auto"/>
                <w:highlight w:val="none"/>
                <w:lang w:val="en-US" w:eastAsia="zh-CN"/>
              </w:rPr>
            </w:pPr>
            <w:r>
              <w:rPr>
                <w:rFonts w:hint="eastAsia" w:ascii="Times New Roman" w:hAnsi="Times New Roman" w:eastAsia="宋体"/>
                <w:color w:val="auto"/>
                <w:highlight w:val="none"/>
                <w:lang w:val="en-US" w:eastAsia="zh-CN"/>
              </w:rPr>
              <w:t>根据上表可以看出，项目排放污染物总量控制指标为：VOCs</w:t>
            </w:r>
            <w:r>
              <w:rPr>
                <w:rFonts w:hint="eastAsia"/>
                <w:color w:val="auto"/>
                <w:highlight w:val="none"/>
                <w:lang w:val="en-US" w:eastAsia="zh-CN"/>
              </w:rPr>
              <w:t>0.8845</w:t>
            </w:r>
            <w:r>
              <w:rPr>
                <w:rFonts w:hint="eastAsia" w:ascii="Times New Roman" w:hAnsi="Times New Roman" w:eastAsia="宋体"/>
                <w:color w:val="auto"/>
                <w:highlight w:val="none"/>
                <w:lang w:val="en-US" w:eastAsia="zh-CN"/>
              </w:rPr>
              <w:t>t/a，SO</w:t>
            </w:r>
            <w:r>
              <w:rPr>
                <w:rFonts w:hint="eastAsia" w:ascii="Times New Roman" w:hAnsi="Times New Roman" w:eastAsia="宋体"/>
                <w:color w:val="auto"/>
                <w:highlight w:val="none"/>
                <w:vertAlign w:val="subscript"/>
                <w:lang w:val="en-US" w:eastAsia="zh-CN"/>
              </w:rPr>
              <w:t>2</w:t>
            </w:r>
            <w:r>
              <w:rPr>
                <w:rFonts w:hint="eastAsia" w:ascii="Times New Roman" w:hAnsi="Times New Roman" w:eastAsia="宋体"/>
                <w:color w:val="auto"/>
                <w:highlight w:val="none"/>
                <w:lang w:val="en-US" w:eastAsia="zh-CN"/>
              </w:rPr>
              <w:t>0.0</w:t>
            </w:r>
            <w:r>
              <w:rPr>
                <w:rFonts w:hint="eastAsia"/>
                <w:color w:val="auto"/>
                <w:highlight w:val="none"/>
                <w:lang w:val="en-US" w:eastAsia="zh-CN"/>
              </w:rPr>
              <w:t>1</w:t>
            </w:r>
            <w:r>
              <w:rPr>
                <w:rFonts w:hint="eastAsia" w:ascii="Times New Roman" w:hAnsi="Times New Roman" w:eastAsia="宋体"/>
                <w:color w:val="auto"/>
                <w:highlight w:val="none"/>
                <w:lang w:val="en-US" w:eastAsia="zh-CN"/>
              </w:rPr>
              <w:t>t/a，NOx0.0</w:t>
            </w:r>
            <w:r>
              <w:rPr>
                <w:rFonts w:hint="eastAsia"/>
                <w:color w:val="auto"/>
                <w:highlight w:val="none"/>
                <w:lang w:val="en-US" w:eastAsia="zh-CN"/>
              </w:rPr>
              <w:t>82</w:t>
            </w:r>
            <w:r>
              <w:rPr>
                <w:rFonts w:hint="eastAsia" w:ascii="Times New Roman" w:hAnsi="Times New Roman" w:eastAsia="宋体"/>
                <w:color w:val="auto"/>
                <w:highlight w:val="none"/>
                <w:lang w:val="en-US" w:eastAsia="zh-CN"/>
              </w:rPr>
              <w:t>t/a。根据福建省环保厅关于印发《福建省建设项目主要污染物排放总量指标管理办法（试行）》的通知（闽环发〔2014〕13号）：“第十条实行重点区域和行业总量倍量调剂，其倍量调剂比例为以下各单项比例的乘积：（四）工业园区外的工业企业的新增排放量，按不低于1.2倍调剂；”根据《福州市生态环境局关于印发福州市大气污染联防联控联治工作方案的通知》榕环保综〔2018〕386号：VOCs排放实行区域内倍量替代，新、改扩建涉VOCs排放项目，应从源头加强控制，使用低（无）VOCs含量的原辅材料，加强废气收集、安装高效治理设施；根据《2022年度福州市蓝天碧水碧海净土保卫战行动计划》（榕环委办〔2022〕49号）：实施新建项目VOCs排放区域内倍量替代。本项目VOCs（以非甲烷总烃计）的排放总量为：</w:t>
            </w:r>
            <w:r>
              <w:rPr>
                <w:rFonts w:hint="eastAsia"/>
                <w:color w:val="auto"/>
                <w:highlight w:val="none"/>
                <w:lang w:val="en-US" w:eastAsia="zh-CN"/>
              </w:rPr>
              <w:t>0.8845</w:t>
            </w:r>
            <w:r>
              <w:rPr>
                <w:rFonts w:hint="eastAsia" w:ascii="Times New Roman" w:hAnsi="Times New Roman" w:eastAsia="宋体"/>
                <w:color w:val="auto"/>
                <w:highlight w:val="none"/>
                <w:lang w:val="en-US" w:eastAsia="zh-CN"/>
              </w:rPr>
              <w:t>t/a。因此，本项目排放的VOCs总量由建设单位向福州市福清生态环境局申请区域倍量替代。建设单位承诺在项目投产前取得各污染VOCs（以非甲烷总烃计）总量的倍量替代，并依法办理排污许可手续。</w:t>
            </w:r>
          </w:p>
        </w:tc>
      </w:tr>
    </w:tbl>
    <w:p w14:paraId="79A4BCFA">
      <w:pPr>
        <w:pStyle w:val="2"/>
        <w:keepNext/>
        <w:keepLines w:val="0"/>
        <w:pageBreakBefore w:val="0"/>
        <w:widowControl w:val="0"/>
        <w:numPr>
          <w:ilvl w:val="0"/>
          <w:numId w:val="0"/>
        </w:numPr>
        <w:tabs>
          <w:tab w:val="left" w:pos="0"/>
        </w:tabs>
        <w:kinsoku/>
        <w:wordWrap/>
        <w:overflowPunct w:val="0"/>
        <w:topLinePunct w:val="0"/>
        <w:autoSpaceDE/>
        <w:autoSpaceDN/>
        <w:bidi w:val="0"/>
        <w:adjustRightInd/>
        <w:snapToGrid w:val="0"/>
        <w:spacing w:before="157" w:beforeLines="50"/>
        <w:ind w:left="431" w:leftChars="0" w:hanging="431" w:firstLineChars="0"/>
        <w:textAlignment w:val="auto"/>
        <w:outlineLvl w:val="9"/>
        <w:rPr>
          <w:rFonts w:ascii="黑体" w:hAnsi="黑体"/>
          <w:snapToGrid w:val="0"/>
          <w:color w:val="auto"/>
          <w:sz w:val="36"/>
          <w:szCs w:val="36"/>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7009556D">
      <w:pPr>
        <w:pStyle w:val="2"/>
        <w:numPr>
          <w:ilvl w:val="0"/>
          <w:numId w:val="1"/>
        </w:numPr>
        <w:bidi w:val="0"/>
        <w:ind w:left="432" w:leftChars="0" w:hanging="432" w:firstLineChars="0"/>
        <w:rPr>
          <w:rFonts w:hint="eastAsia"/>
          <w:color w:val="auto"/>
          <w:highlight w:val="none"/>
        </w:rPr>
      </w:pPr>
      <w:bookmarkStart w:id="41" w:name="_Toc8710"/>
      <w:bookmarkStart w:id="42" w:name="_Toc4295"/>
      <w:bookmarkStart w:id="43" w:name="_Toc13712"/>
      <w:bookmarkStart w:id="44" w:name="_Toc26442"/>
      <w:bookmarkStart w:id="45" w:name="_Toc31594"/>
      <w:r>
        <w:rPr>
          <w:rFonts w:hint="eastAsia"/>
          <w:color w:val="auto"/>
          <w:highlight w:val="none"/>
        </w:rPr>
        <w:t>主要环境影响和保护措施</w:t>
      </w:r>
      <w:bookmarkEnd w:id="41"/>
      <w:bookmarkEnd w:id="42"/>
      <w:bookmarkEnd w:id="43"/>
      <w:bookmarkEnd w:id="44"/>
      <w:bookmarkEnd w:id="45"/>
    </w:p>
    <w:p w14:paraId="7C10540A">
      <w:pPr>
        <w:rPr>
          <w:color w:val="auto"/>
        </w:rPr>
      </w:pPr>
    </w:p>
    <w:tbl>
      <w:tblPr>
        <w:tblStyle w:val="34"/>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5"/>
        <w:gridCol w:w="8942"/>
      </w:tblGrid>
      <w:tr w14:paraId="2F6BE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26" w:hRule="atLeast"/>
          <w:jc w:val="center"/>
        </w:trPr>
        <w:tc>
          <w:tcPr>
            <w:tcW w:w="240" w:type="dxa"/>
            <w:tcMar>
              <w:left w:w="28" w:type="dxa"/>
              <w:right w:w="28" w:type="dxa"/>
            </w:tcMar>
            <w:vAlign w:val="center"/>
          </w:tcPr>
          <w:p w14:paraId="15F86F42">
            <w:pPr>
              <w:pStyle w:val="30"/>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施工</w:t>
            </w:r>
          </w:p>
          <w:p w14:paraId="3010E84C">
            <w:pPr>
              <w:pStyle w:val="30"/>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期环</w:t>
            </w:r>
          </w:p>
          <w:p w14:paraId="48384502">
            <w:pPr>
              <w:pStyle w:val="30"/>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境保</w:t>
            </w:r>
          </w:p>
          <w:p w14:paraId="31D92F00">
            <w:pPr>
              <w:pStyle w:val="30"/>
              <w:adjustRightInd w:val="0"/>
              <w:snapToGrid w:val="0"/>
              <w:spacing w:before="0" w:beforeAutospacing="0" w:after="0" w:afterAutospacing="0"/>
              <w:jc w:val="center"/>
              <w:rPr>
                <w:rFonts w:hint="eastAsia" w:ascii="宋体" w:hAnsi="宋体" w:eastAsia="宋体" w:cs="宋体"/>
                <w:bCs/>
                <w:color w:val="auto"/>
                <w:szCs w:val="21"/>
                <w:highlight w:val="none"/>
                <w:lang w:val="en-US" w:eastAsia="zh-CN"/>
              </w:rPr>
            </w:pPr>
            <w:r>
              <w:rPr>
                <w:rFonts w:hint="eastAsia" w:cs="宋体"/>
                <w:color w:val="auto"/>
                <w:kern w:val="2"/>
                <w:sz w:val="21"/>
                <w:szCs w:val="21"/>
                <w:highlight w:val="none"/>
              </w:rPr>
              <w:t>护</w:t>
            </w:r>
            <w:r>
              <w:rPr>
                <w:rFonts w:hint="eastAsia" w:cs="宋体"/>
                <w:color w:val="auto"/>
                <w:kern w:val="2"/>
                <w:sz w:val="21"/>
                <w:szCs w:val="21"/>
                <w:highlight w:val="none"/>
                <w:lang w:val="en-US" w:eastAsia="zh-CN"/>
              </w:rPr>
              <w:t>措施</w:t>
            </w:r>
          </w:p>
        </w:tc>
        <w:tc>
          <w:tcPr>
            <w:tcW w:w="8967" w:type="dxa"/>
            <w:vAlign w:val="center"/>
          </w:tcPr>
          <w:p w14:paraId="50767588">
            <w:pPr>
              <w:pStyle w:val="3"/>
              <w:numPr>
                <w:ilvl w:val="1"/>
                <w:numId w:val="1"/>
              </w:numPr>
              <w:bidi w:val="0"/>
              <w:ind w:left="0" w:leftChars="0" w:firstLine="0" w:firstLineChars="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施工期环境保护措施</w:t>
            </w:r>
          </w:p>
          <w:p w14:paraId="5A58B4B1">
            <w:pPr>
              <w:pStyle w:val="97"/>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color w:val="auto"/>
                <w:highlight w:val="none"/>
                <w:lang w:val="en-US" w:eastAsia="zh-CN"/>
              </w:rPr>
            </w:pPr>
            <w:r>
              <w:rPr>
                <w:rFonts w:ascii="Times New Roman" w:hAnsi="Times New Roman"/>
                <w:color w:val="auto"/>
                <w:spacing w:val="-2"/>
                <w:sz w:val="24"/>
              </w:rPr>
              <w:t>本项目厂址位于</w:t>
            </w:r>
            <w:r>
              <w:rPr>
                <w:rFonts w:hint="eastAsia" w:ascii="Times New Roman" w:hAnsi="Times New Roman"/>
                <w:color w:val="auto"/>
                <w:spacing w:val="-2"/>
                <w:sz w:val="24"/>
                <w:lang w:val="en-US" w:eastAsia="zh-CN"/>
              </w:rPr>
              <w:t>福建省福州市福清融侨经济技术开发区镜洋镇（租赁福州鼎力机械有限公司铸造车间1号）</w:t>
            </w:r>
            <w:r>
              <w:rPr>
                <w:rFonts w:ascii="Times New Roman" w:hAnsi="Times New Roman"/>
                <w:color w:val="auto"/>
                <w:spacing w:val="-2"/>
                <w:sz w:val="24"/>
              </w:rPr>
              <w:t>，根据现</w:t>
            </w:r>
            <w:r>
              <w:rPr>
                <w:color w:val="auto"/>
                <w:spacing w:val="-2"/>
                <w:sz w:val="24"/>
              </w:rPr>
              <w:t>场勘查，该厂房主体结构已经建成，因此不存在厂房等主体工程施工期环境影响。项目施工期主要为设备安装、调试阶段产生的环境问题，本项目设备安装、调试简单</w:t>
            </w:r>
            <w:r>
              <w:rPr>
                <w:rFonts w:hint="eastAsia"/>
                <w:color w:val="auto"/>
                <w:spacing w:val="-2"/>
                <w:sz w:val="24"/>
                <w:lang w:eastAsia="zh-CN"/>
              </w:rPr>
              <w:t>且</w:t>
            </w:r>
            <w:r>
              <w:rPr>
                <w:color w:val="auto"/>
                <w:spacing w:val="-2"/>
                <w:sz w:val="24"/>
              </w:rPr>
              <w:t>时间较</w:t>
            </w:r>
            <w:r>
              <w:rPr>
                <w:color w:val="auto"/>
                <w:spacing w:val="-1"/>
                <w:sz w:val="24"/>
              </w:rPr>
              <w:t>短，因此，随着设备安装、调试完毕后，项目施工期也将结束，施工期环境影响也随着消失，不会对周边环境噪声影响。</w:t>
            </w:r>
            <w:r>
              <w:rPr>
                <w:rFonts w:hint="eastAsia" w:ascii="Times New Roman" w:hAnsi="Times New Roman"/>
                <w:color w:val="auto"/>
                <w:sz w:val="24"/>
                <w:szCs w:val="24"/>
                <w:highlight w:val="none"/>
              </w:rPr>
              <w:t>本项目的施工活动主要为设备安装及调试等，施工期影响较小，因此本评价不再对施工期环境影响进行评价。</w:t>
            </w:r>
          </w:p>
        </w:tc>
      </w:tr>
      <w:tr w14:paraId="634D3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6" w:hRule="atLeast"/>
          <w:jc w:val="center"/>
        </w:trPr>
        <w:tc>
          <w:tcPr>
            <w:tcW w:w="240" w:type="dxa"/>
            <w:tcMar>
              <w:left w:w="28" w:type="dxa"/>
              <w:right w:w="28" w:type="dxa"/>
            </w:tcMar>
            <w:vAlign w:val="center"/>
          </w:tcPr>
          <w:p w14:paraId="69355278">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14:paraId="6739BC70">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14:paraId="71A50374">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14:paraId="3E9F4E3C">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14:paraId="199DB25A">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14:paraId="778F68BB">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967" w:type="dxa"/>
            <w:vAlign w:val="center"/>
          </w:tcPr>
          <w:p w14:paraId="1902B766">
            <w:pPr>
              <w:pStyle w:val="3"/>
              <w:numPr>
                <w:ilvl w:val="1"/>
                <w:numId w:val="1"/>
              </w:numPr>
              <w:bidi w:val="0"/>
              <w:ind w:left="0" w:leftChars="0" w:firstLine="0" w:firstLineChars="0"/>
              <w:rPr>
                <w:rFonts w:hint="eastAsia"/>
                <w:color w:val="auto"/>
                <w:highlight w:val="none"/>
              </w:rPr>
            </w:pPr>
            <w:bookmarkStart w:id="46" w:name="_Toc17051"/>
            <w:r>
              <w:rPr>
                <w:rFonts w:hint="eastAsia"/>
                <w:color w:val="auto"/>
                <w:highlight w:val="none"/>
                <w:lang w:val="en-US" w:eastAsia="zh-CN"/>
              </w:rPr>
              <w:t>运营期</w:t>
            </w:r>
            <w:r>
              <w:rPr>
                <w:rFonts w:hint="eastAsia"/>
                <w:color w:val="auto"/>
                <w:highlight w:val="none"/>
              </w:rPr>
              <w:t>大气环境</w:t>
            </w:r>
            <w:r>
              <w:rPr>
                <w:rFonts w:hint="eastAsia"/>
                <w:color w:val="auto"/>
                <w:highlight w:val="none"/>
                <w:lang w:val="en-US" w:eastAsia="zh-CN"/>
              </w:rPr>
              <w:t>影响</w:t>
            </w:r>
            <w:bookmarkEnd w:id="46"/>
          </w:p>
          <w:p w14:paraId="27E9C7D4">
            <w:pPr>
              <w:pStyle w:val="4"/>
              <w:numPr>
                <w:ilvl w:val="2"/>
                <w:numId w:val="14"/>
              </w:numPr>
              <w:tabs>
                <w:tab w:val="left" w:pos="0"/>
              </w:tabs>
              <w:bidi w:val="0"/>
              <w:ind w:left="720" w:leftChars="0" w:hanging="720" w:firstLineChars="0"/>
              <w:rPr>
                <w:rFonts w:hint="default" w:ascii="Times New Roman" w:hAnsi="Times New Roman" w:eastAsia="宋体" w:cs="宋体"/>
                <w:color w:val="auto"/>
                <w:highlight w:val="none"/>
                <w:lang w:val="en-US" w:eastAsia="zh-CN"/>
              </w:rPr>
            </w:pPr>
            <w:r>
              <w:rPr>
                <w:rFonts w:hint="eastAsia"/>
                <w:color w:val="auto"/>
                <w:highlight w:val="none"/>
                <w:lang w:val="en-US" w:eastAsia="zh-CN"/>
              </w:rPr>
              <w:t>废气源强分析</w:t>
            </w:r>
          </w:p>
          <w:p w14:paraId="6213FBE0">
            <w:pPr>
              <w:pStyle w:val="53"/>
              <w:spacing w:line="360" w:lineRule="auto"/>
              <w:ind w:firstLine="480" w:firstLineChars="200"/>
              <w:jc w:val="both"/>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本项目营运期产生的废气包括电泳废气、电泳固化废气、焊接废气、</w:t>
            </w:r>
            <w:r>
              <w:rPr>
                <w:rFonts w:hint="eastAsia" w:ascii="Times New Roman" w:hAnsi="Times New Roman" w:eastAsia="宋体" w:cs="Times New Roman"/>
                <w:color w:val="auto"/>
                <w:kern w:val="2"/>
                <w:sz w:val="24"/>
                <w:szCs w:val="24"/>
                <w:highlight w:val="none"/>
                <w:lang w:val="en-US" w:eastAsia="zh-CN" w:bidi="ar-SA"/>
              </w:rPr>
              <w:t>（电泳）天然气燃烧废气</w:t>
            </w:r>
            <w:r>
              <w:rPr>
                <w:rFonts w:hint="eastAsia" w:ascii="Times New Roman" w:hAnsi="Times New Roman"/>
                <w:color w:val="auto"/>
                <w:highlight w:val="none"/>
                <w:lang w:val="en-US" w:eastAsia="zh-CN"/>
              </w:rPr>
              <w:t>、废水处理设施废气、喷粉废气、喷粉固化废气、（喷漆、喷粉）天然气燃烧废气、调漆废气、喷漆废气</w:t>
            </w:r>
            <w:r>
              <w:rPr>
                <w:rFonts w:hint="eastAsia"/>
                <w:color w:val="auto"/>
                <w:lang w:eastAsia="zh-CN"/>
              </w:rPr>
              <w:t>、</w:t>
            </w:r>
            <w:r>
              <w:rPr>
                <w:rFonts w:hint="eastAsia"/>
                <w:color w:val="auto"/>
                <w:lang w:val="en-US" w:eastAsia="zh-CN"/>
              </w:rPr>
              <w:t>喷漆固化废气</w:t>
            </w:r>
            <w:r>
              <w:rPr>
                <w:rFonts w:hint="eastAsia" w:ascii="Times New Roman" w:hAnsi="Times New Roman"/>
                <w:color w:val="auto"/>
                <w:highlight w:val="none"/>
                <w:lang w:val="en-US" w:eastAsia="zh-CN"/>
              </w:rPr>
              <w:t>。</w:t>
            </w:r>
          </w:p>
          <w:p w14:paraId="02EE6839">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（1）污染物源强分析</w:t>
            </w:r>
          </w:p>
          <w:p w14:paraId="14796690">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①电泳废气、电泳固化废气</w:t>
            </w:r>
          </w:p>
          <w:p w14:paraId="1286B60B">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本项目喷漆、喷粉、电泳烘干固化采用热风循环加热方式（喷漆、喷粉、电泳烘干固化温度</w:t>
            </w:r>
            <w:r>
              <w:rPr>
                <w:rFonts w:hint="default" w:ascii="Times New Roman" w:hAnsi="Times New Roman" w:eastAsia="微软雅黑" w:cs="Times New Roman"/>
                <w:color w:val="auto"/>
                <w:highlight w:val="none"/>
                <w:lang w:val="en-US" w:eastAsia="zh-CN"/>
              </w:rPr>
              <w:t>&lt;</w:t>
            </w:r>
            <w:r>
              <w:rPr>
                <w:rFonts w:hint="default" w:ascii="Times New Roman" w:hAnsi="Times New Roman" w:cs="Times New Roman"/>
                <w:color w:val="auto"/>
                <w:highlight w:val="none"/>
                <w:lang w:val="en-US" w:eastAsia="zh-CN"/>
              </w:rPr>
              <w:t>200℃</w:t>
            </w:r>
            <w:r>
              <w:rPr>
                <w:rFonts w:hint="eastAsia" w:ascii="Times New Roman" w:hAnsi="Times New Roman"/>
                <w:color w:val="auto"/>
                <w:highlight w:val="none"/>
                <w:lang w:val="en-US" w:eastAsia="zh-CN"/>
              </w:rPr>
              <w:t>，各工序固化温度均未达到合成树脂热分解温度（环氧树脂≥</w:t>
            </w:r>
            <w:r>
              <w:rPr>
                <w:rFonts w:hint="eastAsia" w:ascii="Times New Roman" w:hAnsi="Times New Roman" w:eastAsia="微软雅黑" w:cs="Times New Roman"/>
                <w:color w:val="auto"/>
                <w:highlight w:val="none"/>
                <w:lang w:val="en-US" w:eastAsia="zh-CN"/>
              </w:rPr>
              <w:t>200℃</w:t>
            </w:r>
            <w:r>
              <w:rPr>
                <w:rFonts w:hint="eastAsia" w:ascii="Times New Roman" w:hAnsi="Times New Roman"/>
                <w:color w:val="auto"/>
                <w:highlight w:val="none"/>
                <w:lang w:val="en-US" w:eastAsia="zh-CN"/>
              </w:rPr>
              <w:t>），不会产生酚类、甲醛等树脂热分解产物；废气主要来源于涂料中溶剂、助剂的挥发，以VOCs为主</w:t>
            </w:r>
            <w:r>
              <w:rPr>
                <w:rFonts w:hint="eastAsia"/>
                <w:color w:val="auto"/>
                <w:sz w:val="24"/>
                <w:lang w:eastAsia="zh-CN"/>
              </w:rPr>
              <w:t>（</w:t>
            </w:r>
            <w:r>
              <w:rPr>
                <w:color w:val="auto"/>
                <w:sz w:val="24"/>
              </w:rPr>
              <w:t>以非甲烷</w:t>
            </w:r>
            <w:r>
              <w:rPr>
                <w:rFonts w:hint="eastAsia"/>
                <w:color w:val="auto"/>
                <w:sz w:val="24"/>
              </w:rPr>
              <w:t>总烃</w:t>
            </w:r>
            <w:r>
              <w:rPr>
                <w:rFonts w:hint="eastAsia" w:cs="Times New Roman"/>
                <w:color w:val="auto"/>
                <w:kern w:val="0"/>
                <w:sz w:val="24"/>
                <w:szCs w:val="24"/>
                <w:lang w:val="en-US" w:eastAsia="zh-CN" w:bidi="ar-SA"/>
              </w:rPr>
              <w:t>表征</w:t>
            </w:r>
            <w:r>
              <w:rPr>
                <w:rFonts w:hint="eastAsia"/>
                <w:color w:val="auto"/>
                <w:sz w:val="24"/>
                <w:lang w:val="en-US" w:eastAsia="zh-CN"/>
              </w:rPr>
              <w:t>）</w:t>
            </w:r>
            <w:r>
              <w:rPr>
                <w:rFonts w:hint="eastAsia" w:ascii="Times New Roman" w:hAnsi="Times New Roman"/>
                <w:color w:val="auto"/>
                <w:highlight w:val="none"/>
                <w:lang w:val="en-US" w:eastAsia="zh-CN"/>
              </w:rPr>
              <w:t>，经活性炭吸附有效治理后，各污染物排放浓度和速率均能满足《工业涂装工序挥发性有机物排放标准》（DB35/1783-2018）及《大气污染物综合排放标准》（GB16297-1996）限值要求；不涉及有毒有害大气污染物排放，不满足大气专项评价设置条件，无需设置大气专项评价。</w:t>
            </w:r>
          </w:p>
          <w:p w14:paraId="35913ED7">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本项目电泳工序使用电泳涂料（包括电泳乳液、黑浆、助剂、中和剂）对工件进行电泳上漆以及后续固化，会产生有机废气（电泳废气、电泳固化废气），根据电泳涂料成分分析，污染因子包括非甲烷总烃。</w:t>
            </w:r>
          </w:p>
          <w:p w14:paraId="4621655A">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根据《污染源源强核算技术指南汽车制造（HJ1097-2020）》附录E，电泳过程中电泳涂料中挥发性有机物的挥发比例为：电泳35%、烘干65%。项目电泳线运行时间约为</w:t>
            </w:r>
            <w:r>
              <w:rPr>
                <w:rFonts w:hint="eastAsia" w:ascii="Times New Roman" w:hAnsi="Times New Roman"/>
                <w:color w:val="auto"/>
                <w:highlight w:val="none"/>
                <w:shd w:val="clear"/>
                <w:lang w:val="en-US" w:eastAsia="zh-CN"/>
              </w:rPr>
              <w:t>2400h/a，</w:t>
            </w:r>
            <w:r>
              <w:rPr>
                <w:rFonts w:hint="eastAsia" w:ascii="Times New Roman" w:hAnsi="Times New Roman"/>
                <w:color w:val="auto"/>
                <w:highlight w:val="none"/>
                <w:lang w:val="en-US" w:eastAsia="zh-CN"/>
              </w:rPr>
              <w:t>根据物料平衡核算，则电泳废气、电泳固化废气产生情况见下表。</w:t>
            </w:r>
          </w:p>
          <w:p w14:paraId="7DD94DEC">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eastAsia="宋体"/>
                <w:color w:val="auto"/>
                <w:highlight w:val="none"/>
                <w:lang w:val="en-US" w:eastAsia="zh-CN"/>
              </w:rPr>
            </w:pPr>
            <w:r>
              <w:rPr>
                <w:rFonts w:hint="eastAsia" w:eastAsia="宋体"/>
                <w:color w:val="auto"/>
                <w:highlight w:val="none"/>
                <w:lang w:val="en-US" w:eastAsia="zh-CN"/>
              </w:rPr>
              <w:t>电泳废气、固化废气产生情况一览表</w:t>
            </w:r>
          </w:p>
          <w:tbl>
            <w:tblPr>
              <w:tblStyle w:val="86"/>
              <w:tblW w:w="4998" w:type="pct"/>
              <w:tblInd w:w="2" w:type="dxa"/>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Layout w:type="autofit"/>
              <w:tblCellMar>
                <w:top w:w="0" w:type="dxa"/>
                <w:left w:w="0" w:type="dxa"/>
                <w:bottom w:w="0" w:type="dxa"/>
                <w:right w:w="0" w:type="dxa"/>
              </w:tblCellMar>
            </w:tblPr>
            <w:tblGrid>
              <w:gridCol w:w="1509"/>
              <w:gridCol w:w="2112"/>
              <w:gridCol w:w="2339"/>
              <w:gridCol w:w="2763"/>
            </w:tblGrid>
            <w:tr w14:paraId="2EB08E07">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7" w:hRule="atLeast"/>
              </w:trPr>
              <w:tc>
                <w:tcPr>
                  <w:tcW w:w="865" w:type="pct"/>
                  <w:tcBorders>
                    <w:tl2br w:val="nil"/>
                    <w:tr2bl w:val="nil"/>
                  </w:tcBorders>
                  <w:vAlign w:val="center"/>
                </w:tcPr>
                <w:p w14:paraId="5271306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工序</w:t>
                  </w:r>
                </w:p>
              </w:tc>
              <w:tc>
                <w:tcPr>
                  <w:tcW w:w="1210" w:type="pct"/>
                  <w:tcBorders>
                    <w:tl2br w:val="nil"/>
                    <w:tr2bl w:val="nil"/>
                  </w:tcBorders>
                  <w:vAlign w:val="center"/>
                </w:tcPr>
                <w:p w14:paraId="73AD2B8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污染物</w:t>
                  </w:r>
                </w:p>
              </w:tc>
              <w:tc>
                <w:tcPr>
                  <w:tcW w:w="1340" w:type="pct"/>
                  <w:tcBorders>
                    <w:tl2br w:val="nil"/>
                    <w:tr2bl w:val="nil"/>
                  </w:tcBorders>
                  <w:vAlign w:val="center"/>
                </w:tcPr>
                <w:p w14:paraId="48853E3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产生量（t/a）</w:t>
                  </w:r>
                </w:p>
              </w:tc>
              <w:tc>
                <w:tcPr>
                  <w:tcW w:w="1583" w:type="pct"/>
                  <w:tcBorders>
                    <w:tl2br w:val="nil"/>
                    <w:tr2bl w:val="nil"/>
                  </w:tcBorders>
                  <w:vAlign w:val="center"/>
                </w:tcPr>
                <w:p w14:paraId="69D91D5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产生速率（kg/h）</w:t>
                  </w:r>
                </w:p>
              </w:tc>
            </w:tr>
            <w:tr w14:paraId="5D87C053">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2" w:hRule="atLeast"/>
              </w:trPr>
              <w:tc>
                <w:tcPr>
                  <w:tcW w:w="865" w:type="pct"/>
                  <w:tcBorders>
                    <w:bottom w:val="single" w:color="000000" w:sz="4" w:space="0"/>
                  </w:tcBorders>
                  <w:vAlign w:val="center"/>
                </w:tcPr>
                <w:p w14:paraId="5202F8F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电泳</w:t>
                  </w:r>
                </w:p>
              </w:tc>
              <w:tc>
                <w:tcPr>
                  <w:tcW w:w="1210" w:type="pct"/>
                  <w:tcBorders>
                    <w:bottom w:val="single" w:color="000000" w:sz="4" w:space="0"/>
                  </w:tcBorders>
                  <w:vAlign w:val="center"/>
                </w:tcPr>
                <w:p w14:paraId="519C83C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非甲烷总烃</w:t>
                  </w:r>
                </w:p>
              </w:tc>
              <w:tc>
                <w:tcPr>
                  <w:tcW w:w="1340" w:type="pct"/>
                  <w:tcBorders>
                    <w:bottom w:val="single" w:color="000000" w:sz="4" w:space="0"/>
                  </w:tcBorders>
                  <w:vAlign w:val="center"/>
                </w:tcPr>
                <w:p w14:paraId="2E8DBDF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0.32949</w:t>
                  </w:r>
                </w:p>
              </w:tc>
              <w:tc>
                <w:tcPr>
                  <w:tcW w:w="1583" w:type="pct"/>
                  <w:tcBorders>
                    <w:bottom w:val="single" w:color="000000" w:sz="4" w:space="0"/>
                  </w:tcBorders>
                  <w:vAlign w:val="center"/>
                </w:tcPr>
                <w:p w14:paraId="41A61B1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0.1372</w:t>
                  </w:r>
                </w:p>
              </w:tc>
            </w:tr>
            <w:tr w14:paraId="65A1F2ED">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337" w:hRule="atLeast"/>
              </w:trPr>
              <w:tc>
                <w:tcPr>
                  <w:tcW w:w="865" w:type="pct"/>
                  <w:tcBorders>
                    <w:top w:val="single" w:color="000000" w:sz="4" w:space="0"/>
                    <w:tl2br w:val="nil"/>
                    <w:tr2bl w:val="nil"/>
                  </w:tcBorders>
                  <w:vAlign w:val="center"/>
                </w:tcPr>
                <w:p w14:paraId="4CE08C1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烘干固化</w:t>
                  </w:r>
                </w:p>
              </w:tc>
              <w:tc>
                <w:tcPr>
                  <w:tcW w:w="1210" w:type="pct"/>
                  <w:tcBorders>
                    <w:top w:val="single" w:color="000000" w:sz="4" w:space="0"/>
                    <w:tl2br w:val="nil"/>
                    <w:tr2bl w:val="nil"/>
                  </w:tcBorders>
                  <w:vAlign w:val="center"/>
                </w:tcPr>
                <w:p w14:paraId="1122D06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非甲烷总烃</w:t>
                  </w:r>
                </w:p>
              </w:tc>
              <w:tc>
                <w:tcPr>
                  <w:tcW w:w="1340" w:type="pct"/>
                  <w:tcBorders>
                    <w:top w:val="single" w:color="000000" w:sz="4" w:space="0"/>
                    <w:tl2br w:val="nil"/>
                    <w:tr2bl w:val="nil"/>
                  </w:tcBorders>
                  <w:vAlign w:val="center"/>
                </w:tcPr>
                <w:p w14:paraId="7787B32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0.61191</w:t>
                  </w:r>
                </w:p>
              </w:tc>
              <w:tc>
                <w:tcPr>
                  <w:tcW w:w="1583" w:type="pct"/>
                  <w:tcBorders>
                    <w:top w:val="single" w:color="000000" w:sz="4" w:space="0"/>
                    <w:tl2br w:val="nil"/>
                    <w:tr2bl w:val="nil"/>
                  </w:tcBorders>
                  <w:vAlign w:val="center"/>
                </w:tcPr>
                <w:p w14:paraId="0158B6D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0.255</w:t>
                  </w:r>
                </w:p>
              </w:tc>
            </w:tr>
          </w:tbl>
          <w:p w14:paraId="4B15A59E">
            <w:pPr>
              <w:pStyle w:val="53"/>
              <w:spacing w:line="360" w:lineRule="auto"/>
              <w:ind w:firstLine="480" w:firstLineChars="200"/>
              <w:jc w:val="both"/>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②（电泳）天然气燃烧废气</w:t>
            </w:r>
          </w:p>
          <w:p w14:paraId="02E2B12E">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本项目热水炉、固化炉使用天然气清洁能源，配备低氮燃烧器，废气经收集处理后达标排放，符合《福建省工业炉窑大气污染综合治理方案》（闽环保大气〔2019〕10号）中关于“加快淘汰燃煤工业炉窑，推进清洁能源替代”要求（本项目位于</w:t>
            </w:r>
            <w:r>
              <w:rPr>
                <w:rFonts w:hint="eastAsia"/>
                <w:color w:val="auto"/>
                <w:lang w:val="en-US" w:eastAsia="zh-CN"/>
              </w:rPr>
              <w:t>福建省福州市福清融侨经济技术开发区镜洋镇（租赁福州鼎力机械有限公司铸造车间1号）</w:t>
            </w:r>
            <w:r>
              <w:rPr>
                <w:rFonts w:hint="eastAsia" w:ascii="Times New Roman" w:hAnsi="Times New Roman"/>
                <w:color w:val="auto"/>
                <w:highlight w:val="none"/>
                <w:lang w:val="en-US" w:eastAsia="zh-CN"/>
              </w:rPr>
              <w:t>，使用天然气为能源，非燃煤且园区无集中供热管网覆盖，从源头杜绝了燃煤污染）、“实施工业炉窑深度治理”要求（烟粉尘、二氧化硫、氮氧化物排放严格执行重点区域限值30mg/m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、200mg/m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、300mg/m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配备低氮燃烧器，热水炉、固化炉密闭、热风循环、废气经15m高排气筒有组织排放，无组织排放得到有效控制）及“鼓励工业炉窑余热回收利用”要求（采用热风循环加热方式，热空气循环利用，热效率较高），不属于政策中淘汰或限制的燃煤热风炉/加热炉范畴。</w:t>
            </w:r>
          </w:p>
          <w:p w14:paraId="1D6CCA17">
            <w:pPr>
              <w:pStyle w:val="53"/>
              <w:spacing w:line="360" w:lineRule="auto"/>
              <w:ind w:firstLine="480" w:firstLineChars="200"/>
              <w:jc w:val="both"/>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烘道利用天然气为能源进行直接加热，在烘道进出口设置集气罩收集尾气（收集效率90%）。项目天然气燃烧产生的废气参照</w:t>
            </w:r>
            <w:r>
              <w:rPr>
                <w:color w:val="auto"/>
                <w:spacing w:val="-3"/>
                <w:sz w:val="24"/>
                <w:szCs w:val="24"/>
              </w:rPr>
              <w:t>《排放源统</w:t>
            </w:r>
            <w:r>
              <w:rPr>
                <w:color w:val="auto"/>
                <w:spacing w:val="-4"/>
                <w:sz w:val="24"/>
                <w:szCs w:val="24"/>
              </w:rPr>
              <w:t>计调查产</w:t>
            </w:r>
            <w:r>
              <w:rPr>
                <w:color w:val="auto"/>
                <w:spacing w:val="-1"/>
                <w:sz w:val="24"/>
                <w:szCs w:val="24"/>
              </w:rPr>
              <w:t>排污核算方法和系数手册》</w:t>
            </w:r>
            <w:r>
              <w:rPr>
                <w:rFonts w:hint="eastAsia"/>
                <w:color w:val="auto"/>
                <w:spacing w:val="-1"/>
                <w:sz w:val="24"/>
                <w:szCs w:val="24"/>
                <w:lang w:eastAsia="zh-CN"/>
              </w:rPr>
              <w:t>（</w:t>
            </w:r>
            <w:r>
              <w:rPr>
                <w:rFonts w:ascii="Times New Roman" w:hAnsi="Times New Roman" w:eastAsia="Times New Roman" w:cs="Times New Roman"/>
                <w:color w:val="auto"/>
                <w:spacing w:val="-1"/>
                <w:sz w:val="24"/>
                <w:szCs w:val="24"/>
              </w:rPr>
              <w:t>2021</w:t>
            </w:r>
            <w:r>
              <w:rPr>
                <w:rFonts w:hint="eastAsia" w:ascii="Times New Roman" w:hAnsi="Times New Roman" w:eastAsia="宋体" w:cs="Times New Roman"/>
                <w:color w:val="auto"/>
                <w:spacing w:val="-1"/>
                <w:sz w:val="24"/>
                <w:szCs w:val="24"/>
                <w:lang w:eastAsia="zh-CN"/>
              </w:rPr>
              <w:t>）</w:t>
            </w:r>
            <w:r>
              <w:rPr>
                <w:color w:val="auto"/>
                <w:spacing w:val="-1"/>
                <w:sz w:val="24"/>
                <w:szCs w:val="24"/>
              </w:rPr>
              <w:t>中</w:t>
            </w:r>
            <w:r>
              <w:rPr>
                <w:rFonts w:ascii="Times New Roman" w:hAnsi="Times New Roman" w:eastAsia="Times New Roman" w:cs="Times New Roman"/>
                <w:color w:val="auto"/>
                <w:spacing w:val="-1"/>
                <w:sz w:val="24"/>
                <w:szCs w:val="24"/>
              </w:rPr>
              <w:t>“33</w:t>
            </w:r>
            <w:r>
              <w:rPr>
                <w:color w:val="auto"/>
                <w:spacing w:val="-1"/>
                <w:sz w:val="24"/>
                <w:szCs w:val="24"/>
              </w:rPr>
              <w:t>金属制品业行</w:t>
            </w:r>
            <w:r>
              <w:rPr>
                <w:color w:val="auto"/>
                <w:spacing w:val="-2"/>
                <w:sz w:val="24"/>
                <w:szCs w:val="24"/>
              </w:rPr>
              <w:t>业系数表</w:t>
            </w:r>
            <w:r>
              <w:rPr>
                <w:rFonts w:ascii="Times New Roman" w:hAnsi="Times New Roman" w:eastAsia="Times New Roman" w:cs="Times New Roman"/>
                <w:color w:val="auto"/>
                <w:spacing w:val="-2"/>
                <w:sz w:val="24"/>
                <w:szCs w:val="24"/>
              </w:rPr>
              <w:t>-</w:t>
            </w:r>
            <w:r>
              <w:rPr>
                <w:rFonts w:ascii="Times New Roman" w:hAnsi="Times New Roman" w:eastAsia="Times New Roman" w:cs="Times New Roman"/>
                <w:b/>
                <w:bCs/>
                <w:color w:val="auto"/>
                <w:spacing w:val="-2"/>
                <w:sz w:val="24"/>
                <w:szCs w:val="24"/>
              </w:rPr>
              <w:t>14</w:t>
            </w:r>
            <w:r>
              <w:rPr>
                <w:b/>
                <w:bCs/>
                <w:color w:val="auto"/>
                <w:spacing w:val="-2"/>
                <w:sz w:val="24"/>
                <w:szCs w:val="24"/>
              </w:rPr>
              <w:t>涂装</w:t>
            </w:r>
            <w:r>
              <w:rPr>
                <w:rFonts w:hint="eastAsia" w:ascii="Times New Roman" w:hAnsi="Times New Roman"/>
                <w:color w:val="auto"/>
                <w:highlight w:val="none"/>
                <w:lang w:val="en-US" w:eastAsia="zh-CN"/>
              </w:rPr>
              <w:t>进行源强核算。项目天然气固化炉采用低氮燃烧技术，低氮燃烧器通过分级燃烧和烟气再循环降低NOx产生。</w:t>
            </w:r>
          </w:p>
          <w:p w14:paraId="0AA93237">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eastAsia="宋体"/>
                <w:color w:val="auto"/>
                <w:highlight w:val="none"/>
                <w:lang w:val="en-US" w:eastAsia="zh-CN"/>
              </w:rPr>
            </w:pPr>
            <w:r>
              <w:rPr>
                <w:rFonts w:hint="eastAsia" w:eastAsia="宋体"/>
                <w:color w:val="auto"/>
                <w:highlight w:val="none"/>
                <w:lang w:val="en-US" w:eastAsia="zh-CN"/>
              </w:rPr>
              <w:t>天然气产污系数表</w:t>
            </w:r>
          </w:p>
          <w:tbl>
            <w:tblPr>
              <w:tblStyle w:val="86"/>
              <w:tblW w:w="4995" w:type="pct"/>
              <w:tblInd w:w="0" w:type="dxa"/>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6"/>
              <w:gridCol w:w="629"/>
              <w:gridCol w:w="622"/>
              <w:gridCol w:w="812"/>
              <w:gridCol w:w="690"/>
              <w:gridCol w:w="450"/>
              <w:gridCol w:w="850"/>
              <w:gridCol w:w="1152"/>
              <w:gridCol w:w="1199"/>
              <w:gridCol w:w="1564"/>
            </w:tblGrid>
            <w:tr w14:paraId="2E46E7F1">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428" w:type="pct"/>
                  <w:tcBorders>
                    <w:bottom w:val="single" w:color="000000" w:sz="12" w:space="0"/>
                  </w:tcBorders>
                  <w:vAlign w:val="center"/>
                </w:tcPr>
                <w:p w14:paraId="5B4407D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工段</w:t>
                  </w:r>
                </w:p>
                <w:p w14:paraId="20413CD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名称</w:t>
                  </w:r>
                </w:p>
              </w:tc>
              <w:tc>
                <w:tcPr>
                  <w:tcW w:w="361" w:type="pct"/>
                  <w:tcBorders>
                    <w:bottom w:val="single" w:color="000000" w:sz="12" w:space="0"/>
                  </w:tcBorders>
                  <w:vAlign w:val="center"/>
                </w:tcPr>
                <w:p w14:paraId="329E9410">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产品</w:t>
                  </w:r>
                </w:p>
                <w:p w14:paraId="13586A4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名称</w:t>
                  </w:r>
                </w:p>
              </w:tc>
              <w:tc>
                <w:tcPr>
                  <w:tcW w:w="357" w:type="pct"/>
                  <w:tcBorders>
                    <w:bottom w:val="single" w:color="000000" w:sz="12" w:space="0"/>
                  </w:tcBorders>
                  <w:vAlign w:val="center"/>
                </w:tcPr>
                <w:p w14:paraId="3B69BE4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原料</w:t>
                  </w:r>
                </w:p>
                <w:p w14:paraId="6EA50450">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名称</w:t>
                  </w:r>
                </w:p>
              </w:tc>
              <w:tc>
                <w:tcPr>
                  <w:tcW w:w="466" w:type="pct"/>
                  <w:tcBorders>
                    <w:bottom w:val="single" w:color="000000" w:sz="12" w:space="0"/>
                  </w:tcBorders>
                  <w:vAlign w:val="center"/>
                </w:tcPr>
                <w:p w14:paraId="43D8FDA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工艺</w:t>
                  </w:r>
                </w:p>
                <w:p w14:paraId="43C48F2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名称</w:t>
                  </w:r>
                </w:p>
              </w:tc>
              <w:tc>
                <w:tcPr>
                  <w:tcW w:w="396" w:type="pct"/>
                  <w:tcBorders>
                    <w:bottom w:val="single" w:color="000000" w:sz="12" w:space="0"/>
                  </w:tcBorders>
                  <w:vAlign w:val="center"/>
                </w:tcPr>
                <w:p w14:paraId="33796D91">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规模</w:t>
                  </w:r>
                </w:p>
                <w:p w14:paraId="01E72A41">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等级</w:t>
                  </w:r>
                </w:p>
              </w:tc>
              <w:tc>
                <w:tcPr>
                  <w:tcW w:w="746" w:type="pct"/>
                  <w:gridSpan w:val="2"/>
                  <w:tcBorders>
                    <w:bottom w:val="single" w:color="000000" w:sz="12" w:space="0"/>
                  </w:tcBorders>
                  <w:vAlign w:val="center"/>
                </w:tcPr>
                <w:p w14:paraId="4F71F3C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污染物指标</w:t>
                  </w:r>
                </w:p>
              </w:tc>
              <w:tc>
                <w:tcPr>
                  <w:tcW w:w="661" w:type="pct"/>
                  <w:tcBorders>
                    <w:bottom w:val="single" w:color="000000" w:sz="12" w:space="0"/>
                  </w:tcBorders>
                  <w:vAlign w:val="center"/>
                </w:tcPr>
                <w:p w14:paraId="0D3173E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单位</w:t>
                  </w:r>
                </w:p>
              </w:tc>
              <w:tc>
                <w:tcPr>
                  <w:tcW w:w="688" w:type="pct"/>
                  <w:tcBorders>
                    <w:bottom w:val="single" w:color="000000" w:sz="12" w:space="0"/>
                  </w:tcBorders>
                  <w:vAlign w:val="center"/>
                </w:tcPr>
                <w:p w14:paraId="0362742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产污</w:t>
                  </w:r>
                </w:p>
                <w:p w14:paraId="3F3CDC4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系数</w:t>
                  </w:r>
                </w:p>
              </w:tc>
              <w:tc>
                <w:tcPr>
                  <w:tcW w:w="893" w:type="pct"/>
                  <w:tcBorders>
                    <w:bottom w:val="single" w:color="000000" w:sz="12" w:space="0"/>
                  </w:tcBorders>
                  <w:vAlign w:val="center"/>
                </w:tcPr>
                <w:p w14:paraId="608E6BC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来源</w:t>
                  </w:r>
                </w:p>
              </w:tc>
            </w:tr>
            <w:tr w14:paraId="78FB6F02">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8" w:type="pct"/>
                  <w:vMerge w:val="restart"/>
                  <w:tcBorders>
                    <w:top w:val="single" w:color="000000" w:sz="12" w:space="0"/>
                    <w:tl2br w:val="nil"/>
                    <w:tr2bl w:val="nil"/>
                  </w:tcBorders>
                  <w:vAlign w:val="center"/>
                </w:tcPr>
                <w:p w14:paraId="77EC20A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涂装</w:t>
                  </w:r>
                </w:p>
              </w:tc>
              <w:tc>
                <w:tcPr>
                  <w:tcW w:w="361" w:type="pct"/>
                  <w:vMerge w:val="restart"/>
                  <w:tcBorders>
                    <w:top w:val="single" w:color="000000" w:sz="12" w:space="0"/>
                    <w:tl2br w:val="nil"/>
                    <w:tr2bl w:val="nil"/>
                  </w:tcBorders>
                  <w:vAlign w:val="center"/>
                </w:tcPr>
                <w:p w14:paraId="40B48F5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涂装件</w:t>
                  </w:r>
                </w:p>
              </w:tc>
              <w:tc>
                <w:tcPr>
                  <w:tcW w:w="357" w:type="pct"/>
                  <w:vMerge w:val="restart"/>
                  <w:tcBorders>
                    <w:top w:val="single" w:color="000000" w:sz="12" w:space="0"/>
                    <w:tl2br w:val="nil"/>
                    <w:tr2bl w:val="nil"/>
                  </w:tcBorders>
                  <w:vAlign w:val="center"/>
                </w:tcPr>
                <w:p w14:paraId="154C905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天然气</w:t>
                  </w:r>
                </w:p>
              </w:tc>
              <w:tc>
                <w:tcPr>
                  <w:tcW w:w="466" w:type="pct"/>
                  <w:vMerge w:val="restart"/>
                  <w:tcBorders>
                    <w:top w:val="single" w:color="000000" w:sz="12" w:space="0"/>
                    <w:tl2br w:val="nil"/>
                    <w:tr2bl w:val="nil"/>
                  </w:tcBorders>
                  <w:vAlign w:val="center"/>
                </w:tcPr>
                <w:p w14:paraId="49CB413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天然气</w:t>
                  </w:r>
                </w:p>
                <w:p w14:paraId="6C6DDD9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工业炉</w:t>
                  </w:r>
                </w:p>
                <w:p w14:paraId="7E7A5E3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窑</w:t>
                  </w:r>
                </w:p>
              </w:tc>
              <w:tc>
                <w:tcPr>
                  <w:tcW w:w="396" w:type="pct"/>
                  <w:vMerge w:val="restart"/>
                  <w:tcBorders>
                    <w:top w:val="single" w:color="000000" w:sz="12" w:space="0"/>
                    <w:tl2br w:val="nil"/>
                    <w:tr2bl w:val="nil"/>
                  </w:tcBorders>
                  <w:vAlign w:val="center"/>
                </w:tcPr>
                <w:p w14:paraId="60DD505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所有</w:t>
                  </w:r>
                </w:p>
                <w:p w14:paraId="1DA0FC0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规模</w:t>
                  </w:r>
                </w:p>
              </w:tc>
              <w:tc>
                <w:tcPr>
                  <w:tcW w:w="258" w:type="pct"/>
                  <w:vMerge w:val="restart"/>
                  <w:tcBorders>
                    <w:top w:val="single" w:color="000000" w:sz="12" w:space="0"/>
                    <w:tl2br w:val="nil"/>
                    <w:tr2bl w:val="nil"/>
                  </w:tcBorders>
                  <w:textDirection w:val="tbRlV"/>
                  <w:vAlign w:val="center"/>
                </w:tcPr>
                <w:p w14:paraId="16DB485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废气</w:t>
                  </w:r>
                </w:p>
              </w:tc>
              <w:tc>
                <w:tcPr>
                  <w:tcW w:w="488" w:type="pct"/>
                  <w:tcBorders>
                    <w:top w:val="single" w:color="000000" w:sz="12" w:space="0"/>
                    <w:tl2br w:val="nil"/>
                    <w:tr2bl w:val="nil"/>
                  </w:tcBorders>
                  <w:vAlign w:val="center"/>
                </w:tcPr>
                <w:p w14:paraId="3FE3635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工业废气量</w:t>
                  </w:r>
                </w:p>
              </w:tc>
              <w:tc>
                <w:tcPr>
                  <w:tcW w:w="661" w:type="pct"/>
                  <w:tcBorders>
                    <w:top w:val="single" w:color="000000" w:sz="12" w:space="0"/>
                    <w:tl2br w:val="nil"/>
                    <w:tr2bl w:val="nil"/>
                  </w:tcBorders>
                  <w:vAlign w:val="center"/>
                </w:tcPr>
                <w:p w14:paraId="61E252F0">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立方米/立</w:t>
                  </w:r>
                </w:p>
                <w:p w14:paraId="77C6F4C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方米-原料</w:t>
                  </w:r>
                </w:p>
              </w:tc>
              <w:tc>
                <w:tcPr>
                  <w:tcW w:w="688" w:type="pct"/>
                  <w:tcBorders>
                    <w:top w:val="single" w:color="000000" w:sz="12" w:space="0"/>
                    <w:tl2br w:val="nil"/>
                    <w:tr2bl w:val="nil"/>
                  </w:tcBorders>
                  <w:vAlign w:val="center"/>
                </w:tcPr>
                <w:p w14:paraId="31CD609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13.6</w:t>
                  </w:r>
                </w:p>
              </w:tc>
              <w:tc>
                <w:tcPr>
                  <w:tcW w:w="893" w:type="pct"/>
                  <w:vMerge w:val="restart"/>
                  <w:tcBorders>
                    <w:top w:val="single" w:color="000000" w:sz="12" w:space="0"/>
                    <w:tl2br w:val="nil"/>
                    <w:tr2bl w:val="nil"/>
                  </w:tcBorders>
                  <w:vAlign w:val="center"/>
                </w:tcPr>
                <w:p w14:paraId="0C9A277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《排放源统计</w:t>
                  </w:r>
                </w:p>
                <w:p w14:paraId="6E5FABC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调查产排污核</w:t>
                  </w:r>
                </w:p>
                <w:p w14:paraId="6A0B3ED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算方法和系数手册》</w:t>
                  </w:r>
                  <w:r>
                    <w:rPr>
                      <w:rFonts w:hint="eastAsia" w:ascii="Times New Roman" w:hAnsi="Times New Roman" w:cs="宋体"/>
                      <w:color w:val="auto"/>
                      <w:spacing w:val="-7"/>
                      <w:sz w:val="21"/>
                      <w:lang w:val="en-US" w:eastAsia="zh-CN"/>
                    </w:rPr>
                    <w:t>（</w:t>
                  </w:r>
                  <w:r>
                    <w:rPr>
                      <w:rFonts w:hint="eastAsia" w:ascii="Times New Roman" w:hAnsi="Times New Roman" w:eastAsia="宋体" w:cs="宋体"/>
                      <w:color w:val="auto"/>
                      <w:spacing w:val="-7"/>
                      <w:sz w:val="21"/>
                      <w:lang w:val="en-US" w:eastAsia="zh-CN"/>
                    </w:rPr>
                    <w:t>2021</w:t>
                  </w:r>
                  <w:r>
                    <w:rPr>
                      <w:rFonts w:hint="eastAsia" w:ascii="Times New Roman" w:hAnsi="Times New Roman" w:cs="宋体"/>
                      <w:color w:val="auto"/>
                      <w:spacing w:val="-7"/>
                      <w:sz w:val="21"/>
                      <w:lang w:val="en-US" w:eastAsia="zh-CN"/>
                    </w:rPr>
                    <w:t>）</w:t>
                  </w:r>
                </w:p>
              </w:tc>
            </w:tr>
            <w:tr w14:paraId="25A598B5">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8" w:type="pct"/>
                  <w:vMerge w:val="continue"/>
                  <w:tcBorders>
                    <w:tl2br w:val="nil"/>
                    <w:tr2bl w:val="nil"/>
                  </w:tcBorders>
                  <w:vAlign w:val="center"/>
                </w:tcPr>
                <w:p w14:paraId="10667ED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61" w:type="pct"/>
                  <w:vMerge w:val="continue"/>
                  <w:tcBorders>
                    <w:tl2br w:val="nil"/>
                    <w:tr2bl w:val="nil"/>
                  </w:tcBorders>
                  <w:vAlign w:val="center"/>
                </w:tcPr>
                <w:p w14:paraId="0E90A58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57" w:type="pct"/>
                  <w:vMerge w:val="continue"/>
                  <w:tcBorders>
                    <w:tl2br w:val="nil"/>
                    <w:tr2bl w:val="nil"/>
                  </w:tcBorders>
                  <w:vAlign w:val="center"/>
                </w:tcPr>
                <w:p w14:paraId="5D59B7A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66" w:type="pct"/>
                  <w:vMerge w:val="continue"/>
                  <w:tcBorders>
                    <w:tl2br w:val="nil"/>
                    <w:tr2bl w:val="nil"/>
                  </w:tcBorders>
                  <w:vAlign w:val="center"/>
                </w:tcPr>
                <w:p w14:paraId="1CCCAB5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96" w:type="pct"/>
                  <w:vMerge w:val="continue"/>
                  <w:tcBorders>
                    <w:tl2br w:val="nil"/>
                    <w:tr2bl w:val="nil"/>
                  </w:tcBorders>
                  <w:vAlign w:val="center"/>
                </w:tcPr>
                <w:p w14:paraId="4CEF4259">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258" w:type="pct"/>
                  <w:vMerge w:val="continue"/>
                  <w:tcBorders>
                    <w:tl2br w:val="nil"/>
                    <w:tr2bl w:val="nil"/>
                  </w:tcBorders>
                  <w:textDirection w:val="tbRlV"/>
                  <w:vAlign w:val="center"/>
                </w:tcPr>
                <w:p w14:paraId="22BFDBCE">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88" w:type="pct"/>
                  <w:tcBorders>
                    <w:tl2br w:val="nil"/>
                    <w:tr2bl w:val="nil"/>
                  </w:tcBorders>
                  <w:vAlign w:val="center"/>
                </w:tcPr>
                <w:p w14:paraId="4797C0C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颗粒物</w:t>
                  </w:r>
                </w:p>
              </w:tc>
              <w:tc>
                <w:tcPr>
                  <w:tcW w:w="661" w:type="pct"/>
                  <w:tcBorders>
                    <w:tl2br w:val="nil"/>
                    <w:tr2bl w:val="nil"/>
                  </w:tcBorders>
                  <w:vAlign w:val="center"/>
                </w:tcPr>
                <w:p w14:paraId="7A862CA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千克/立方米-原料</w:t>
                  </w:r>
                </w:p>
              </w:tc>
              <w:tc>
                <w:tcPr>
                  <w:tcW w:w="688" w:type="pct"/>
                  <w:tcBorders>
                    <w:tl2br w:val="nil"/>
                    <w:tr2bl w:val="nil"/>
                  </w:tcBorders>
                  <w:vAlign w:val="center"/>
                </w:tcPr>
                <w:p w14:paraId="1899A650">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0.000286</w:t>
                  </w:r>
                </w:p>
              </w:tc>
              <w:tc>
                <w:tcPr>
                  <w:tcW w:w="893" w:type="pct"/>
                  <w:vMerge w:val="continue"/>
                  <w:tcBorders>
                    <w:tl2br w:val="nil"/>
                    <w:tr2bl w:val="nil"/>
                  </w:tcBorders>
                  <w:vAlign w:val="center"/>
                </w:tcPr>
                <w:p w14:paraId="7FF6E555">
                  <w:pPr>
                    <w:keepNext w:val="0"/>
                    <w:keepLines w:val="0"/>
                    <w:pageBreakBefore w:val="0"/>
                    <w:widowControl w:val="0"/>
                    <w:kinsoku/>
                    <w:wordWrap/>
                    <w:overflowPunct/>
                    <w:topLinePunct w:val="0"/>
                    <w:autoSpaceDE/>
                    <w:autoSpaceDN/>
                    <w:bidi w:val="0"/>
                    <w:adjustRightInd/>
                    <w:snapToGrid/>
                    <w:textAlignment w:val="auto"/>
                    <w:rPr>
                      <w:rFonts w:ascii="Arial"/>
                      <w:color w:val="auto"/>
                      <w:sz w:val="21"/>
                    </w:rPr>
                  </w:pPr>
                </w:p>
              </w:tc>
            </w:tr>
            <w:tr w14:paraId="09733CC1">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8" w:type="pct"/>
                  <w:vMerge w:val="continue"/>
                  <w:tcBorders>
                    <w:tl2br w:val="nil"/>
                    <w:tr2bl w:val="nil"/>
                  </w:tcBorders>
                  <w:vAlign w:val="center"/>
                </w:tcPr>
                <w:p w14:paraId="522DDE9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61" w:type="pct"/>
                  <w:vMerge w:val="continue"/>
                  <w:tcBorders>
                    <w:tl2br w:val="nil"/>
                    <w:tr2bl w:val="nil"/>
                  </w:tcBorders>
                  <w:vAlign w:val="center"/>
                </w:tcPr>
                <w:p w14:paraId="225F583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57" w:type="pct"/>
                  <w:vMerge w:val="continue"/>
                  <w:tcBorders>
                    <w:tl2br w:val="nil"/>
                    <w:tr2bl w:val="nil"/>
                  </w:tcBorders>
                  <w:vAlign w:val="center"/>
                </w:tcPr>
                <w:p w14:paraId="70AFB3F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66" w:type="pct"/>
                  <w:vMerge w:val="continue"/>
                  <w:tcBorders>
                    <w:tl2br w:val="nil"/>
                    <w:tr2bl w:val="nil"/>
                  </w:tcBorders>
                  <w:vAlign w:val="center"/>
                </w:tcPr>
                <w:p w14:paraId="2DB54DA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96" w:type="pct"/>
                  <w:vMerge w:val="continue"/>
                  <w:tcBorders>
                    <w:tl2br w:val="nil"/>
                    <w:tr2bl w:val="nil"/>
                  </w:tcBorders>
                  <w:vAlign w:val="center"/>
                </w:tcPr>
                <w:p w14:paraId="1F0B5D5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258" w:type="pct"/>
                  <w:vMerge w:val="continue"/>
                  <w:tcBorders>
                    <w:tl2br w:val="nil"/>
                    <w:tr2bl w:val="nil"/>
                  </w:tcBorders>
                  <w:textDirection w:val="tbRlV"/>
                  <w:vAlign w:val="center"/>
                </w:tcPr>
                <w:p w14:paraId="4AE72A82">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88" w:type="pct"/>
                  <w:tcBorders>
                    <w:tl2br w:val="nil"/>
                    <w:tr2bl w:val="nil"/>
                  </w:tcBorders>
                  <w:vAlign w:val="center"/>
                </w:tcPr>
                <w:p w14:paraId="488D8EE0">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二氧</w:t>
                  </w:r>
                </w:p>
                <w:p w14:paraId="28D38DF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化硫</w:t>
                  </w:r>
                </w:p>
              </w:tc>
              <w:tc>
                <w:tcPr>
                  <w:tcW w:w="661" w:type="pct"/>
                  <w:tcBorders>
                    <w:tl2br w:val="nil"/>
                    <w:tr2bl w:val="nil"/>
                  </w:tcBorders>
                  <w:vAlign w:val="center"/>
                </w:tcPr>
                <w:p w14:paraId="6FE1AD6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千克/立方米-原料</w:t>
                  </w:r>
                </w:p>
              </w:tc>
              <w:tc>
                <w:tcPr>
                  <w:tcW w:w="688" w:type="pct"/>
                  <w:tcBorders>
                    <w:tl2br w:val="nil"/>
                    <w:tr2bl w:val="nil"/>
                  </w:tcBorders>
                  <w:vAlign w:val="center"/>
                </w:tcPr>
                <w:p w14:paraId="69849C5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0.000002S</w:t>
                  </w:r>
                </w:p>
              </w:tc>
              <w:tc>
                <w:tcPr>
                  <w:tcW w:w="893" w:type="pct"/>
                  <w:vMerge w:val="continue"/>
                  <w:tcBorders>
                    <w:tl2br w:val="nil"/>
                    <w:tr2bl w:val="nil"/>
                  </w:tcBorders>
                  <w:vAlign w:val="center"/>
                </w:tcPr>
                <w:p w14:paraId="1B3CC5CC">
                  <w:pPr>
                    <w:keepNext w:val="0"/>
                    <w:keepLines w:val="0"/>
                    <w:pageBreakBefore w:val="0"/>
                    <w:widowControl w:val="0"/>
                    <w:kinsoku/>
                    <w:wordWrap/>
                    <w:overflowPunct/>
                    <w:topLinePunct w:val="0"/>
                    <w:autoSpaceDE/>
                    <w:autoSpaceDN/>
                    <w:bidi w:val="0"/>
                    <w:adjustRightInd/>
                    <w:snapToGrid/>
                    <w:textAlignment w:val="auto"/>
                    <w:rPr>
                      <w:rFonts w:ascii="Arial"/>
                      <w:color w:val="auto"/>
                      <w:sz w:val="21"/>
                    </w:rPr>
                  </w:pPr>
                </w:p>
              </w:tc>
            </w:tr>
            <w:tr w14:paraId="20EA98A2">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28" w:type="pct"/>
                  <w:vMerge w:val="continue"/>
                  <w:tcBorders>
                    <w:tl2br w:val="nil"/>
                    <w:tr2bl w:val="nil"/>
                  </w:tcBorders>
                  <w:vAlign w:val="center"/>
                </w:tcPr>
                <w:p w14:paraId="5EE0B6F5">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61" w:type="pct"/>
                  <w:vMerge w:val="continue"/>
                  <w:tcBorders>
                    <w:tl2br w:val="nil"/>
                    <w:tr2bl w:val="nil"/>
                  </w:tcBorders>
                  <w:vAlign w:val="center"/>
                </w:tcPr>
                <w:p w14:paraId="5A58768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57" w:type="pct"/>
                  <w:vMerge w:val="continue"/>
                  <w:tcBorders>
                    <w:tl2br w:val="nil"/>
                    <w:tr2bl w:val="nil"/>
                  </w:tcBorders>
                  <w:vAlign w:val="center"/>
                </w:tcPr>
                <w:p w14:paraId="588EC16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66" w:type="pct"/>
                  <w:vMerge w:val="continue"/>
                  <w:tcBorders>
                    <w:tl2br w:val="nil"/>
                    <w:tr2bl w:val="nil"/>
                  </w:tcBorders>
                  <w:vAlign w:val="center"/>
                </w:tcPr>
                <w:p w14:paraId="31745B3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396" w:type="pct"/>
                  <w:vMerge w:val="continue"/>
                  <w:tcBorders>
                    <w:tl2br w:val="nil"/>
                    <w:tr2bl w:val="nil"/>
                  </w:tcBorders>
                  <w:vAlign w:val="center"/>
                </w:tcPr>
                <w:p w14:paraId="3F23C8B4">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258" w:type="pct"/>
                  <w:vMerge w:val="continue"/>
                  <w:tcBorders>
                    <w:tl2br w:val="nil"/>
                    <w:tr2bl w:val="nil"/>
                  </w:tcBorders>
                  <w:textDirection w:val="tbRlV"/>
                  <w:vAlign w:val="center"/>
                </w:tcPr>
                <w:p w14:paraId="6BA5724B">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p>
              </w:tc>
              <w:tc>
                <w:tcPr>
                  <w:tcW w:w="488" w:type="pct"/>
                  <w:tcBorders>
                    <w:tl2br w:val="nil"/>
                    <w:tr2bl w:val="nil"/>
                  </w:tcBorders>
                  <w:vAlign w:val="center"/>
                </w:tcPr>
                <w:p w14:paraId="57A52C2E">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氮氧</w:t>
                  </w:r>
                </w:p>
                <w:p w14:paraId="2E8EB2A3">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化物</w:t>
                  </w:r>
                </w:p>
              </w:tc>
              <w:tc>
                <w:tcPr>
                  <w:tcW w:w="661" w:type="pct"/>
                  <w:tcBorders>
                    <w:tl2br w:val="nil"/>
                    <w:tr2bl w:val="nil"/>
                  </w:tcBorders>
                  <w:vAlign w:val="center"/>
                </w:tcPr>
                <w:p w14:paraId="2D8549F1">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千克/立方米-原料</w:t>
                  </w:r>
                </w:p>
              </w:tc>
              <w:tc>
                <w:tcPr>
                  <w:tcW w:w="688" w:type="pct"/>
                  <w:tcBorders>
                    <w:tl2br w:val="nil"/>
                    <w:tr2bl w:val="nil"/>
                  </w:tcBorders>
                  <w:vAlign w:val="center"/>
                </w:tcPr>
                <w:p w14:paraId="3929D27A">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0.001</w:t>
                  </w:r>
                  <w:r>
                    <w:rPr>
                      <w:rFonts w:hint="eastAsia" w:ascii="Times New Roman" w:hAnsi="Times New Roman" w:cs="宋体"/>
                      <w:color w:val="auto"/>
                      <w:spacing w:val="-7"/>
                      <w:sz w:val="21"/>
                      <w:lang w:val="en-US" w:eastAsia="zh-CN"/>
                    </w:rPr>
                    <w:t>5</w:t>
                  </w:r>
                  <w:r>
                    <w:rPr>
                      <w:rFonts w:hint="eastAsia" w:ascii="Times New Roman" w:hAnsi="Times New Roman" w:eastAsia="宋体" w:cs="宋体"/>
                      <w:color w:val="auto"/>
                      <w:spacing w:val="-7"/>
                      <w:sz w:val="21"/>
                      <w:lang w:val="en-US" w:eastAsia="zh-CN"/>
                    </w:rPr>
                    <w:t>87</w:t>
                  </w:r>
                  <w:r>
                    <w:rPr>
                      <w:rFonts w:hint="eastAsia" w:ascii="Times New Roman" w:hAnsi="Times New Roman" w:cs="宋体"/>
                      <w:color w:val="auto"/>
                      <w:spacing w:val="-7"/>
                      <w:sz w:val="21"/>
                      <w:lang w:val="en-US" w:eastAsia="zh-CN"/>
                    </w:rPr>
                    <w:t>*</w:t>
                  </w:r>
                </w:p>
              </w:tc>
              <w:tc>
                <w:tcPr>
                  <w:tcW w:w="893" w:type="pct"/>
                  <w:vMerge w:val="continue"/>
                  <w:tcBorders>
                    <w:tl2br w:val="nil"/>
                    <w:tr2bl w:val="nil"/>
                  </w:tcBorders>
                  <w:vAlign w:val="center"/>
                </w:tcPr>
                <w:p w14:paraId="5ACBE275">
                  <w:pPr>
                    <w:keepNext w:val="0"/>
                    <w:keepLines w:val="0"/>
                    <w:pageBreakBefore w:val="0"/>
                    <w:widowControl w:val="0"/>
                    <w:kinsoku/>
                    <w:wordWrap/>
                    <w:overflowPunct/>
                    <w:topLinePunct w:val="0"/>
                    <w:autoSpaceDE/>
                    <w:autoSpaceDN/>
                    <w:bidi w:val="0"/>
                    <w:adjustRightInd/>
                    <w:snapToGrid/>
                    <w:textAlignment w:val="auto"/>
                    <w:rPr>
                      <w:rFonts w:ascii="Arial"/>
                      <w:color w:val="auto"/>
                      <w:sz w:val="21"/>
                    </w:rPr>
                  </w:pPr>
                </w:p>
              </w:tc>
            </w:tr>
            <w:tr w14:paraId="6BFA2EE6">
              <w:tblPrEx>
                <w:tblBorders>
                  <w:top w:val="single" w:color="000000" w:sz="12" w:space="0"/>
                  <w:left w:val="none" w:color="auto" w:sz="0" w:space="0"/>
                  <w:bottom w:val="single" w:color="000000" w:sz="1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5000" w:type="pct"/>
                  <w:gridSpan w:val="10"/>
                  <w:tcBorders>
                    <w:tl2br w:val="nil"/>
                    <w:tr2bl w:val="nil"/>
                  </w:tcBorders>
                  <w:vAlign w:val="center"/>
                </w:tcPr>
                <w:p w14:paraId="3F7D32E7">
                  <w:pPr>
                    <w:keepNext w:val="0"/>
                    <w:keepLines w:val="0"/>
                    <w:pageBreakBefore w:val="0"/>
                    <w:widowControl w:val="0"/>
                    <w:kinsoku/>
                    <w:wordWrap/>
                    <w:overflowPunct/>
                    <w:topLinePunct w:val="0"/>
                    <w:autoSpaceDE/>
                    <w:autoSpaceDN/>
                    <w:bidi w:val="0"/>
                    <w:adjustRightInd/>
                    <w:snapToGrid/>
                    <w:textAlignment w:val="auto"/>
                    <w:rPr>
                      <w:rFonts w:hint="default" w:ascii="Arial" w:eastAsia="宋体"/>
                      <w:color w:val="auto"/>
                      <w:sz w:val="21"/>
                      <w:lang w:val="en-US" w:eastAsia="zh-CN"/>
                    </w:rPr>
                  </w:pPr>
                  <w:r>
                    <w:rPr>
                      <w:rFonts w:hint="eastAsia" w:ascii="Arial"/>
                      <w:color w:val="auto"/>
                      <w:sz w:val="21"/>
                      <w:lang w:val="en-US" w:eastAsia="zh-CN"/>
                    </w:rPr>
                    <w:t>注：</w:t>
                  </w:r>
                  <w:r>
                    <w:rPr>
                      <w:rFonts w:hint="eastAsia" w:ascii="Times New Roman" w:hAnsi="Times New Roman" w:eastAsia="宋体" w:cs="Times New Roman"/>
                      <w:color w:val="auto"/>
                      <w:sz w:val="21"/>
                      <w:lang w:val="en-US" w:eastAsia="zh-CN"/>
                    </w:rPr>
                    <w:t>本项目</w:t>
                  </w:r>
                  <w:r>
                    <w:rPr>
                      <w:rFonts w:hint="eastAsia" w:cs="Times New Roman"/>
                      <w:color w:val="auto"/>
                      <w:sz w:val="21"/>
                      <w:lang w:val="en-US" w:eastAsia="zh-CN"/>
                    </w:rPr>
                    <w:t>固化炉</w:t>
                  </w:r>
                  <w:r>
                    <w:rPr>
                      <w:rFonts w:hint="eastAsia" w:ascii="Times New Roman" w:hAnsi="Times New Roman" w:eastAsia="宋体" w:cs="Times New Roman"/>
                      <w:color w:val="auto"/>
                      <w:sz w:val="21"/>
                      <w:lang w:val="en-US" w:eastAsia="zh-CN"/>
                    </w:rPr>
                    <w:t>采用低氮燃烧技术，NOₓ产污系数依据《排放源统计调查产排污核算方法和系数手册》（2021）中</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4430工业锅炉（热力生产和供应行业）产污系数表-燃气工业锅炉</w:t>
                  </w:r>
                  <w:r>
                    <w:rPr>
                      <w:rFonts w:hint="eastAsia" w:cs="Times New Roman"/>
                      <w:color w:val="auto"/>
                      <w:sz w:val="21"/>
                      <w:lang w:val="en-US" w:eastAsia="zh-CN"/>
                    </w:rPr>
                    <w:t>”</w:t>
                  </w:r>
                  <w:r>
                    <w:rPr>
                      <w:rFonts w:hint="eastAsia" w:ascii="Times New Roman" w:hAnsi="Times New Roman" w:eastAsia="宋体" w:cs="Times New Roman"/>
                      <w:color w:val="auto"/>
                      <w:sz w:val="21"/>
                      <w:lang w:val="en-US" w:eastAsia="zh-CN"/>
                    </w:rPr>
                    <w:t>低氮燃烧-国内一般系数取值，为15.87kg/万m</w:t>
                  </w:r>
                  <w:r>
                    <w:rPr>
                      <w:rFonts w:hint="eastAsia" w:ascii="Times New Roman" w:hAnsi="Times New Roman" w:eastAsia="宋体" w:cs="Times New Roman"/>
                      <w:color w:val="auto"/>
                      <w:sz w:val="21"/>
                      <w:vertAlign w:val="superscript"/>
                      <w:lang w:val="en-US" w:eastAsia="zh-CN"/>
                    </w:rPr>
                    <w:t>3</w:t>
                  </w:r>
                  <w:r>
                    <w:rPr>
                      <w:rFonts w:hint="eastAsia" w:ascii="Times New Roman" w:hAnsi="Times New Roman" w:eastAsia="宋体" w:cs="Times New Roman"/>
                      <w:color w:val="auto"/>
                      <w:sz w:val="21"/>
                      <w:lang w:val="en-US" w:eastAsia="zh-CN"/>
                    </w:rPr>
                    <w:t>-原料（即0.001587kg/m</w:t>
                  </w:r>
                  <w:r>
                    <w:rPr>
                      <w:rFonts w:hint="eastAsia" w:ascii="Times New Roman" w:hAnsi="Times New Roman" w:eastAsia="宋体" w:cs="Times New Roman"/>
                      <w:color w:val="auto"/>
                      <w:sz w:val="21"/>
                      <w:vertAlign w:val="superscript"/>
                      <w:lang w:val="en-US" w:eastAsia="zh-CN"/>
                    </w:rPr>
                    <w:t>3</w:t>
                  </w:r>
                  <w:r>
                    <w:rPr>
                      <w:rFonts w:hint="eastAsia" w:ascii="Times New Roman" w:hAnsi="Times New Roman" w:eastAsia="宋体" w:cs="Times New Roman"/>
                      <w:color w:val="auto"/>
                      <w:sz w:val="21"/>
                      <w:lang w:val="en-US" w:eastAsia="zh-CN"/>
                    </w:rPr>
                    <w:t>-原料）。</w:t>
                  </w:r>
                </w:p>
              </w:tc>
            </w:tr>
          </w:tbl>
          <w:p w14:paraId="4B1DA3F8">
            <w:pPr>
              <w:rPr>
                <w:rFonts w:hint="eastAsia"/>
                <w:color w:val="auto"/>
                <w:lang w:val="en-US" w:eastAsia="zh-CN"/>
              </w:rPr>
            </w:pPr>
          </w:p>
          <w:p w14:paraId="2CADD5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根据《排放源统计调查产排污核算方法和系数手册》中4430工业锅炉（热力供应）行业系数手册、HJ953-2018《排污许可证申请与核发技术规范锅炉》，天然气工业炉窑颗粒物产污系数为0.000286kg/m</w:t>
            </w:r>
            <w:r>
              <w:rPr>
                <w:rFonts w:hint="eastAsia"/>
                <w:color w:val="auto"/>
                <w:sz w:val="24"/>
                <w:vertAlign w:val="superscript"/>
                <w:lang w:val="en-US" w:eastAsia="zh-CN"/>
              </w:rPr>
              <w:t>3</w:t>
            </w:r>
            <w:r>
              <w:rPr>
                <w:rFonts w:hint="eastAsia"/>
                <w:color w:val="auto"/>
                <w:sz w:val="24"/>
                <w:lang w:val="en-US" w:eastAsia="zh-CN"/>
              </w:rPr>
              <w:t>-原料；二氧化硫产污系数为0.000002Skg/m</w:t>
            </w:r>
            <w:r>
              <w:rPr>
                <w:rFonts w:hint="eastAsia"/>
                <w:color w:val="auto"/>
                <w:sz w:val="24"/>
                <w:vertAlign w:val="superscript"/>
                <w:lang w:val="en-US" w:eastAsia="zh-CN"/>
              </w:rPr>
              <w:t>3</w:t>
            </w:r>
            <w:r>
              <w:rPr>
                <w:rFonts w:hint="eastAsia"/>
                <w:color w:val="auto"/>
                <w:sz w:val="24"/>
                <w:lang w:val="en-US" w:eastAsia="zh-CN"/>
              </w:rPr>
              <w:t>-原料；氮氧化物产污系数为0.001587kg/m</w:t>
            </w:r>
            <w:r>
              <w:rPr>
                <w:rFonts w:hint="eastAsia"/>
                <w:color w:val="auto"/>
                <w:sz w:val="24"/>
                <w:vertAlign w:val="superscript"/>
                <w:lang w:val="en-US" w:eastAsia="zh-CN"/>
              </w:rPr>
              <w:t>3</w:t>
            </w:r>
            <w:r>
              <w:rPr>
                <w:rFonts w:hint="eastAsia"/>
                <w:color w:val="auto"/>
                <w:sz w:val="24"/>
                <w:lang w:val="en-US" w:eastAsia="zh-CN"/>
              </w:rPr>
              <w:t>-原料。该项目</w:t>
            </w:r>
            <w:r>
              <w:rPr>
                <w:rFonts w:hint="eastAsia"/>
                <w:color w:val="0070C0"/>
                <w:sz w:val="24"/>
                <w:highlight w:val="none"/>
                <w:lang w:val="en-US" w:eastAsia="zh-CN"/>
              </w:rPr>
              <w:t>电泳线</w:t>
            </w:r>
            <w:r>
              <w:rPr>
                <w:rFonts w:hint="eastAsia"/>
                <w:color w:val="auto"/>
                <w:sz w:val="24"/>
                <w:lang w:val="en-US" w:eastAsia="zh-CN"/>
              </w:rPr>
              <w:t>使用天然气量约为4万m</w:t>
            </w:r>
            <w:r>
              <w:rPr>
                <w:rFonts w:hint="eastAsia"/>
                <w:color w:val="auto"/>
                <w:sz w:val="24"/>
                <w:vertAlign w:val="superscript"/>
                <w:lang w:val="en-US" w:eastAsia="zh-CN"/>
              </w:rPr>
              <w:t>3</w:t>
            </w:r>
            <w:r>
              <w:rPr>
                <w:rFonts w:hint="eastAsia"/>
                <w:color w:val="auto"/>
                <w:sz w:val="24"/>
                <w:lang w:val="en-US" w:eastAsia="zh-CN"/>
              </w:rPr>
              <w:t>/a，收到基硫份S取最大值100。则天然气燃烧废气颗粒物产生量为11.44kg/a，二氧化硫产生量为8kg/a，氮氧化物产生量为63.48kg/a。天然气燃烧废气与烘干固化废气一起经喷淋塔+过滤棉+二级活性炭吸附装置进行处理后由一根15m高排气筒（DA001）高空排放。天然气燃烧废气颗粒物有组织排放量为0.0103t/a，无组织排放量为0.0011t/a；二氧化硫有组织排放量为0.0072t/a，无组织排放量为0.0008t/a；氮氧化物有组织排放量为0.0571t/a，无组织排放量为0.0064t/a。</w:t>
            </w:r>
          </w:p>
          <w:p w14:paraId="7E398877">
            <w:pPr>
              <w:pStyle w:val="5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③焊接废气</w:t>
            </w:r>
          </w:p>
          <w:p w14:paraId="55215CEB">
            <w:pPr>
              <w:pStyle w:val="5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根据本项目原辅材料表</w:t>
            </w:r>
            <w:r>
              <w:rPr>
                <w:rFonts w:hint="eastAsia" w:ascii="Times New Roman" w:cs="Times New Roman"/>
                <w:color w:val="auto"/>
                <w:kern w:val="2"/>
                <w:sz w:val="24"/>
                <w:szCs w:val="24"/>
                <w:highlight w:val="none"/>
                <w:lang w:val="en-US" w:eastAsia="zh-CN" w:bidi="ar-SA"/>
              </w:rPr>
              <w:t>2.5-1</w:t>
            </w:r>
            <w:r>
              <w:rPr>
                <w:rFonts w:hint="eastAsia" w:ascii="Times New Roman" w:hAnsi="Times New Roman" w:eastAsia="宋体" w:cs="Times New Roman"/>
                <w:color w:val="auto"/>
                <w:kern w:val="2"/>
                <w:sz w:val="24"/>
                <w:szCs w:val="24"/>
                <w:highlight w:val="none"/>
                <w:lang w:val="en-US" w:eastAsia="zh-CN" w:bidi="ar-SA"/>
              </w:rPr>
              <w:t>，焊丝主要成分为C: 0.06%~0.15%、Si: 0.7%~0.95%、Mn: 1.8%~2.1%、S≤0.03%、P≤0.035%、Cr≤0.02%、Cu≤0.02%，属于普通碳钢实芯焊丝，不含铅、汞、镉、砷等《有毒有害大气污染物名录》中的重金属污染物。焊丝中锰、铬、铜等元素均以合金元素形式存在，含量较低</w:t>
            </w:r>
            <w:r>
              <w:rPr>
                <w:rFonts w:hint="eastAsia" w:ascii="Times New Roman" w:cs="Times New Roman"/>
                <w:color w:val="auto"/>
                <w:kern w:val="2"/>
                <w:sz w:val="24"/>
                <w:szCs w:val="24"/>
                <w:highlight w:val="none"/>
                <w:lang w:val="en-US" w:eastAsia="zh-CN" w:bidi="ar-SA"/>
              </w:rPr>
              <w:t>且</w:t>
            </w:r>
            <w:r>
              <w:rPr>
                <w:rFonts w:hint="eastAsia" w:ascii="Times New Roman" w:hAnsi="Times New Roman" w:eastAsia="宋体" w:cs="Times New Roman"/>
                <w:color w:val="auto"/>
                <w:kern w:val="2"/>
                <w:sz w:val="24"/>
                <w:szCs w:val="24"/>
                <w:highlight w:val="none"/>
                <w:lang w:val="en-US" w:eastAsia="zh-CN" w:bidi="ar-SA"/>
              </w:rPr>
              <w:t>为金属材料固有成分，非外加污染物。项目营运期对工件拼装时焊接工序会产生焊接烟尘。</w:t>
            </w:r>
          </w:p>
          <w:p w14:paraId="11C0D54B">
            <w:pPr>
              <w:pStyle w:val="5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由于国家及福建省现行大气污染物排放标准均未对焊接烟尘中的锰及其化合物规定排放限值</w:t>
            </w:r>
            <w:r>
              <w:rPr>
                <w:rFonts w:hint="eastAsia" w:ascii="Times New Roman" w:cs="Times New Roman"/>
                <w:color w:val="auto"/>
                <w:kern w:val="2"/>
                <w:sz w:val="24"/>
                <w:szCs w:val="24"/>
                <w:highlight w:val="none"/>
                <w:lang w:val="en-US" w:eastAsia="zh-CN" w:bidi="ar-SA"/>
              </w:rPr>
              <w:t>且</w:t>
            </w:r>
            <w:r>
              <w:rPr>
                <w:rFonts w:hint="eastAsia" w:ascii="Times New Roman" w:hAnsi="Times New Roman" w:eastAsia="宋体" w:cs="Times New Roman"/>
                <w:color w:val="auto"/>
                <w:kern w:val="2"/>
                <w:sz w:val="24"/>
                <w:szCs w:val="24"/>
                <w:highlight w:val="none"/>
                <w:lang w:val="en-US" w:eastAsia="zh-CN" w:bidi="ar-SA"/>
              </w:rPr>
              <w:t>省内同类项目环评实践中均仅将焊接烟尘作为颗粒物进行评价，同时本项目焊丝中锰含量较低、年用量仅20t、经</w:t>
            </w:r>
            <w:r>
              <w:rPr>
                <w:rFonts w:hint="eastAsia" w:ascii="Times New Roman" w:cs="Times New Roman"/>
                <w:color w:val="auto"/>
                <w:kern w:val="2"/>
                <w:sz w:val="24"/>
                <w:szCs w:val="24"/>
                <w:highlight w:val="none"/>
                <w:lang w:val="en-US" w:eastAsia="zh-CN" w:bidi="ar-SA"/>
              </w:rPr>
              <w:t>布袋</w:t>
            </w:r>
            <w:r>
              <w:rPr>
                <w:rFonts w:hint="eastAsia" w:ascii="Times New Roman" w:hAnsi="Times New Roman" w:eastAsia="宋体" w:cs="Times New Roman"/>
                <w:color w:val="auto"/>
                <w:kern w:val="2"/>
                <w:sz w:val="24"/>
                <w:szCs w:val="24"/>
                <w:highlight w:val="none"/>
                <w:lang w:val="en-US" w:eastAsia="zh-CN" w:bidi="ar-SA"/>
              </w:rPr>
              <w:t>除尘器处理后环境风险可控，因此本评价不对锰及其化合物进行单独核算；本项目焊接烟尘经收集处理后通过</w:t>
            </w:r>
            <w:r>
              <w:rPr>
                <w:rFonts w:hint="eastAsia" w:ascii="Times New Roman"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m高排气筒排放，执行《大气污染物综合排放标准》（GB16297-1996）表2二级标准：颗粒物最高允许排放浓度120mg/m</w:t>
            </w:r>
            <w:r>
              <w:rPr>
                <w:rFonts w:hint="eastAsia" w:ascii="Times New Roman"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、最高允许排放速率3.5（1.75严格50%执行），厂界无组织排放监控浓度限值1.0mg/m</w:t>
            </w:r>
            <w:r>
              <w:rPr>
                <w:rFonts w:hint="eastAsia" w:ascii="Times New Roman"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，建议建设单位加强设施运行维护确保达标排放，后续若国家或福建省发布锰及其化合物专项排放标准，应按新要求执行并纳入排污许可管理。</w:t>
            </w:r>
          </w:p>
          <w:p w14:paraId="39BA6873">
            <w:pPr>
              <w:pStyle w:val="5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根据建设单位提供资料，本项目使用的焊接设备主要为二氧化碳保护焊，焊丝用量为20t/a。</w:t>
            </w:r>
          </w:p>
          <w:p w14:paraId="7BCC65EB">
            <w:pPr>
              <w:pStyle w:val="5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根据《第二次全国污染源普查工业污染源产排污系数手册》（试用版）机械行业系数手册，药芯焊丝的CO</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气体保护焊颗粒物产污系数为20.5kg/t-原料。则焊接工序产生的焊接烟尘量约为0.41t/a，设风机收集焊接烟尘（收集效率90%）并经</w:t>
            </w:r>
            <w:r>
              <w:rPr>
                <w:rFonts w:hint="eastAsia" w:ascii="Times New Roman" w:cs="Times New Roman"/>
                <w:color w:val="auto"/>
                <w:kern w:val="2"/>
                <w:sz w:val="24"/>
                <w:szCs w:val="24"/>
                <w:highlight w:val="none"/>
                <w:lang w:val="en-US" w:eastAsia="zh-CN" w:bidi="ar-SA"/>
              </w:rPr>
              <w:t>布袋</w:t>
            </w:r>
            <w:r>
              <w:rPr>
                <w:rFonts w:hint="eastAsia" w:ascii="Times New Roman" w:hAnsi="Times New Roman" w:eastAsia="宋体" w:cs="Times New Roman"/>
                <w:color w:val="auto"/>
                <w:kern w:val="2"/>
                <w:sz w:val="24"/>
                <w:szCs w:val="24"/>
                <w:highlight w:val="none"/>
                <w:lang w:val="en-US" w:eastAsia="zh-CN" w:bidi="ar-SA"/>
              </w:rPr>
              <w:t>除尘器（根据《三废处理工程技术手册》（化工出版社）第二篇第五章第四节中对</w:t>
            </w:r>
            <w:r>
              <w:rPr>
                <w:rFonts w:hint="eastAsia" w:ascii="Times New Roman" w:cs="Times New Roman"/>
                <w:color w:val="auto"/>
                <w:kern w:val="2"/>
                <w:sz w:val="24"/>
                <w:szCs w:val="24"/>
                <w:highlight w:val="none"/>
                <w:lang w:val="en-US" w:eastAsia="zh-CN" w:bidi="ar-SA"/>
              </w:rPr>
              <w:t>布袋</w:t>
            </w:r>
            <w:r>
              <w:rPr>
                <w:rFonts w:hint="eastAsia" w:ascii="Times New Roman" w:hAnsi="Times New Roman" w:eastAsia="宋体" w:cs="Times New Roman"/>
                <w:color w:val="auto"/>
                <w:kern w:val="2"/>
                <w:sz w:val="24"/>
                <w:szCs w:val="24"/>
                <w:highlight w:val="none"/>
                <w:lang w:val="en-US" w:eastAsia="zh-CN" w:bidi="ar-SA"/>
              </w:rPr>
              <w:t>除尘器的除尘效率一般在95%～99%，本项目处理效率</w:t>
            </w:r>
            <w:r>
              <w:rPr>
                <w:rFonts w:hint="eastAsia" w:ascii="Times New Roman" w:cs="Times New Roman"/>
                <w:color w:val="auto"/>
                <w:kern w:val="2"/>
                <w:sz w:val="24"/>
                <w:szCs w:val="24"/>
                <w:highlight w:val="none"/>
                <w:lang w:val="en-US" w:eastAsia="zh-CN" w:bidi="ar-SA"/>
              </w:rPr>
              <w:t>取</w:t>
            </w:r>
            <w:r>
              <w:rPr>
                <w:rFonts w:hint="eastAsia" w:ascii="Times New Roman" w:hAnsi="Times New Roman" w:eastAsia="宋体" w:cs="Times New Roman"/>
                <w:color w:val="auto"/>
                <w:kern w:val="2"/>
                <w:sz w:val="24"/>
                <w:szCs w:val="24"/>
                <w:highlight w:val="none"/>
                <w:lang w:val="en-US" w:eastAsia="zh-CN" w:bidi="ar-SA"/>
              </w:rPr>
              <w:t>95%）处理后由一根</w:t>
            </w:r>
            <w:r>
              <w:rPr>
                <w:rFonts w:hint="eastAsia" w:ascii="Times New Roman"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m高排气筒</w:t>
            </w:r>
            <w:r>
              <w:rPr>
                <w:rFonts w:hint="eastAsia" w:ascii="Times New Roman" w:cs="Times New Roman"/>
                <w:color w:val="auto"/>
                <w:kern w:val="2"/>
                <w:sz w:val="24"/>
                <w:szCs w:val="24"/>
                <w:highlight w:val="none"/>
                <w:lang w:val="en-US" w:eastAsia="zh-CN" w:bidi="ar-SA"/>
              </w:rPr>
              <w:t>（DA002）</w:t>
            </w:r>
            <w:r>
              <w:rPr>
                <w:rFonts w:hint="eastAsia" w:ascii="Times New Roman" w:hAnsi="Times New Roman" w:eastAsia="宋体" w:cs="Times New Roman"/>
                <w:color w:val="auto"/>
                <w:kern w:val="2"/>
                <w:sz w:val="24"/>
                <w:szCs w:val="24"/>
                <w:highlight w:val="none"/>
                <w:lang w:val="en-US" w:eastAsia="zh-CN" w:bidi="ar-SA"/>
              </w:rPr>
              <w:t>高空排放。焊接工序烟尘有组织排放量为0.018t/a，无组织排放量为0.041t/a。</w:t>
            </w:r>
          </w:p>
          <w:p w14:paraId="450531B6">
            <w:pPr>
              <w:pStyle w:val="55"/>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w:t>
            </w:r>
            <w:r>
              <w:rPr>
                <w:rFonts w:hint="eastAsia" w:ascii="Times New Roman" w:cs="Times New Roman"/>
                <w:color w:val="auto"/>
                <w:kern w:val="2"/>
                <w:sz w:val="24"/>
                <w:szCs w:val="24"/>
                <w:highlight w:val="none"/>
                <w:lang w:val="en-US" w:eastAsia="zh-CN" w:bidi="ar-SA"/>
              </w:rPr>
              <w:t>废水处理设施废气</w:t>
            </w:r>
          </w:p>
          <w:p w14:paraId="74D02637">
            <w:pPr>
              <w:pStyle w:val="55"/>
              <w:keepNext w:val="0"/>
              <w:keepLines w:val="0"/>
              <w:pageBreakBefore w:val="0"/>
              <w:kinsoku/>
              <w:wordWrap/>
              <w:overflowPunct/>
              <w:topLinePunct w:val="0"/>
              <w:bidi w:val="0"/>
              <w:snapToGrid/>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本项目设有1座废水处理设施，处理工艺为“</w:t>
            </w:r>
            <w:r>
              <w:rPr>
                <w:rFonts w:hint="eastAsia" w:ascii="Times New Roman" w:cs="Times New Roman"/>
                <w:color w:val="auto"/>
                <w:kern w:val="2"/>
                <w:sz w:val="24"/>
                <w:szCs w:val="24"/>
                <w:highlight w:val="none"/>
                <w:lang w:val="en-US" w:eastAsia="zh-CN" w:bidi="ar-SA"/>
              </w:rPr>
              <w:t>物化+A/O+沉淀</w:t>
            </w:r>
            <w:r>
              <w:rPr>
                <w:rFonts w:hint="eastAsia" w:ascii="Times New Roman" w:hAnsi="Times New Roman" w:eastAsia="宋体" w:cs="Times New Roman"/>
                <w:color w:val="auto"/>
                <w:kern w:val="2"/>
                <w:sz w:val="24"/>
                <w:szCs w:val="24"/>
                <w:highlight w:val="none"/>
                <w:lang w:val="en-US" w:eastAsia="zh-CN" w:bidi="ar-SA"/>
              </w:rPr>
              <w:t>”，废水处理过程中有废气产生。</w:t>
            </w:r>
          </w:p>
          <w:p w14:paraId="3B7BA0E0">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参考《城镇污水处理厂臭气处理技术规程》（CJJ/T243-2016）及同类工程实际运行数据，物化+A/O工艺废水处理设施臭气污染物产生系数取：NH₃为0.1kg/t-废水，H</w:t>
            </w:r>
            <w:r>
              <w:rPr>
                <w:rFonts w:hint="eastAsia" w:ascii="Times New Roman"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S为0.2kg/t-废水。NH</w:t>
            </w:r>
            <w:r>
              <w:rPr>
                <w:rFonts w:hint="eastAsia" w:ascii="Times New Roman" w:hAnsi="Times New Roman" w:eastAsia="宋体" w:cs="Times New Roman"/>
                <w:color w:val="auto"/>
                <w:kern w:val="2"/>
                <w:sz w:val="24"/>
                <w:szCs w:val="24"/>
                <w:highlight w:val="none"/>
                <w:vertAlign w:val="sub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产生量=</w:t>
            </w:r>
            <w:r>
              <w:rPr>
                <w:rFonts w:hint="eastAsia" w:ascii="Times New Roman" w:cs="Times New Roman"/>
                <w:color w:val="auto"/>
                <w:kern w:val="2"/>
                <w:sz w:val="24"/>
                <w:szCs w:val="24"/>
                <w:highlight w:val="none"/>
                <w:lang w:val="en-US" w:eastAsia="zh-CN" w:bidi="ar-SA"/>
              </w:rPr>
              <w:t>2t/d</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cs="Times New Roman"/>
                <w:color w:val="auto"/>
                <w:kern w:val="2"/>
                <w:sz w:val="24"/>
                <w:szCs w:val="24"/>
                <w:highlight w:val="none"/>
                <w:lang w:val="en-US" w:eastAsia="zh-CN" w:bidi="ar-SA"/>
              </w:rPr>
              <w:t>300d</w:t>
            </w:r>
            <w:r>
              <w:rPr>
                <w:rFonts w:hint="eastAsia" w:ascii="Times New Roman" w:hAnsi="Times New Roman" w:eastAsia="宋体" w:cs="Times New Roman"/>
                <w:color w:val="auto"/>
                <w:kern w:val="2"/>
                <w:sz w:val="24"/>
                <w:szCs w:val="24"/>
                <w:highlight w:val="none"/>
                <w:lang w:val="en-US" w:eastAsia="zh-CN" w:bidi="ar-SA"/>
              </w:rPr>
              <w:t>×0.1kg/t×10</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=0.06t/a</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H</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S产生量</w:t>
            </w:r>
            <w:r>
              <w:rPr>
                <w:rFonts w:hint="eastAsia" w:ascii="Times New Roman" w:cs="Times New Roman"/>
                <w:color w:val="auto"/>
                <w:kern w:val="2"/>
                <w:sz w:val="24"/>
                <w:szCs w:val="24"/>
                <w:highlight w:val="none"/>
                <w:lang w:val="en-US" w:eastAsia="zh-CN" w:bidi="ar-SA"/>
              </w:rPr>
              <w:t>2t/d*300d</w:t>
            </w:r>
            <w:r>
              <w:rPr>
                <w:rFonts w:hint="eastAsia" w:ascii="Times New Roman" w:hAnsi="Times New Roman" w:eastAsia="宋体" w:cs="Times New Roman"/>
                <w:color w:val="auto"/>
                <w:kern w:val="2"/>
                <w:sz w:val="24"/>
                <w:szCs w:val="24"/>
                <w:highlight w:val="none"/>
                <w:lang w:val="en-US" w:eastAsia="zh-CN" w:bidi="ar-SA"/>
              </w:rPr>
              <w:t>×0.2kg/t×10</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=0.12t/a</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恶臭气体无组织排放，满足《恶臭污染物排放标准》（GB14554-93）中的限值要求。本项目废水处理设施规模较小，其产生的废气浓度较低。通过投加除臭剂并实施设施密闭加盖措施，可从源头有效减少废气的无组织排放。鉴于废水处理设施产生的废气对环境影响较小，因此采用无组织排放方式可行。</w:t>
            </w:r>
          </w:p>
          <w:p w14:paraId="30628329">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⑤喷粉废气</w:t>
            </w:r>
          </w:p>
          <w:p w14:paraId="714FC9FC">
            <w:pPr>
              <w:pStyle w:val="158"/>
              <w:keepNext w:val="0"/>
              <w:keepLines w:val="0"/>
              <w:pageBreakBefore w:val="0"/>
              <w:kinsoku/>
              <w:wordWrap/>
              <w:overflowPunct/>
              <w:topLinePunct w:val="0"/>
              <w:bidi w:val="0"/>
              <w:snapToGrid/>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项目设喷粉线</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条，年用粉末涂料约</w:t>
            </w:r>
            <w:r>
              <w:rPr>
                <w:rFonts w:hint="eastAsia" w:ascii="Times New Roman" w:hAnsi="Times New Roman"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t/a。根据《排放源统计调查产排污核算方法和系数手册》中“</w:t>
            </w:r>
            <w:r>
              <w:rPr>
                <w:rFonts w:hint="default" w:ascii="Times New Roman" w:hAnsi="Times New Roman" w:eastAsia="宋体" w:cs="Times New Roman"/>
                <w:color w:val="auto"/>
                <w:sz w:val="24"/>
                <w:szCs w:val="24"/>
                <w:lang w:val="en-US" w:eastAsia="zh-CN"/>
              </w:rPr>
              <w:t>33</w:t>
            </w:r>
            <w:r>
              <w:rPr>
                <w:rFonts w:hint="eastAsia" w:ascii="Times New Roman" w:hAnsi="Times New Roman" w:eastAsia="宋体" w:cs="Times New Roman"/>
                <w:color w:val="auto"/>
                <w:sz w:val="24"/>
                <w:szCs w:val="24"/>
                <w:lang w:val="en-US" w:eastAsia="zh-CN"/>
              </w:rPr>
              <w:t>金属制品业、</w:t>
            </w:r>
            <w:r>
              <w:rPr>
                <w:rFonts w:hint="default" w:ascii="Times New Roman" w:hAnsi="Times New Roman" w:eastAsia="宋体" w:cs="Times New Roman"/>
                <w:color w:val="auto"/>
                <w:sz w:val="24"/>
                <w:szCs w:val="24"/>
                <w:lang w:val="en-US" w:eastAsia="zh-CN"/>
              </w:rPr>
              <w:t>34</w:t>
            </w:r>
            <w:r>
              <w:rPr>
                <w:rFonts w:hint="eastAsia" w:ascii="Times New Roman" w:hAnsi="Times New Roman" w:eastAsia="宋体" w:cs="Times New Roman"/>
                <w:color w:val="auto"/>
                <w:sz w:val="24"/>
                <w:szCs w:val="24"/>
                <w:lang w:val="en-US" w:eastAsia="zh-CN"/>
              </w:rPr>
              <w:t>通用设备制造业、</w:t>
            </w:r>
            <w:r>
              <w:rPr>
                <w:rFonts w:hint="default" w:ascii="Times New Roman" w:hAnsi="Times New Roman" w:eastAsia="宋体" w:cs="Times New Roman"/>
                <w:color w:val="auto"/>
                <w:sz w:val="24"/>
                <w:szCs w:val="24"/>
                <w:lang w:val="en-US" w:eastAsia="zh-CN"/>
              </w:rPr>
              <w:t>35</w:t>
            </w:r>
            <w:r>
              <w:rPr>
                <w:rFonts w:hint="eastAsia" w:ascii="Times New Roman" w:hAnsi="Times New Roman" w:eastAsia="宋体" w:cs="Times New Roman"/>
                <w:color w:val="auto"/>
                <w:sz w:val="24"/>
                <w:szCs w:val="24"/>
                <w:lang w:val="en-US" w:eastAsia="zh-CN"/>
              </w:rPr>
              <w:t>专用设备制造业、</w:t>
            </w:r>
            <w:r>
              <w:rPr>
                <w:rFonts w:hint="default" w:ascii="Times New Roman" w:hAnsi="Times New Roman" w:eastAsia="宋体" w:cs="Times New Roman"/>
                <w:color w:val="auto"/>
                <w:sz w:val="24"/>
                <w:szCs w:val="24"/>
                <w:lang w:val="en-US" w:eastAsia="zh-CN"/>
              </w:rPr>
              <w:t>36</w:t>
            </w:r>
            <w:r>
              <w:rPr>
                <w:rFonts w:hint="eastAsia" w:ascii="Times New Roman" w:hAnsi="Times New Roman" w:eastAsia="宋体" w:cs="Times New Roman"/>
                <w:color w:val="auto"/>
                <w:sz w:val="24"/>
                <w:szCs w:val="24"/>
                <w:lang w:val="en-US" w:eastAsia="zh-CN"/>
              </w:rPr>
              <w:t>汽车制造业、</w:t>
            </w:r>
            <w:r>
              <w:rPr>
                <w:rFonts w:hint="default" w:ascii="Times New Roman" w:hAnsi="Times New Roman" w:eastAsia="宋体" w:cs="Times New Roman"/>
                <w:color w:val="auto"/>
                <w:sz w:val="24"/>
                <w:szCs w:val="24"/>
                <w:lang w:val="en-US" w:eastAsia="zh-CN"/>
              </w:rPr>
              <w:t>37</w:t>
            </w:r>
            <w:r>
              <w:rPr>
                <w:rFonts w:hint="eastAsia" w:ascii="Times New Roman" w:hAnsi="Times New Roman" w:eastAsia="宋体" w:cs="Times New Roman"/>
                <w:color w:val="auto"/>
                <w:sz w:val="24"/>
                <w:szCs w:val="24"/>
                <w:lang w:val="en-US" w:eastAsia="zh-CN"/>
              </w:rPr>
              <w:t>铁路、船舶、航空航天和其他运输设备制造业、</w:t>
            </w:r>
            <w:r>
              <w:rPr>
                <w:rFonts w:hint="default" w:ascii="Times New Roman" w:hAnsi="Times New Roman" w:eastAsia="宋体" w:cs="Times New Roman"/>
                <w:color w:val="auto"/>
                <w:sz w:val="24"/>
                <w:szCs w:val="24"/>
                <w:lang w:val="en-US" w:eastAsia="zh-CN"/>
              </w:rPr>
              <w:t>431</w:t>
            </w:r>
            <w:r>
              <w:rPr>
                <w:rFonts w:hint="eastAsia" w:ascii="Times New Roman" w:hAnsi="Times New Roman" w:eastAsia="宋体" w:cs="Times New Roman"/>
                <w:color w:val="auto"/>
                <w:sz w:val="24"/>
                <w:szCs w:val="24"/>
                <w:lang w:val="en-US" w:eastAsia="zh-CN"/>
              </w:rPr>
              <w:t>金属制品修理、</w:t>
            </w:r>
            <w:r>
              <w:rPr>
                <w:rFonts w:hint="default" w:ascii="Times New Roman" w:hAnsi="Times New Roman" w:eastAsia="宋体" w:cs="Times New Roman"/>
                <w:color w:val="auto"/>
                <w:sz w:val="24"/>
                <w:szCs w:val="24"/>
                <w:lang w:val="en-US" w:eastAsia="zh-CN"/>
              </w:rPr>
              <w:t>432</w:t>
            </w:r>
            <w:r>
              <w:rPr>
                <w:rFonts w:hint="eastAsia" w:ascii="Times New Roman" w:hAnsi="Times New Roman" w:eastAsia="宋体" w:cs="Times New Roman"/>
                <w:color w:val="auto"/>
                <w:sz w:val="24"/>
                <w:szCs w:val="24"/>
                <w:lang w:val="en-US" w:eastAsia="zh-CN"/>
              </w:rPr>
              <w:t>通用设备修理、</w:t>
            </w:r>
            <w:r>
              <w:rPr>
                <w:rFonts w:hint="default" w:ascii="Times New Roman" w:hAnsi="Times New Roman" w:eastAsia="宋体" w:cs="Times New Roman"/>
                <w:color w:val="auto"/>
                <w:sz w:val="24"/>
                <w:szCs w:val="24"/>
                <w:lang w:val="en-US" w:eastAsia="zh-CN"/>
              </w:rPr>
              <w:t>433</w:t>
            </w:r>
            <w:r>
              <w:rPr>
                <w:rFonts w:hint="eastAsia" w:ascii="Times New Roman" w:hAnsi="Times New Roman" w:eastAsia="宋体" w:cs="Times New Roman"/>
                <w:color w:val="auto"/>
                <w:sz w:val="24"/>
                <w:szCs w:val="24"/>
                <w:lang w:val="en-US" w:eastAsia="zh-CN"/>
              </w:rPr>
              <w:t>专用设备修理、</w:t>
            </w:r>
            <w:r>
              <w:rPr>
                <w:rFonts w:hint="default" w:ascii="Times New Roman" w:hAnsi="Times New Roman" w:eastAsia="宋体" w:cs="Times New Roman"/>
                <w:color w:val="auto"/>
                <w:sz w:val="24"/>
                <w:szCs w:val="24"/>
                <w:lang w:val="en-US" w:eastAsia="zh-CN"/>
              </w:rPr>
              <w:t>434</w:t>
            </w:r>
            <w:r>
              <w:rPr>
                <w:rFonts w:hint="eastAsia" w:ascii="Times New Roman" w:hAnsi="Times New Roman" w:eastAsia="宋体" w:cs="Times New Roman"/>
                <w:color w:val="auto"/>
                <w:sz w:val="24"/>
                <w:szCs w:val="24"/>
                <w:lang w:val="en-US" w:eastAsia="zh-CN"/>
              </w:rPr>
              <w:t>铁路、船舶、航空航天等运输设备修理（不包括电镀工艺）行业系数手册”中的“</w:t>
            </w:r>
            <w:r>
              <w:rPr>
                <w:rFonts w:hint="default" w:ascii="Times New Roman" w:hAnsi="Times New Roman" w:eastAsia="宋体"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涂装”可知，喷塑颗粒物产生系数为300千克/吨-原料，则喷粉线粉尘产生量约</w:t>
            </w:r>
            <w:r>
              <w:rPr>
                <w:rFonts w:hint="eastAsia" w:ascii="Times New Roman" w:hAnsi="Times New Roman"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，经滤芯除尘</w:t>
            </w:r>
            <w:r>
              <w:rPr>
                <w:rFonts w:hint="eastAsia" w:ascii="Times New Roman" w:hAnsi="Times New Roman" w:cs="Times New Roman"/>
                <w:color w:val="auto"/>
                <w:sz w:val="24"/>
                <w:szCs w:val="24"/>
                <w:lang w:val="en-US" w:eastAsia="zh-CN"/>
              </w:rPr>
              <w:t>系统（二次粉尘过滤装置）</w:t>
            </w:r>
            <w:r>
              <w:rPr>
                <w:rFonts w:hint="eastAsia" w:ascii="Times New Roman" w:hAnsi="Times New Roman" w:eastAsia="宋体" w:cs="Times New Roman"/>
                <w:color w:val="auto"/>
                <w:sz w:val="24"/>
                <w:szCs w:val="24"/>
                <w:lang w:val="en-US" w:eastAsia="zh-CN"/>
              </w:rPr>
              <w:t>收集后送回供粉系统循环使用，尾气</w:t>
            </w:r>
            <w:r>
              <w:rPr>
                <w:rFonts w:hint="default" w:ascii="Times New Roman" w:hAnsi="Times New Roman" w:cs="Times New Roman"/>
                <w:spacing w:val="0"/>
                <w:sz w:val="24"/>
                <w:szCs w:val="24"/>
                <w:highlight w:val="none"/>
                <w:lang w:val="en-US" w:eastAsia="zh-CN"/>
              </w:rPr>
              <w:t>由1根15m高排气筒</w:t>
            </w:r>
            <w:r>
              <w:rPr>
                <w:rFonts w:hint="eastAsia" w:ascii="Times New Roman" w:hAnsi="Times New Roman" w:cs="Times New Roman"/>
                <w:spacing w:val="0"/>
                <w:sz w:val="24"/>
                <w:szCs w:val="24"/>
                <w:highlight w:val="none"/>
                <w:lang w:val="en-US" w:eastAsia="zh-CN"/>
              </w:rPr>
              <w:t>（DA002）</w:t>
            </w:r>
            <w:r>
              <w:rPr>
                <w:rFonts w:hint="default" w:ascii="Times New Roman" w:hAnsi="Times New Roman" w:cs="Times New Roman"/>
                <w:spacing w:val="0"/>
                <w:sz w:val="24"/>
                <w:szCs w:val="24"/>
                <w:highlight w:val="none"/>
                <w:lang w:val="en-US" w:eastAsia="zh-CN"/>
              </w:rPr>
              <w:t>排放</w:t>
            </w:r>
            <w:r>
              <w:rPr>
                <w:rFonts w:hint="eastAsia" w:ascii="Times New Roman" w:hAnsi="Times New Roman" w:eastAsia="宋体" w:cs="Times New Roman"/>
                <w:color w:val="auto"/>
                <w:sz w:val="24"/>
                <w:szCs w:val="24"/>
                <w:lang w:val="en-US" w:eastAsia="zh-CN"/>
              </w:rPr>
              <w:t>。</w:t>
            </w:r>
          </w:p>
          <w:p w14:paraId="6E0A9209">
            <w:pPr>
              <w:pStyle w:val="158"/>
              <w:keepNext w:val="0"/>
              <w:keepLines w:val="0"/>
              <w:pageBreakBefore w:val="0"/>
              <w:kinsoku/>
              <w:wordWrap/>
              <w:overflowPunct/>
              <w:topLinePunct w:val="0"/>
              <w:bidi w:val="0"/>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未被收集的喷粉粉尘，受喷粉房拦截，部分在室内沉降，参考《未纳入排污许可管理行业适用的排污系数、物料衡算方法（试行）》中锯材加工业产排污系数表重力沉降法数据计算，木工粉尘重力沉降率约为85%，喷粉粉尘较轻，评价按70%沉降计。</w:t>
            </w:r>
          </w:p>
          <w:p w14:paraId="370A1342">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⑥喷粉固化废气</w:t>
            </w:r>
          </w:p>
          <w:p w14:paraId="0D5627F1">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lang w:val="en-US" w:eastAsia="zh-CN"/>
              </w:rPr>
              <w:t>项目工件喷粉后进行烘干固化，固化过程中会产生有机废气。根据建设单位提供的粉末涂料的挥发性有机化合物检测结果为</w:t>
            </w:r>
            <w:r>
              <w:rPr>
                <w:rFonts w:hint="eastAsia" w:ascii="Times New Roman" w:hAnsi="Times New Roman" w:eastAsia="宋体" w:cs="Times New Roman"/>
                <w:color w:val="auto"/>
                <w:sz w:val="24"/>
                <w:szCs w:val="24"/>
                <w:lang w:val="en-US" w:eastAsia="zh-CN"/>
              </w:rPr>
              <w:t>6g/L</w:t>
            </w:r>
            <w:r>
              <w:rPr>
                <w:rFonts w:hint="default" w:ascii="Times New Roman" w:hAnsi="Times New Roman" w:eastAsia="宋体" w:cs="Times New Roman"/>
                <w:color w:val="auto"/>
                <w:sz w:val="24"/>
                <w:szCs w:val="24"/>
                <w:lang w:val="en-US" w:eastAsia="zh-CN"/>
              </w:rPr>
              <w:t>（检测报告见附件</w:t>
            </w:r>
            <w:r>
              <w:rPr>
                <w:rFonts w:hint="eastAsia" w:ascii="Times New Roman"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w:t>
            </w:r>
            <w:r>
              <w:rPr>
                <w:rFonts w:hint="eastAsia" w:ascii="Times New Roman" w:cs="Times New Roman"/>
                <w:color w:val="auto"/>
                <w:sz w:val="24"/>
                <w:szCs w:val="24"/>
                <w:lang w:val="en-US" w:eastAsia="zh-CN"/>
              </w:rPr>
              <w:t>粉末涂料相对密度取1.5</w:t>
            </w:r>
            <w:r>
              <w:rPr>
                <w:rFonts w:hint="default" w:ascii="Times New Roman" w:hAnsi="Times New Roman" w:eastAsia="宋体" w:cs="Times New Roman"/>
                <w:color w:val="auto"/>
                <w:sz w:val="24"/>
                <w:szCs w:val="24"/>
                <w:lang w:val="en-US" w:eastAsia="zh-CN"/>
              </w:rPr>
              <w:t>，设计粉末涂料年用量为</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kern w:val="2"/>
                <w:sz w:val="24"/>
                <w:szCs w:val="24"/>
                <w:highlight w:val="none"/>
                <w:lang w:val="en-US" w:eastAsia="zh-CN" w:bidi="ar-SA"/>
              </w:rPr>
              <w:t>以涂料中VOC全部挥发计，</w:t>
            </w:r>
            <w:r>
              <w:rPr>
                <w:rFonts w:hint="default" w:ascii="Times New Roman" w:hAnsi="Times New Roman" w:eastAsia="宋体" w:cs="Times New Roman"/>
                <w:color w:val="auto"/>
                <w:sz w:val="24"/>
                <w:szCs w:val="24"/>
                <w:lang w:val="en-US" w:eastAsia="zh-CN"/>
              </w:rPr>
              <w:t>则</w:t>
            </w:r>
            <w:r>
              <w:rPr>
                <w:rFonts w:hint="eastAsia" w:ascii="Times New Roman" w:hAnsi="Times New Roman" w:eastAsia="宋体" w:cs="Times New Roman"/>
                <w:color w:val="auto"/>
                <w:kern w:val="2"/>
                <w:sz w:val="24"/>
                <w:szCs w:val="24"/>
                <w:highlight w:val="none"/>
                <w:lang w:val="en-US" w:eastAsia="zh-CN" w:bidi="ar-SA"/>
              </w:rPr>
              <w:t>VOC（</w:t>
            </w:r>
            <w:r>
              <w:rPr>
                <w:rFonts w:hint="default" w:ascii="Times New Roman" w:hAnsi="Times New Roman" w:eastAsia="宋体" w:cs="Times New Roman"/>
                <w:color w:val="auto"/>
                <w:kern w:val="2"/>
                <w:sz w:val="24"/>
                <w:szCs w:val="24"/>
                <w:highlight w:val="none"/>
                <w:lang w:val="en-US" w:eastAsia="zh-CN" w:bidi="ar-SA"/>
              </w:rPr>
              <w:t>以</w:t>
            </w:r>
            <w:r>
              <w:rPr>
                <w:rFonts w:hint="default" w:ascii="Times New Roman" w:hAnsi="Times New Roman" w:eastAsia="宋体" w:cs="Times New Roman"/>
                <w:color w:val="auto"/>
                <w:sz w:val="24"/>
                <w:szCs w:val="24"/>
                <w:lang w:val="en-US" w:eastAsia="zh-CN"/>
              </w:rPr>
              <w:t>非甲烷总烃计</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产生量为</w:t>
            </w:r>
            <w:r>
              <w:rPr>
                <w:rFonts w:hint="eastAsia" w:ascii="Times New Roman" w:cs="Times New Roman"/>
                <w:color w:val="auto"/>
                <w:sz w:val="24"/>
                <w:szCs w:val="24"/>
                <w:lang w:val="en-US" w:eastAsia="zh-CN"/>
              </w:rPr>
              <w:t>5*6/(1.5*1000)=</w:t>
            </w:r>
            <w:r>
              <w:rPr>
                <w:rFonts w:hint="default" w:ascii="Times New Roman" w:hAnsi="Times New Roman" w:eastAsia="宋体" w:cs="Times New Roman"/>
                <w:color w:val="auto"/>
                <w:sz w:val="24"/>
                <w:szCs w:val="24"/>
                <w:lang w:val="en-US" w:eastAsia="zh-CN"/>
              </w:rPr>
              <w:t>0.0</w:t>
            </w:r>
            <w:r>
              <w:rPr>
                <w:rFonts w:hint="eastAsia" w:asci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t/a。喷粉固化废气经集气罩收集后与</w:t>
            </w:r>
            <w:r>
              <w:rPr>
                <w:rFonts w:hint="eastAsia" w:ascii="Times New Roman" w:hAnsi="Times New Roman" w:eastAsia="宋体" w:cs="Times New Roman"/>
                <w:color w:val="auto"/>
                <w:sz w:val="24"/>
                <w:szCs w:val="24"/>
                <w:lang w:val="en-US" w:eastAsia="zh-CN"/>
              </w:rPr>
              <w:t>喷漆</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lang w:val="en-US" w:eastAsia="zh-CN"/>
              </w:rPr>
              <w:t>一同</w:t>
            </w:r>
            <w:r>
              <w:rPr>
                <w:rFonts w:hint="default" w:ascii="Times New Roman" w:hAnsi="Times New Roman" w:eastAsia="宋体" w:cs="Times New Roman"/>
                <w:color w:val="auto"/>
                <w:sz w:val="24"/>
                <w:szCs w:val="24"/>
                <w:highlight w:val="none"/>
                <w:lang w:val="en-US" w:eastAsia="zh-CN"/>
              </w:rPr>
              <w:t>采用“</w:t>
            </w:r>
            <w:r>
              <w:rPr>
                <w:rFonts w:hint="eastAsia" w:ascii="Times New Roman" w:cs="Times New Roman"/>
                <w:spacing w:val="0"/>
                <w:sz w:val="24"/>
                <w:szCs w:val="24"/>
                <w:highlight w:val="none"/>
                <w:lang w:val="en-US" w:eastAsia="zh-CN"/>
              </w:rPr>
              <w:t>喷淋塔+过滤棉+二级活性炭吸附</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spacing w:val="0"/>
                <w:sz w:val="24"/>
                <w:szCs w:val="24"/>
                <w:highlight w:val="none"/>
                <w:lang w:val="en-US" w:eastAsia="zh-CN"/>
              </w:rPr>
              <w:t>处理后，由1根15m高排气筒</w:t>
            </w:r>
            <w:r>
              <w:rPr>
                <w:rFonts w:hint="eastAsia" w:ascii="Times New Roman" w:cs="Times New Roman"/>
                <w:spacing w:val="0"/>
                <w:sz w:val="24"/>
                <w:szCs w:val="24"/>
                <w:highlight w:val="none"/>
                <w:lang w:val="en-US" w:eastAsia="zh-CN"/>
              </w:rPr>
              <w:t>（DA002）</w:t>
            </w:r>
            <w:r>
              <w:rPr>
                <w:rFonts w:hint="default" w:ascii="Times New Roman" w:hAnsi="Times New Roman" w:cs="Times New Roman"/>
                <w:spacing w:val="0"/>
                <w:sz w:val="24"/>
                <w:szCs w:val="24"/>
                <w:highlight w:val="none"/>
                <w:lang w:val="en-US" w:eastAsia="zh-CN"/>
              </w:rPr>
              <w:t>排放</w:t>
            </w:r>
            <w:r>
              <w:rPr>
                <w:rFonts w:hint="default" w:ascii="Times New Roman" w:hAnsi="Times New Roman" w:eastAsia="宋体" w:cs="Times New Roman"/>
                <w:color w:val="auto"/>
                <w:sz w:val="24"/>
                <w:szCs w:val="24"/>
                <w:lang w:val="en-US" w:eastAsia="zh-CN"/>
              </w:rPr>
              <w:t>，未能捕集到的VOC</w:t>
            </w:r>
            <w:r>
              <w:rPr>
                <w:rFonts w:hint="default" w:ascii="Times New Roman" w:hAnsi="Times New Roman" w:eastAsia="宋体" w:cs="Times New Roman"/>
                <w:color w:val="auto"/>
                <w:sz w:val="24"/>
                <w:szCs w:val="24"/>
                <w:vertAlign w:val="subscript"/>
                <w:lang w:val="en-US" w:eastAsia="zh-CN"/>
              </w:rPr>
              <w:t>S</w:t>
            </w:r>
            <w:r>
              <w:rPr>
                <w:rFonts w:hint="default" w:ascii="Times New Roman" w:hAnsi="Times New Roman" w:eastAsia="宋体" w:cs="Times New Roman"/>
                <w:color w:val="auto"/>
                <w:sz w:val="24"/>
                <w:szCs w:val="24"/>
                <w:lang w:val="en-US" w:eastAsia="zh-CN"/>
              </w:rPr>
              <w:t>在车间无组织排放。</w:t>
            </w:r>
          </w:p>
          <w:p w14:paraId="6F9889C9">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⑦</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喷粉、喷漆</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天然气燃烧废气</w:t>
            </w:r>
          </w:p>
          <w:p w14:paraId="585EE346">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烘道利用天然气为能源进行直接加热，在烘道进出口设置集气罩收集尾气（收集效率90%）。项目天然气燃烧产生的废气参照《排放源统计调查产排污核算方法和系数手册》</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2021</w:t>
            </w:r>
            <w:r>
              <w:rPr>
                <w:rFonts w:hint="eastAsia" w:asci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中“33金属制品业行业系数表-14涂装进行源强核算。项目天然气</w:t>
            </w:r>
            <w:r>
              <w:rPr>
                <w:rFonts w:hint="eastAsia" w:ascii="Times New Roman" w:cs="Times New Roman"/>
                <w:color w:val="auto"/>
                <w:kern w:val="2"/>
                <w:sz w:val="24"/>
                <w:szCs w:val="24"/>
                <w:highlight w:val="none"/>
                <w:lang w:val="en-US" w:eastAsia="zh-CN" w:bidi="ar-SA"/>
              </w:rPr>
              <w:t>固化炉</w:t>
            </w:r>
            <w:r>
              <w:rPr>
                <w:rFonts w:hint="eastAsia" w:ascii="Times New Roman" w:hAnsi="Times New Roman" w:eastAsia="宋体" w:cs="Times New Roman"/>
                <w:color w:val="auto"/>
                <w:kern w:val="2"/>
                <w:sz w:val="24"/>
                <w:szCs w:val="24"/>
                <w:highlight w:val="none"/>
                <w:lang w:val="en-US" w:eastAsia="zh-CN" w:bidi="ar-SA"/>
              </w:rPr>
              <w:t>采用低氮燃烧技术，低氮燃烧器通过分级燃烧和烟气再循环降低NOx产生。</w:t>
            </w:r>
          </w:p>
          <w:p w14:paraId="37AFA580">
            <w:pPr>
              <w:pStyle w:val="55"/>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天然气产污系数表见表4.2-2。</w:t>
            </w:r>
          </w:p>
          <w:p w14:paraId="207FAD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根据《排放源统计调查产排污核算方法和系数手册》中4430工业锅炉（热力供应）行业系数手册、HJ953-2018《排污许可证申请与核发技术规范锅炉》，天然气工业炉窑颗粒物产污系数为0.000286kg/m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-原料；二氧化硫产污系数为0.000002Skg/m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-原料；氮氧化物产污系数为0.001587kg/m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-原料。该项目使用喷粉、喷漆天然气量约为1万m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/a，收到基硫份S取最大值100。则</w:t>
            </w:r>
            <w:r>
              <w:rPr>
                <w:rFonts w:hint="eastAsia" w:ascii="Times New Roman" w:hAnsi="Times New Roman" w:eastAsia="宋体" w:cs="Times New Roman"/>
                <w:color w:val="auto"/>
                <w:kern w:val="2"/>
                <w:sz w:val="24"/>
                <w:szCs w:val="24"/>
                <w:highlight w:val="none"/>
                <w:lang w:val="en-US" w:eastAsia="zh-CN" w:bidi="ar-SA"/>
              </w:rPr>
              <w:t>喷粉、喷漆天然气</w:t>
            </w:r>
            <w:r>
              <w:rPr>
                <w:rFonts w:hint="eastAsia" w:cs="Times New Roman"/>
                <w:color w:val="auto"/>
                <w:kern w:val="2"/>
                <w:sz w:val="24"/>
                <w:szCs w:val="24"/>
                <w:highlight w:val="none"/>
                <w:lang w:val="en-US" w:eastAsia="zh-CN" w:bidi="ar-SA"/>
              </w:rPr>
              <w:t>固化炉</w:t>
            </w:r>
            <w:r>
              <w:rPr>
                <w:rFonts w:hint="eastAsia" w:ascii="Times New Roman" w:hAnsi="Times New Roman" w:eastAsia="宋体" w:cs="Times New Roman"/>
                <w:color w:val="auto"/>
                <w:sz w:val="24"/>
                <w:lang w:val="en-US" w:eastAsia="zh-CN"/>
              </w:rPr>
              <w:t>颗粒物产生量为2.86kg/a，二氧化硫产生量为2kg/a，氮氧化物产生量为18.7kg/a。天然气燃烧废气</w:t>
            </w:r>
            <w:r>
              <w:rPr>
                <w:rFonts w:hint="eastAsia" w:cs="Times New Roman"/>
                <w:color w:val="auto"/>
                <w:sz w:val="24"/>
                <w:lang w:val="en-US" w:eastAsia="zh-CN"/>
              </w:rPr>
              <w:t>通过</w:t>
            </w:r>
            <w:r>
              <w:rPr>
                <w:rFonts w:hint="eastAsia" w:ascii="Times New Roman" w:hAnsi="Times New Roman" w:eastAsia="宋体" w:cs="Times New Roman"/>
                <w:color w:val="auto"/>
                <w:sz w:val="24"/>
                <w:lang w:val="en-US" w:eastAsia="zh-CN"/>
              </w:rPr>
              <w:t>一根</w:t>
            </w:r>
            <w:r>
              <w:rPr>
                <w:rFonts w:hint="eastAsia" w:cs="Times New Roman"/>
                <w:color w:val="auto"/>
                <w:sz w:val="24"/>
                <w:lang w:val="en-US" w:eastAsia="zh-CN"/>
              </w:rPr>
              <w:t>15</w:t>
            </w:r>
            <w:r>
              <w:rPr>
                <w:rFonts w:hint="eastAsia" w:ascii="Times New Roman" w:hAnsi="Times New Roman" w:eastAsia="宋体" w:cs="Times New Roman"/>
                <w:color w:val="auto"/>
                <w:sz w:val="24"/>
                <w:lang w:val="en-US" w:eastAsia="zh-CN"/>
              </w:rPr>
              <w:t>m高排气筒</w:t>
            </w:r>
            <w:r>
              <w:rPr>
                <w:rFonts w:hint="eastAsia" w:cs="Times New Roman"/>
                <w:color w:val="auto"/>
                <w:sz w:val="24"/>
                <w:lang w:val="en-US" w:eastAsia="zh-CN"/>
              </w:rPr>
              <w:t>（DA003）</w:t>
            </w:r>
            <w:r>
              <w:rPr>
                <w:rFonts w:hint="eastAsia" w:ascii="Times New Roman" w:hAnsi="Times New Roman" w:eastAsia="宋体" w:cs="Times New Roman"/>
                <w:color w:val="auto"/>
                <w:sz w:val="24"/>
                <w:lang w:val="en-US" w:eastAsia="zh-CN"/>
              </w:rPr>
              <w:t>排放。</w:t>
            </w:r>
            <w:r>
              <w:rPr>
                <w:rFonts w:hint="eastAsia" w:ascii="Times New Roman" w:hAnsi="Times New Roman" w:eastAsia="宋体" w:cs="Times New Roman"/>
                <w:color w:val="auto"/>
                <w:kern w:val="2"/>
                <w:sz w:val="24"/>
                <w:szCs w:val="24"/>
                <w:highlight w:val="none"/>
                <w:lang w:val="en-US" w:eastAsia="zh-CN" w:bidi="ar-SA"/>
              </w:rPr>
              <w:t>喷粉、喷漆天然气</w:t>
            </w:r>
            <w:r>
              <w:rPr>
                <w:rFonts w:hint="eastAsia" w:cs="Times New Roman"/>
                <w:color w:val="auto"/>
                <w:kern w:val="2"/>
                <w:sz w:val="24"/>
                <w:szCs w:val="24"/>
                <w:highlight w:val="none"/>
                <w:lang w:val="en-US" w:eastAsia="zh-CN" w:bidi="ar-SA"/>
              </w:rPr>
              <w:t>固化炉</w:t>
            </w:r>
            <w:r>
              <w:rPr>
                <w:rFonts w:hint="eastAsia" w:ascii="Times New Roman" w:hAnsi="Times New Roman" w:eastAsia="宋体" w:cs="Times New Roman"/>
                <w:color w:val="auto"/>
                <w:sz w:val="24"/>
                <w:lang w:val="en-US" w:eastAsia="zh-CN"/>
              </w:rPr>
              <w:t>颗粒物有组织排放量为0.0026t/a，无组织排放量为0.0003t/a；二氧化硫有组织排放量为0.0018t/a，无组织排放量为0.0002t/a；氮氧化物有组织排放量为0.0168t/a，无组织排放量为0.0019t/a。</w:t>
            </w:r>
          </w:p>
          <w:p w14:paraId="0EA97D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⑧调漆废气、喷漆废气、喷漆固化废气</w:t>
            </w:r>
          </w:p>
          <w:p w14:paraId="10D7C1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A.漆雾</w:t>
            </w:r>
          </w:p>
          <w:p w14:paraId="31903D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项目所用到的喷漆涂料为水性环氧酯涂料，喷漆工序漆雾（颗粒物）产生量依据《污染源源强核算技术指南汽车制造》（HJ 1097-2020）附录E物料衡算法核算。水性漆年用量8t/a，固体分含量45%，参照附录E</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水性涂料-空气喷涂-零部件喷涂</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固体分附着率取40%，则：漆雾产生量=8×45%×(1-40%)=2.16t/a。</w:t>
            </w:r>
          </w:p>
          <w:p w14:paraId="6E0A7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项目采用水帘喷漆台处理漆雾，参照HJ 1097-2020附录F，湿式水帘净化效率取85%，集气罩收集效率90%，则颗粒物有组织排放量为0.292t/a，无组织排放0.216t/a。</w:t>
            </w:r>
          </w:p>
          <w:p w14:paraId="6531853D">
            <w:pPr>
              <w:pStyle w:val="53"/>
              <w:keepNext w:val="0"/>
              <w:keepLines w:val="0"/>
              <w:pageBreakBefore w:val="0"/>
              <w:kinsoku/>
              <w:wordWrap/>
              <w:overflowPunct/>
              <w:topLinePunct w:val="0"/>
              <w:bidi w:val="0"/>
              <w:snapToGrid/>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B.调漆废气</w:t>
            </w:r>
          </w:p>
          <w:p w14:paraId="5E3156EA">
            <w:pPr>
              <w:pStyle w:val="53"/>
              <w:keepNext w:val="0"/>
              <w:keepLines w:val="0"/>
              <w:pageBreakBefore w:val="0"/>
              <w:kinsoku/>
              <w:wordWrap/>
              <w:overflowPunct/>
              <w:topLinePunct w:val="0"/>
              <w:bidi w:val="0"/>
              <w:snapToGrid/>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本项目拟将调漆挥发的少量有机废气经集气系统收集后并入喷漆、固化等废气集中处理后排放，由于本项目调漆、喷漆、固化等废气全部统一收集后处理排放，因此，不单独计算调漆工序挥发量，要求喷漆房需要严格密闭，并经收集后处理排放，降低有机废气的无组织排放。</w:t>
            </w:r>
          </w:p>
          <w:p w14:paraId="074B31DC">
            <w:pPr>
              <w:pStyle w:val="53"/>
              <w:keepNext w:val="0"/>
              <w:keepLines w:val="0"/>
              <w:pageBreakBefore w:val="0"/>
              <w:kinsoku/>
              <w:wordWrap/>
              <w:overflowPunct/>
              <w:topLinePunct w:val="0"/>
              <w:bidi w:val="0"/>
              <w:snapToGrid/>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喷漆废气、喷漆固化废气</w:t>
            </w:r>
          </w:p>
          <w:p w14:paraId="0F0C73C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baseline"/>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shd w:val="clear"/>
                <w:lang w:val="en-US" w:eastAsia="zh-CN" w:bidi="ar-SA"/>
                <w14:textFill>
                  <w14:solidFill>
                    <w14:schemeClr w14:val="tx1"/>
                  </w14:solidFill>
                </w14:textFill>
              </w:rPr>
              <w:t>根据建设单位提供的资料及规划，项目拟设置1条喷漆线，喷漆后的工件</w:t>
            </w:r>
            <w:r>
              <w:rPr>
                <w:rFonts w:hint="default" w:ascii="Times New Roman" w:hAnsi="Times New Roman" w:eastAsia="宋体" w:cs="Times New Roman"/>
                <w:b w:val="0"/>
                <w:bCs w:val="0"/>
                <w:color w:val="auto"/>
                <w:kern w:val="2"/>
                <w:sz w:val="24"/>
                <w:szCs w:val="24"/>
                <w:highlight w:val="none"/>
                <w:lang w:val="en-US" w:eastAsia="zh-CN" w:bidi="ar-SA"/>
              </w:rPr>
              <w:t>固化，将液体漆固化成稳定的漆膜。</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由于本项目调漆、喷漆、固化全部统一收集后处理排放，因此，本评价不单独计算各工序挥发的有机废气量，直接统一核算。根据前文辅材料性质介绍，结合项目涂料使用情况，废气挥发情况详见下表。</w:t>
            </w:r>
          </w:p>
          <w:p w14:paraId="41DFE3F1">
            <w:pPr>
              <w:pStyle w:val="44"/>
              <w:keepNext/>
              <w:keepLines/>
              <w:pageBreakBefore w:val="0"/>
              <w:widowControl w:val="0"/>
              <w:numPr>
                <w:ilvl w:val="7"/>
                <w:numId w:val="15"/>
              </w:numPr>
              <w:tabs>
                <w:tab w:val="left" w:pos="0"/>
              </w:tabs>
              <w:kinsoku/>
              <w:wordWrap/>
              <w:overflowPunct/>
              <w:topLinePunct w:val="0"/>
              <w:autoSpaceDE/>
              <w:autoSpaceDN/>
              <w:bidi w:val="0"/>
              <w:adjustRightInd/>
              <w:snapToGrid/>
              <w:spacing w:before="120"/>
              <w:ind w:left="630" w:leftChars="0" w:firstLine="0"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喷漆、喷漆固化有机废气挥发情况一览表</w:t>
            </w:r>
          </w:p>
          <w:tbl>
            <w:tblPr>
              <w:tblStyle w:val="86"/>
              <w:tblW w:w="8785" w:type="dxa"/>
              <w:tblInd w:w="-62" w:type="dxa"/>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Layout w:type="autofit"/>
              <w:tblCellMar>
                <w:top w:w="0" w:type="dxa"/>
                <w:left w:w="0" w:type="dxa"/>
                <w:bottom w:w="0" w:type="dxa"/>
                <w:right w:w="0" w:type="dxa"/>
              </w:tblCellMar>
            </w:tblPr>
            <w:tblGrid>
              <w:gridCol w:w="2086"/>
              <w:gridCol w:w="1360"/>
              <w:gridCol w:w="2590"/>
              <w:gridCol w:w="2749"/>
            </w:tblGrid>
            <w:tr w14:paraId="20FC9F48">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567" w:hRule="atLeast"/>
              </w:trPr>
              <w:tc>
                <w:tcPr>
                  <w:tcW w:w="1187" w:type="pct"/>
                  <w:tcBorders>
                    <w:tl2br w:val="nil"/>
                    <w:tr2bl w:val="nil"/>
                  </w:tcBorders>
                  <w:vAlign w:val="center"/>
                </w:tcPr>
                <w:p w14:paraId="056CA012">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工序</w:t>
                  </w:r>
                </w:p>
              </w:tc>
              <w:tc>
                <w:tcPr>
                  <w:tcW w:w="774" w:type="pct"/>
                  <w:tcBorders>
                    <w:tl2br w:val="nil"/>
                    <w:tr2bl w:val="nil"/>
                  </w:tcBorders>
                  <w:vAlign w:val="center"/>
                </w:tcPr>
                <w:p w14:paraId="60451BC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污染物</w:t>
                  </w:r>
                </w:p>
              </w:tc>
              <w:tc>
                <w:tcPr>
                  <w:tcW w:w="1474" w:type="pct"/>
                  <w:tcBorders>
                    <w:tl2br w:val="nil"/>
                    <w:tr2bl w:val="nil"/>
                  </w:tcBorders>
                  <w:vAlign w:val="center"/>
                </w:tcPr>
                <w:p w14:paraId="44F51D9E">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color w:val="auto"/>
                      <w:highlight w:val="none"/>
                      <w:lang w:val="en-US" w:eastAsia="zh-CN"/>
                    </w:rPr>
                    <w:t>挥发比例</w:t>
                  </w:r>
                </w:p>
              </w:tc>
              <w:tc>
                <w:tcPr>
                  <w:tcW w:w="1564" w:type="pct"/>
                  <w:tcBorders>
                    <w:tl2br w:val="nil"/>
                    <w:tr2bl w:val="nil"/>
                  </w:tcBorders>
                  <w:vAlign w:val="center"/>
                </w:tcPr>
                <w:p w14:paraId="51C099F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产生量（t/a）</w:t>
                  </w:r>
                </w:p>
              </w:tc>
            </w:tr>
            <w:tr w14:paraId="68A2D395">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567" w:hRule="atLeast"/>
              </w:trPr>
              <w:tc>
                <w:tcPr>
                  <w:tcW w:w="1187" w:type="pct"/>
                  <w:tcBorders>
                    <w:bottom w:val="single" w:color="000000" w:sz="4" w:space="0"/>
                  </w:tcBorders>
                  <w:vAlign w:val="center"/>
                </w:tcPr>
                <w:p w14:paraId="6A1DF77C">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喷漆</w:t>
                  </w:r>
                </w:p>
              </w:tc>
              <w:tc>
                <w:tcPr>
                  <w:tcW w:w="774" w:type="pct"/>
                  <w:tcBorders>
                    <w:bottom w:val="single" w:color="000000" w:sz="4" w:space="0"/>
                  </w:tcBorders>
                  <w:vAlign w:val="center"/>
                </w:tcPr>
                <w:p w14:paraId="60691FAF">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非甲烷总烃</w:t>
                  </w:r>
                </w:p>
              </w:tc>
              <w:tc>
                <w:tcPr>
                  <w:tcW w:w="1474" w:type="pct"/>
                  <w:tcBorders>
                    <w:bottom w:val="single" w:color="000000" w:sz="4" w:space="0"/>
                  </w:tcBorders>
                  <w:vAlign w:val="center"/>
                </w:tcPr>
                <w:p w14:paraId="2DF376A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80%</w:t>
                  </w:r>
                </w:p>
              </w:tc>
              <w:tc>
                <w:tcPr>
                  <w:tcW w:w="1564" w:type="pct"/>
                  <w:tcBorders>
                    <w:bottom w:val="single" w:color="000000" w:sz="4" w:space="0"/>
                  </w:tcBorders>
                  <w:vAlign w:val="center"/>
                </w:tcPr>
                <w:p w14:paraId="5C61C517">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1.408</w:t>
                  </w:r>
                </w:p>
              </w:tc>
            </w:tr>
            <w:tr w14:paraId="0F55450B">
              <w:tblPrEx>
                <w:tblBorders>
                  <w:top w:val="single" w:color="000000" w:sz="12" w:space="0"/>
                  <w:left w:val="none" w:color="auto" w:sz="0" w:space="0"/>
                  <w:bottom w:val="single" w:color="000000" w:sz="12" w:space="0"/>
                  <w:right w:val="none" w:color="auto" w:sz="0" w:space="0"/>
                  <w:insideH w:val="single" w:color="000000" w:sz="12" w:space="0"/>
                  <w:insideV w:val="single" w:color="000000" w:sz="2" w:space="0"/>
                </w:tblBorders>
                <w:tblCellMar>
                  <w:top w:w="0" w:type="dxa"/>
                  <w:left w:w="0" w:type="dxa"/>
                  <w:bottom w:w="0" w:type="dxa"/>
                  <w:right w:w="0" w:type="dxa"/>
                </w:tblCellMar>
              </w:tblPrEx>
              <w:trPr>
                <w:trHeight w:val="567" w:hRule="atLeast"/>
              </w:trPr>
              <w:tc>
                <w:tcPr>
                  <w:tcW w:w="1187" w:type="pct"/>
                  <w:tcBorders>
                    <w:top w:val="single" w:color="000000" w:sz="4" w:space="0"/>
                    <w:tl2br w:val="nil"/>
                    <w:tr2bl w:val="nil"/>
                  </w:tcBorders>
                  <w:vAlign w:val="center"/>
                </w:tcPr>
                <w:p w14:paraId="4DA1D83D">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烘干固化（含热流平）</w:t>
                  </w:r>
                </w:p>
              </w:tc>
              <w:tc>
                <w:tcPr>
                  <w:tcW w:w="774" w:type="pct"/>
                  <w:tcBorders>
                    <w:top w:val="single" w:color="000000" w:sz="4" w:space="0"/>
                    <w:tl2br w:val="nil"/>
                    <w:tr2bl w:val="nil"/>
                  </w:tcBorders>
                  <w:vAlign w:val="center"/>
                </w:tcPr>
                <w:p w14:paraId="26627EE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非甲烷总烃</w:t>
                  </w:r>
                </w:p>
              </w:tc>
              <w:tc>
                <w:tcPr>
                  <w:tcW w:w="1474" w:type="pct"/>
                  <w:tcBorders>
                    <w:top w:val="single" w:color="000000" w:sz="4" w:space="0"/>
                    <w:tl2br w:val="nil"/>
                    <w:tr2bl w:val="nil"/>
                  </w:tcBorders>
                  <w:vAlign w:val="center"/>
                </w:tcPr>
                <w:p w14:paraId="37A02B26">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20%</w:t>
                  </w:r>
                </w:p>
              </w:tc>
              <w:tc>
                <w:tcPr>
                  <w:tcW w:w="1564" w:type="pct"/>
                  <w:tcBorders>
                    <w:top w:val="single" w:color="000000" w:sz="4" w:space="0"/>
                    <w:tl2br w:val="nil"/>
                    <w:tr2bl w:val="nil"/>
                  </w:tcBorders>
                  <w:vAlign w:val="center"/>
                </w:tcPr>
                <w:p w14:paraId="1C855008">
                  <w:pPr>
                    <w:pStyle w:val="97"/>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0.352</w:t>
                  </w:r>
                </w:p>
              </w:tc>
            </w:tr>
          </w:tbl>
          <w:p w14:paraId="28F12B22">
            <w:pPr>
              <w:rPr>
                <w:rFonts w:hint="default"/>
                <w:lang w:val="en-US" w:eastAsia="zh-CN"/>
              </w:rPr>
            </w:pPr>
          </w:p>
          <w:p w14:paraId="4FE42BD3">
            <w:pPr>
              <w:pStyle w:val="53"/>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项目拟设置密闭的调漆房、喷漆房、固化房；调漆房在调漆过程中、喷漆房在喷漆固化过程中均维持在负压密闭状态，集气效率取90%，调漆、喷漆、固化等工序产生有机废气经密闭负压收集后采用喷淋塔+过滤棉+二级活性炭吸附装置净化后合并引至1根15m高排气筒排放（DA002），少量未经收集的直接以无组织形式排放。</w:t>
            </w:r>
          </w:p>
          <w:p w14:paraId="048425D5">
            <w:pPr>
              <w:pStyle w:val="53"/>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根据生态环境部发布《关于印发〈主要污染物总量减排核算技术指南（2022年修订）〉的通知》〔2022〕350号中规定，一次性活性炭的吸附效率50%。采用二级活性炭吸附效率为1-（1-50%）×（1-50%）=75%。因此本项目活性炭处理效率以75%计。则非甲烷总烃有组织排放量为0.396t/a，无组织排放0.0176t/a。</w:t>
            </w:r>
          </w:p>
          <w:p w14:paraId="5D3D4F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（2）防治措施</w:t>
            </w:r>
          </w:p>
          <w:p w14:paraId="4E67DB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lang w:val="en-US" w:eastAsia="zh-CN"/>
              </w:rPr>
              <w:t>根据项目设计方案，</w:t>
            </w:r>
            <w:r>
              <w:rPr>
                <w:rFonts w:hint="eastAsia" w:ascii="Times New Roman" w:hAnsi="Times New Roman" w:eastAsia="宋体" w:cs="Times New Roman"/>
                <w:color w:val="auto"/>
                <w:kern w:val="2"/>
                <w:sz w:val="24"/>
                <w:szCs w:val="24"/>
                <w:highlight w:val="none"/>
                <w:lang w:val="en-US" w:eastAsia="zh-CN" w:bidi="ar-SA"/>
              </w:rPr>
              <w:t>针对本项目产生的废气，采取以下防治措施：</w:t>
            </w:r>
          </w:p>
          <w:p w14:paraId="4B9BE5DD">
            <w:pPr>
              <w:pStyle w:val="55"/>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①电泳废气、</w:t>
            </w:r>
            <w:r>
              <w:rPr>
                <w:rFonts w:hint="eastAsia" w:ascii="Times New Roman" w:cs="Times New Roman"/>
                <w:color w:val="auto"/>
                <w:kern w:val="2"/>
                <w:sz w:val="24"/>
                <w:szCs w:val="24"/>
                <w:highlight w:val="none"/>
                <w:lang w:val="en-US" w:eastAsia="zh-CN" w:bidi="ar-SA"/>
              </w:rPr>
              <w:t>电泳</w:t>
            </w:r>
            <w:r>
              <w:rPr>
                <w:rFonts w:hint="eastAsia" w:ascii="Times New Roman" w:hAnsi="Times New Roman" w:eastAsia="宋体" w:cs="Times New Roman"/>
                <w:color w:val="auto"/>
                <w:kern w:val="2"/>
                <w:sz w:val="24"/>
                <w:szCs w:val="24"/>
                <w:highlight w:val="none"/>
                <w:lang w:val="en-US" w:eastAsia="zh-CN" w:bidi="ar-SA"/>
              </w:rPr>
              <w:t>固化废气、（电泳）天然气燃烧废气</w:t>
            </w:r>
          </w:p>
          <w:p w14:paraId="116C009A">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本项目电泳废气、</w:t>
            </w:r>
            <w:r>
              <w:rPr>
                <w:rFonts w:hint="eastAsia" w:ascii="Times New Roman" w:cs="Times New Roman"/>
                <w:color w:val="auto"/>
                <w:kern w:val="2"/>
                <w:sz w:val="24"/>
                <w:szCs w:val="24"/>
                <w:highlight w:val="none"/>
                <w:lang w:val="en-US" w:eastAsia="zh-CN" w:bidi="ar-SA"/>
              </w:rPr>
              <w:t>电泳</w:t>
            </w:r>
            <w:r>
              <w:rPr>
                <w:rFonts w:hint="eastAsia" w:ascii="Times New Roman" w:hAnsi="Times New Roman" w:eastAsia="宋体" w:cs="Times New Roman"/>
                <w:color w:val="auto"/>
                <w:kern w:val="2"/>
                <w:sz w:val="24"/>
                <w:szCs w:val="24"/>
                <w:highlight w:val="none"/>
                <w:lang w:val="en-US" w:eastAsia="zh-CN" w:bidi="ar-SA"/>
              </w:rPr>
              <w:t>固化废气、（电泳）天然气燃烧废气</w:t>
            </w:r>
            <w:r>
              <w:rPr>
                <w:rFonts w:hint="eastAsia" w:ascii="Times New Roman" w:cs="Times New Roman"/>
                <w:color w:val="auto"/>
                <w:kern w:val="2"/>
                <w:sz w:val="24"/>
                <w:szCs w:val="24"/>
                <w:highlight w:val="none"/>
                <w:lang w:val="en-US" w:eastAsia="zh-CN" w:bidi="ar-SA"/>
              </w:rPr>
              <w:t>经</w:t>
            </w:r>
            <w:r>
              <w:rPr>
                <w:rFonts w:hint="eastAsia" w:ascii="Times New Roman" w:hAnsi="Times New Roman" w:eastAsia="宋体" w:cs="Times New Roman"/>
                <w:color w:val="auto"/>
                <w:kern w:val="2"/>
                <w:sz w:val="24"/>
                <w:szCs w:val="24"/>
                <w:highlight w:val="none"/>
                <w:lang w:val="en-US" w:eastAsia="zh-CN" w:bidi="ar-SA"/>
              </w:rPr>
              <w:t>收集后，经</w:t>
            </w:r>
            <w:r>
              <w:rPr>
                <w:rFonts w:hint="eastAsia" w:ascii="Times New Roman" w:cs="Times New Roman"/>
                <w:color w:val="auto"/>
                <w:kern w:val="2"/>
                <w:sz w:val="24"/>
                <w:szCs w:val="24"/>
                <w:highlight w:val="none"/>
                <w:lang w:val="en-US" w:eastAsia="zh-CN" w:bidi="ar-SA"/>
              </w:rPr>
              <w:t>喷淋塔+过滤棉+二级活性炭吸附</w:t>
            </w:r>
            <w:r>
              <w:rPr>
                <w:rFonts w:hint="eastAsia" w:ascii="Times New Roman" w:hAnsi="Times New Roman" w:eastAsia="宋体" w:cs="Times New Roman"/>
                <w:color w:val="auto"/>
                <w:kern w:val="2"/>
                <w:sz w:val="24"/>
                <w:szCs w:val="24"/>
                <w:highlight w:val="none"/>
                <w:lang w:val="en-US" w:eastAsia="zh-CN" w:bidi="ar-SA"/>
              </w:rPr>
              <w:t>净化处理后，通过DA001排气筒排放（高度</w:t>
            </w:r>
            <w:r>
              <w:rPr>
                <w:rFonts w:hint="eastAsia" w:ascii="Times New Roman"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），风机风量为10000m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w:t>
            </w:r>
            <w:r>
              <w:rPr>
                <w:rFonts w:hint="eastAsia" w:ascii="Times New Roman" w:cs="Times New Roman"/>
                <w:color w:val="auto"/>
                <w:kern w:val="2"/>
                <w:sz w:val="24"/>
                <w:szCs w:val="24"/>
                <w:highlight w:val="none"/>
                <w:lang w:val="en-US" w:eastAsia="zh-CN" w:bidi="ar-SA"/>
              </w:rPr>
              <w:t>电泳</w:t>
            </w:r>
            <w:r>
              <w:rPr>
                <w:rFonts w:hint="eastAsia" w:ascii="Times New Roman" w:hAnsi="Times New Roman" w:eastAsia="宋体" w:cs="Times New Roman"/>
                <w:color w:val="auto"/>
                <w:kern w:val="2"/>
                <w:sz w:val="24"/>
                <w:szCs w:val="24"/>
                <w:highlight w:val="none"/>
                <w:lang w:val="en-US" w:eastAsia="zh-CN" w:bidi="ar-SA"/>
              </w:rPr>
              <w:t>天然气</w:t>
            </w:r>
            <w:r>
              <w:rPr>
                <w:rFonts w:hint="eastAsia" w:ascii="Times New Roman" w:hAnsi="Times New Roman" w:cs="Times New Roman"/>
                <w:color w:val="auto"/>
                <w:kern w:val="2"/>
                <w:sz w:val="24"/>
                <w:szCs w:val="24"/>
                <w:highlight w:val="none"/>
                <w:lang w:val="en-US" w:eastAsia="zh-CN" w:bidi="ar-SA"/>
              </w:rPr>
              <w:t>热水炉、</w:t>
            </w:r>
            <w:r>
              <w:rPr>
                <w:rFonts w:hint="eastAsia" w:ascii="Times New Roman" w:cs="Times New Roman"/>
                <w:color w:val="auto"/>
                <w:kern w:val="2"/>
                <w:sz w:val="24"/>
                <w:szCs w:val="24"/>
                <w:highlight w:val="none"/>
                <w:lang w:val="en-US" w:eastAsia="zh-CN" w:bidi="ar-SA"/>
              </w:rPr>
              <w:t>固化炉</w:t>
            </w:r>
            <w:r>
              <w:rPr>
                <w:rFonts w:hint="eastAsia" w:ascii="Times New Roman" w:hAnsi="Times New Roman" w:eastAsia="宋体" w:cs="Times New Roman"/>
                <w:color w:val="auto"/>
                <w:kern w:val="2"/>
                <w:sz w:val="24"/>
                <w:szCs w:val="24"/>
                <w:highlight w:val="none"/>
                <w:lang w:val="en-US" w:eastAsia="zh-CN" w:bidi="ar-SA"/>
              </w:rPr>
              <w:t>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烧废气与烘干固化废气一起经</w:t>
            </w:r>
            <w:r>
              <w:rPr>
                <w:rFonts w:hint="eastAsia" w:ascii="Times New Roman" w:hAnsi="Times New Roman" w:cs="Times New Roman"/>
                <w:color w:val="000000" w:themeColor="text1"/>
                <w:highlight w:val="none"/>
                <w:lang w:val="en-US" w:eastAsia="zh-CN"/>
                <w14:textFill>
                  <w14:solidFill>
                    <w14:schemeClr w14:val="tx1"/>
                  </w14:solidFill>
                </w14:textFill>
              </w:rPr>
              <w:t>喷淋塔+过滤棉+二级活性炭吸附</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装置进行处理后达标排放。</w:t>
            </w:r>
          </w:p>
          <w:p w14:paraId="39077C09">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密闭电泳槽风量：根据《</w:t>
            </w:r>
            <w:r>
              <w:rPr>
                <w:rFonts w:hint="eastAsia" w:ascii="Times New Roman" w:hAnsi="Times New Roman" w:cs="Times New Roman"/>
                <w:color w:val="000000" w:themeColor="text1"/>
                <w:highlight w:val="none"/>
                <w:lang w:val="en-US" w:eastAsia="zh-CN"/>
                <w14:textFill>
                  <w14:solidFill>
                    <w14:schemeClr w14:val="tx1"/>
                  </w14:solidFill>
                </w14:textFill>
              </w:rPr>
              <w:t>涂装作业安全规程 涂漆工艺安全及其通风</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GB 6514-2023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）及《涂装车间设计手册》，密闭槽排风主要针对开口部位防止废气外逸。电泳槽（12m×1.5m）设有工件进出口（悬挂输送线通过，开口面积约1.5m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）及检修观察口（面积约0.5m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），总开口面积2.0 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，按断面风速0.5m/s（不小于0.3m/s）计算，则风量为3600×2.0×0.5=3600m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w:t>
            </w:r>
          </w:p>
          <w:p w14:paraId="002A7036">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电泳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固化炉风量：天然气</w:t>
            </w:r>
            <w:r>
              <w:rPr>
                <w:rFonts w:hint="eastAsia" w:ascii="Times New Roman" w:hAnsi="Times New Roman" w:cs="Times New Roman"/>
                <w:color w:val="000000" w:themeColor="text1"/>
                <w:highlight w:val="none"/>
                <w:lang w:val="en-US" w:eastAsia="zh-CN"/>
                <w14:textFill>
                  <w14:solidFill>
                    <w14:schemeClr w14:val="tx1"/>
                  </w14:solidFill>
                </w14:textFill>
              </w:rPr>
              <w:t>固化炉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m×3m×3m）为隧道式结构，按《涂装车间设计手册》换气次数法，炉膛容积</w:t>
            </w:r>
            <w:r>
              <w:rPr>
                <w:rFonts w:hint="eastAsia" w:ascii="Times New Roman" w:hAnsi="Times New Roman" w:cs="Times New Roman"/>
                <w:color w:val="000000" w:themeColor="text1"/>
                <w:highlight w:val="none"/>
                <w:lang w:val="en-US" w:eastAsia="zh-CN"/>
                <w14:textFill>
                  <w14:solidFill>
                    <w14:schemeClr w14:val="tx1"/>
                  </w14:solidFill>
                </w14:textFill>
              </w:rPr>
              <w:t>270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，换气次数10</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12次/h，温度修正后取</w:t>
            </w:r>
            <w:r>
              <w:rPr>
                <w:rFonts w:hint="eastAsia" w:ascii="Times New Roman" w:hAnsi="Times New Roman" w:cs="Times New Roman"/>
                <w:color w:val="000000" w:themeColor="text1"/>
                <w:highlight w:val="none"/>
                <w:lang w:val="en-US" w:eastAsia="zh-CN"/>
                <w14:textFill>
                  <w14:solidFill>
                    <w14:schemeClr w14:val="tx1"/>
                  </w14:solidFill>
                </w14:textFill>
              </w:rPr>
              <w:t>3240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/h（含热风循环排放口）。</w:t>
            </w:r>
          </w:p>
          <w:p w14:paraId="33681A36">
            <w:pPr>
              <w:pStyle w:val="53"/>
              <w:spacing w:line="360" w:lineRule="auto"/>
              <w:ind w:firstLine="480" w:firstLineChars="200"/>
              <w:jc w:val="both"/>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电泳热水炉风量：天然气热水炉（22.5m</w:t>
            </w:r>
            <w:r>
              <w:rPr>
                <w:rFonts w:hint="eastAsia" w:ascii="Times New Roman" w:hAnsi="Times New Roman" w:eastAsia="宋体" w:cs="Times New Roman"/>
                <w:color w:val="auto"/>
                <w:highlight w:val="none"/>
                <w:lang w:val="en-US" w:eastAsia="zh-CN"/>
              </w:rPr>
              <w:t>×3m×3m）为隧道式结构，按《涂装车间设计手册》换气次数法，炉膛容积</w:t>
            </w:r>
            <w:r>
              <w:rPr>
                <w:rFonts w:hint="eastAsia" w:ascii="Times New Roman" w:hAnsi="Times New Roman" w:cs="Times New Roman"/>
                <w:color w:val="auto"/>
                <w:highlight w:val="none"/>
                <w:lang w:val="en-US" w:eastAsia="zh-CN"/>
              </w:rPr>
              <w:t>202.5</w:t>
            </w:r>
            <w:r>
              <w:rPr>
                <w:rFonts w:hint="eastAsia" w:ascii="Times New Roman" w:hAnsi="Times New Roman" w:eastAsia="宋体"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，换气次数10</w:t>
            </w:r>
            <w:r>
              <w:rPr>
                <w:rFonts w:hint="eastAsia" w:ascii="Times New Roman" w:hAns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12次/h，温度修正后取</w:t>
            </w:r>
            <w:r>
              <w:rPr>
                <w:rFonts w:hint="eastAsia" w:ascii="Times New Roman" w:hAnsi="Times New Roman"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000m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/h（含热风循环排放口）。</w:t>
            </w:r>
          </w:p>
          <w:p w14:paraId="2CD0A98A">
            <w:pPr>
              <w:pStyle w:val="53"/>
              <w:spacing w:line="360" w:lineRule="auto"/>
              <w:ind w:firstLine="480" w:firstLineChars="200"/>
              <w:jc w:val="both"/>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即</w:t>
            </w:r>
            <w:r>
              <w:rPr>
                <w:rFonts w:hint="eastAsia" w:ascii="Times New Roman" w:hAnsi="Times New Roman" w:eastAsia="宋体" w:cs="Times New Roman"/>
                <w:color w:val="auto"/>
                <w:kern w:val="2"/>
                <w:sz w:val="24"/>
                <w:szCs w:val="24"/>
                <w:highlight w:val="none"/>
                <w:lang w:val="en-US" w:eastAsia="zh-CN" w:bidi="ar-SA"/>
              </w:rPr>
              <w:t>电泳废气、固化废气、天然气燃烧废气</w:t>
            </w:r>
            <w:r>
              <w:rPr>
                <w:rFonts w:hint="eastAsia" w:ascii="Times New Roman" w:hAnsi="Times New Roman" w:cs="Times New Roman"/>
                <w:color w:val="auto"/>
                <w:kern w:val="2"/>
                <w:sz w:val="24"/>
                <w:szCs w:val="24"/>
                <w:highlight w:val="none"/>
                <w:lang w:val="en-US" w:eastAsia="zh-CN" w:bidi="ar-SA"/>
              </w:rPr>
              <w:t>（</w:t>
            </w:r>
            <w:r>
              <w:rPr>
                <w:rFonts w:hint="eastAsia" w:ascii="Times New Roman" w:cs="Times New Roman"/>
                <w:color w:val="auto"/>
                <w:kern w:val="2"/>
                <w:sz w:val="24"/>
                <w:szCs w:val="24"/>
                <w:highlight w:val="none"/>
                <w:lang w:val="en-US" w:eastAsia="zh-CN" w:bidi="ar-SA"/>
              </w:rPr>
              <w:t>电泳）</w:t>
            </w:r>
            <w:r>
              <w:rPr>
                <w:rFonts w:hint="eastAsia" w:ascii="Times New Roman" w:hAnsi="Times New Roman" w:eastAsia="宋体" w:cs="Times New Roman"/>
                <w:color w:val="auto"/>
                <w:highlight w:val="none"/>
                <w:lang w:val="en-US" w:eastAsia="zh-CN"/>
              </w:rPr>
              <w:t>系统总风量按1</w:t>
            </w:r>
            <w:r>
              <w:rPr>
                <w:rFonts w:hint="eastAsia" w:ascii="Times New Roman" w:hAnsi="Times New Roman"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000m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/h</w:t>
            </w:r>
            <w:r>
              <w:rPr>
                <w:rFonts w:hint="eastAsia" w:ascii="Times New Roman" w:hAnsi="Times New Roman" w:cs="Times New Roman"/>
                <w:color w:val="auto"/>
                <w:highlight w:val="none"/>
                <w:lang w:val="en-US" w:eastAsia="zh-CN"/>
              </w:rPr>
              <w:t>。</w:t>
            </w:r>
          </w:p>
          <w:p w14:paraId="614A97E0">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②焊接废气</w:t>
            </w:r>
          </w:p>
          <w:p w14:paraId="6244BF9B">
            <w:pPr>
              <w:pStyle w:val="53"/>
              <w:spacing w:line="360" w:lineRule="auto"/>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本项目焊接工位产生的焊接烟尘经集气罩收集后，经布袋除尘器（</w:t>
            </w:r>
            <w:r>
              <w:rPr>
                <w:rFonts w:hint="eastAsia" w:ascii="Times New Roman" w:hAnsi="Times New Roman" w:cs="Times New Roman"/>
                <w:color w:val="000000" w:themeColor="text1"/>
                <w:highlight w:val="none"/>
                <w:lang w:val="en-US" w:eastAsia="zh-CN"/>
                <w14:textFill>
                  <w14:solidFill>
                    <w14:schemeClr w14:val="tx1"/>
                  </w14:solidFill>
                </w14:textFill>
              </w:rPr>
              <w:t>本次评价保守取值，则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处理效率为95%）处理后由一根</w:t>
            </w:r>
            <w:r>
              <w:rPr>
                <w:rFonts w:hint="eastAsia" w:ascii="Times New Roman" w:hAnsi="Times New Roman" w:cs="Times New Roman"/>
                <w:color w:val="000000" w:themeColor="text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m高排气筒（DA002）高空排放，风机风量为</w:t>
            </w:r>
            <w:r>
              <w:rPr>
                <w:rFonts w:hint="eastAsia" w:ascii="Times New Roman" w:hAnsi="Times New Roman" w:cs="Times New Roman"/>
                <w:color w:val="000000" w:themeColor="text1"/>
                <w:highlight w:val="none"/>
                <w:lang w:val="en-US" w:eastAsia="zh-CN"/>
                <w14:textFill>
                  <w14:solidFill>
                    <w14:schemeClr w14:val="tx1"/>
                  </w14:solidFill>
                </w14:textFill>
              </w:rPr>
              <w:t>10000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/h。</w:t>
            </w:r>
          </w:p>
          <w:p w14:paraId="59604496">
            <w:pPr>
              <w:pStyle w:val="55"/>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本项目焊接烟尘收集系统风量根据《排风罩的分类及技术条件》（GB/T</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16758-2008）及《除尘工程设计手册》计算。10个焊接工位按实际生产</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频率</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，最大同时工作工位数为4个（同时工作系数0.4）；采用</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集气罩</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（罩口尺寸0.5m×0.5m，面积F=0.25m²，距焊点X=0.25m），控制风速V₀取0.8m/s，安全系数K=1.1，单工位风量为：</w:t>
            </w:r>
          </w:p>
          <w:p w14:paraId="753830C5">
            <w:pPr>
              <w:pStyle w:val="55"/>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Q=3600×(5×0.252+0.25)×0.8×1.1=1782m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/h≈1800m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w:t>
            </w:r>
          </w:p>
          <w:p w14:paraId="48BB9049">
            <w:pPr>
              <w:pStyle w:val="55"/>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系统计算风量1800×4=7200m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/h，考虑管道漏风10%后，确定风机风量为10</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/h</w:t>
            </w:r>
          </w:p>
          <w:p w14:paraId="1D3480FA">
            <w:pPr>
              <w:pStyle w:val="53"/>
              <w:spacing w:line="360" w:lineRule="auto"/>
              <w:ind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③</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喷粉废气</w:t>
            </w:r>
          </w:p>
          <w:p w14:paraId="5603841E">
            <w:pPr>
              <w:pStyle w:val="158"/>
              <w:ind w:firstLine="48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本项目喷粉工序产生的颗粒物经过收集后，由滤芯除尘系统（二次粉尘过滤装置）收集后送回供粉系统循环使用，尾气</w:t>
            </w:r>
            <w:r>
              <w:rPr>
                <w:rFonts w:hint="default" w:ascii="Times New Roman" w:hAnsi="Times New Roman" w:eastAsia="宋体" w:cs="Times New Roman"/>
                <w:color w:val="auto"/>
                <w:kern w:val="2"/>
                <w:sz w:val="24"/>
                <w:szCs w:val="24"/>
                <w:highlight w:val="none"/>
                <w:lang w:val="en-US" w:eastAsia="zh-CN" w:bidi="ar-SA"/>
              </w:rPr>
              <w:t>由1根15m高排气筒</w:t>
            </w:r>
            <w:r>
              <w:rPr>
                <w:rFonts w:hint="eastAsia" w:ascii="Times New Roman" w:hAnsi="Times New Roman" w:eastAsia="宋体" w:cs="Times New Roman"/>
                <w:color w:val="auto"/>
                <w:kern w:val="2"/>
                <w:sz w:val="24"/>
                <w:szCs w:val="24"/>
                <w:highlight w:val="none"/>
                <w:lang w:val="en-US" w:eastAsia="zh-CN" w:bidi="ar-SA"/>
              </w:rPr>
              <w:t>（DA00</w:t>
            </w:r>
            <w:r>
              <w:rPr>
                <w:rFonts w:hint="eastAsia" w:ascii="Times New Roman" w:hAnsi="Times New Roman"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排放</w:t>
            </w:r>
            <w:r>
              <w:rPr>
                <w:rFonts w:hint="eastAsia" w:ascii="Times New Roman" w:hAnsi="Times New Roman" w:eastAsia="宋体" w:cs="Times New Roman"/>
                <w:color w:val="auto"/>
                <w:kern w:val="2"/>
                <w:sz w:val="24"/>
                <w:szCs w:val="24"/>
                <w:highlight w:val="none"/>
                <w:lang w:val="en-US" w:eastAsia="zh-CN" w:bidi="ar-SA"/>
              </w:rPr>
              <w:t>。风机为</w:t>
            </w:r>
            <w:r>
              <w:rPr>
                <w:rFonts w:hint="eastAsia" w:ascii="Times New Roman" w:hAnsi="Times New Roman" w:cs="Times New Roman"/>
                <w:color w:val="auto"/>
                <w:kern w:val="2"/>
                <w:sz w:val="24"/>
                <w:szCs w:val="24"/>
                <w:highlight w:val="none"/>
                <w:lang w:val="en-US" w:eastAsia="zh-CN" w:bidi="ar-SA"/>
              </w:rPr>
              <w:t>6000</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w:t>
            </w:r>
          </w:p>
          <w:p w14:paraId="0C6F827E">
            <w:pPr>
              <w:pStyle w:val="53"/>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本项目喷粉工序风机风量依据《涂装作业安全规程粉末静电喷涂工艺安全》（</w:t>
            </w:r>
            <w:r>
              <w:rPr>
                <w:rFonts w:hint="eastAsia" w:ascii="Times New Roman" w:hAnsi="Times New Roman" w:cs="Times New Roman"/>
                <w:color w:val="auto"/>
                <w:kern w:val="2"/>
                <w:sz w:val="24"/>
                <w:szCs w:val="24"/>
                <w:highlight w:val="none"/>
                <w:lang w:val="en-US" w:eastAsia="zh-CN" w:bidi="ar-SA"/>
              </w:rPr>
              <w:t>GB 15607-2023</w:t>
            </w:r>
            <w:r>
              <w:rPr>
                <w:rFonts w:hint="default" w:ascii="Times New Roman" w:hAnsi="Times New Roman" w:eastAsia="宋体" w:cs="Times New Roman"/>
                <w:color w:val="auto"/>
                <w:kern w:val="2"/>
                <w:sz w:val="24"/>
                <w:szCs w:val="24"/>
                <w:highlight w:val="none"/>
                <w:lang w:val="en-US" w:eastAsia="zh-CN" w:bidi="ar-SA"/>
              </w:rPr>
              <w:t>）第6.2条及附录B，采用断面风速法计算以防止粉尘外逸。计算公式为</w:t>
            </w:r>
            <w:r>
              <w:rPr>
                <w:rFonts w:hint="eastAsia" w:ascii="Times New Roman" w:hAnsi="Times New Roman" w:eastAsia="宋体" w:cs="Times New Roman"/>
                <w:color w:val="auto"/>
                <w:kern w:val="2"/>
                <w:sz w:val="24"/>
                <w:szCs w:val="24"/>
                <w:highlight w:val="none"/>
                <w:lang w:val="en-US" w:eastAsia="zh-CN" w:bidi="ar-SA"/>
              </w:rPr>
              <w:t>Q</w:t>
            </w:r>
            <w:r>
              <w:rPr>
                <w:rFonts w:hint="default" w:ascii="Times New Roman" w:hAnsi="Times New Roman" w:eastAsia="宋体" w:cs="Times New Roman"/>
                <w:color w:val="auto"/>
                <w:kern w:val="2"/>
                <w:sz w:val="24"/>
                <w:szCs w:val="24"/>
                <w:highlight w:val="none"/>
                <w:lang w:val="en-US" w:eastAsia="zh-CN" w:bidi="ar-SA"/>
              </w:rPr>
              <w:t>=3600×(A</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+A</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)×V，其中操作面开口面积A</w:t>
            </w:r>
            <w:r>
              <w:rPr>
                <w:rFonts w:hint="default" w:ascii="Times New Roman" w:hAnsi="Times New Roman" w:eastAsia="宋体" w:cs="Times New Roman"/>
                <w:color w:val="auto"/>
                <w:kern w:val="2"/>
                <w:sz w:val="24"/>
                <w:szCs w:val="24"/>
                <w:highlight w:val="none"/>
                <w:vertAlign w:val="subscript"/>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取1.2m²、工件进出口面积A</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取1.5m²、工艺及其他孔洞面积A</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取0.3m²，开口处平均断面风速V根据规范要求不小于0.6m/s（本评价保守取0.5 m/s），经计算得最小排风量为5400m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auto"/>
                <w:kern w:val="2"/>
                <w:sz w:val="24"/>
                <w:szCs w:val="24"/>
                <w:highlight w:val="none"/>
                <w:lang w:val="en-US" w:eastAsia="zh-CN" w:bidi="ar-SA"/>
              </w:rPr>
              <w:t>/h。</w:t>
            </w:r>
          </w:p>
          <w:p w14:paraId="4DC2E32A">
            <w:pPr>
              <w:pStyle w:val="53"/>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根据《涂装作业安全规程 粉末静电喷涂工艺安全》GB15607-20</w:t>
            </w:r>
            <w:r>
              <w:rPr>
                <w:rFonts w:hint="eastAsia" w:ascii="Times New Roman" w:hAnsi="Times New Roman" w:cs="Times New Roman"/>
                <w:color w:val="auto"/>
                <w:kern w:val="2"/>
                <w:sz w:val="24"/>
                <w:szCs w:val="24"/>
                <w:highlight w:val="none"/>
                <w:lang w:val="en-US" w:eastAsia="zh-CN" w:bidi="ar-SA"/>
              </w:rPr>
              <w:t>23</w:t>
            </w:r>
            <w:r>
              <w:rPr>
                <w:rFonts w:hint="default" w:ascii="Times New Roman" w:hAnsi="Times New Roman" w:eastAsia="宋体" w:cs="Times New Roman"/>
                <w:color w:val="auto"/>
                <w:kern w:val="2"/>
                <w:sz w:val="24"/>
                <w:szCs w:val="24"/>
                <w:highlight w:val="none"/>
                <w:lang w:val="en-US" w:eastAsia="zh-CN" w:bidi="ar-SA"/>
              </w:rPr>
              <w:t>要求，排风系统需附加10%的管道漏风量，则系统计算风量为5400×1.10=5940m³/h，</w:t>
            </w:r>
            <w:r>
              <w:rPr>
                <w:rFonts w:hint="eastAsia" w:ascii="Times New Roman" w:hAnsi="Times New Roman" w:cs="Times New Roman"/>
                <w:color w:val="auto"/>
                <w:kern w:val="2"/>
                <w:sz w:val="24"/>
                <w:szCs w:val="24"/>
                <w:highlight w:val="none"/>
                <w:lang w:val="en-US" w:eastAsia="zh-CN" w:bidi="ar-SA"/>
              </w:rPr>
              <w:t>则</w:t>
            </w:r>
            <w:r>
              <w:rPr>
                <w:rFonts w:hint="default" w:ascii="Times New Roman" w:hAnsi="Times New Roman" w:eastAsia="宋体" w:cs="Times New Roman"/>
                <w:color w:val="auto"/>
                <w:kern w:val="2"/>
                <w:sz w:val="24"/>
                <w:szCs w:val="24"/>
                <w:highlight w:val="none"/>
                <w:lang w:val="en-US" w:eastAsia="zh-CN" w:bidi="ar-SA"/>
              </w:rPr>
              <w:t>风机设计风量为6000m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auto"/>
                <w:kern w:val="2"/>
                <w:sz w:val="24"/>
                <w:szCs w:val="24"/>
                <w:highlight w:val="none"/>
                <w:lang w:val="en-US" w:eastAsia="zh-CN" w:bidi="ar-SA"/>
              </w:rPr>
              <w:t>/h</w:t>
            </w:r>
          </w:p>
          <w:p w14:paraId="51BC7D1D">
            <w:pPr>
              <w:pStyle w:val="158"/>
              <w:ind w:firstLine="48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④喷粉固化废气、喷粉废气、调漆废气、喷漆废气、喷漆固化废气</w:t>
            </w:r>
          </w:p>
          <w:p w14:paraId="2C5EFC53">
            <w:pPr>
              <w:pStyle w:val="158"/>
              <w:ind w:firstLine="48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本项目喷粉固化废气、喷粉废气、调漆废气、喷漆废气、喷漆固化废气分别经过收集后，经</w:t>
            </w:r>
            <w:r>
              <w:rPr>
                <w:rFonts w:hint="eastAsia" w:ascii="Times New Roman" w:cs="Times New Roman"/>
                <w:color w:val="auto"/>
                <w:kern w:val="2"/>
                <w:sz w:val="24"/>
                <w:szCs w:val="24"/>
                <w:highlight w:val="none"/>
                <w:lang w:val="en-US" w:eastAsia="zh-CN" w:bidi="ar-SA"/>
              </w:rPr>
              <w:t>喷淋塔+过滤棉+二级活性炭吸附</w:t>
            </w:r>
            <w:r>
              <w:rPr>
                <w:rFonts w:hint="eastAsia" w:ascii="Times New Roman" w:hAnsi="Times New Roman" w:eastAsia="宋体" w:cs="Times New Roman"/>
                <w:color w:val="auto"/>
                <w:kern w:val="2"/>
                <w:sz w:val="24"/>
                <w:szCs w:val="24"/>
                <w:highlight w:val="none"/>
                <w:lang w:val="en-US" w:eastAsia="zh-CN" w:bidi="ar-SA"/>
              </w:rPr>
              <w:t>净化处理后，通过</w:t>
            </w:r>
            <w:r>
              <w:rPr>
                <w:rFonts w:hint="eastAsia" w:ascii="Times New Roman" w:hAnsi="Times New Roman" w:cs="Times New Roman"/>
                <w:color w:val="auto"/>
                <w:kern w:val="2"/>
                <w:sz w:val="24"/>
                <w:szCs w:val="24"/>
                <w:highlight w:val="none"/>
                <w:lang w:val="en-US" w:eastAsia="zh-CN" w:bidi="ar-SA"/>
              </w:rPr>
              <w:t>DA002</w:t>
            </w:r>
            <w:r>
              <w:rPr>
                <w:rFonts w:hint="eastAsia" w:ascii="Times New Roman" w:hAnsi="Times New Roman" w:eastAsia="宋体" w:cs="Times New Roman"/>
                <w:color w:val="auto"/>
                <w:kern w:val="2"/>
                <w:sz w:val="24"/>
                <w:szCs w:val="24"/>
                <w:highlight w:val="none"/>
                <w:lang w:val="en-US" w:eastAsia="zh-CN" w:bidi="ar-SA"/>
              </w:rPr>
              <w:t>排气筒排放（高度</w:t>
            </w:r>
            <w:r>
              <w:rPr>
                <w:rFonts w:hint="eastAsia" w:ascii="Times New Roman"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），风机风量为1</w:t>
            </w:r>
            <w:r>
              <w:rPr>
                <w:rFonts w:hint="eastAsia" w:ascii="Times New Roman" w:hAnsi="Times New Roman"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000m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w:t>
            </w:r>
          </w:p>
          <w:p w14:paraId="592F0450">
            <w:pPr>
              <w:pStyle w:val="53"/>
              <w:spacing w:line="360" w:lineRule="auto"/>
              <w:ind w:firstLine="480" w:firstLineChars="20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本项目喷粉喷漆漆区总面积为624m</w:t>
            </w:r>
            <w:r>
              <w:rPr>
                <w:rFonts w:hint="eastAsia" w:ascii="Times New Roman" w:hAnsi="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olor w:val="000000" w:themeColor="text1"/>
                <w:highlight w:val="none"/>
                <w:lang w:val="en-US" w:eastAsia="zh-CN"/>
                <w14:textFill>
                  <w14:solidFill>
                    <w14:schemeClr w14:val="tx1"/>
                  </w14:solidFill>
                </w14:textFill>
              </w:rPr>
              <w:t>，高度为3.8m，即局部收集体积为2371.2m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olor w:val="000000" w:themeColor="text1"/>
                <w:highlight w:val="none"/>
                <w:lang w:val="en-US" w:eastAsia="zh-CN"/>
                <w14:textFill>
                  <w14:solidFill>
                    <w14:schemeClr w14:val="tx1"/>
                  </w14:solidFill>
                </w14:textFill>
              </w:rPr>
              <w:t>，</w:t>
            </w:r>
            <w:r>
              <w:rPr>
                <w:rFonts w:hint="eastAsia"/>
              </w:rPr>
              <w:t>为</w:t>
            </w:r>
            <w:r>
              <w:rPr>
                <w:rFonts w:hint="eastAsia" w:ascii="Times New Roman" w:hAnsi="Times New Roman" w:cs="Times New Roman"/>
                <w:color w:val="000000" w:themeColor="text1"/>
                <w:highlight w:val="none"/>
                <w:lang w:val="en-US" w:eastAsia="zh-CN"/>
                <w14:textFill>
                  <w14:solidFill>
                    <w14:schemeClr w14:val="tx1"/>
                  </w14:solidFill>
                </w14:textFill>
              </w:rPr>
              <w:t>确保喷漆、调漆、固化废气的高效捕集，本项目依据即将实施的强制性国家标准GB 14444-2023《涂装作业安全规程喷漆室安全技术规定》第5.3.3条及表2进行设计。该标准规定，对于小型喷漆室，其作业区控制风速应达到0.30m/s～0.45m/s。本次设计取上限值0.45m/s，以实现最保守且可靠的收集效果。</w:t>
            </w:r>
          </w:p>
          <w:p w14:paraId="025D14B1">
            <w:pPr>
              <w:pStyle w:val="53"/>
              <w:spacing w:line="360" w:lineRule="auto"/>
              <w:ind w:firstLine="480" w:firstLineChars="20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风量计算采用控制风速法，核心是确保在废气逸散的潜在开口处形成足够的吸入气流。经核算，调漆、喷漆及固化区域总有效开口面积约为8m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。据此计算理论最小风量：8m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highlight w:val="none"/>
                <w:lang w:val="en-US" w:eastAsia="zh-CN"/>
                <w14:textFill>
                  <w14:solidFill>
                    <w14:schemeClr w14:val="tx1"/>
                  </w14:solidFill>
                </w14:textFill>
              </w:rPr>
              <w:t>×0.45m/s×3600s/h=12960m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w:t>
            </w:r>
          </w:p>
          <w:p w14:paraId="021005E8">
            <w:pPr>
              <w:pStyle w:val="53"/>
              <w:spacing w:line="360" w:lineRule="auto"/>
              <w:ind w:firstLine="480" w:firstLineChars="200"/>
              <w:jc w:val="both"/>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在此基础上，综合计入管道系统漏风（系数1.1）及运行安全余量（系数1.15），确定设计风量为：12960 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/h×(1.1×1.15)=16394.4‬m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/h。为匹配风机标准规格并预留长期运行的适应性，最终将废气收集与处理系统的风机额定风量确定为18000m</w:t>
            </w:r>
            <w:r>
              <w:rPr>
                <w:rFonts w:hint="eastAsia"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/h。该风量可确保各操作单元维持稳定负压，</w:t>
            </w:r>
            <w:r>
              <w:rPr>
                <w:rFonts w:hint="eastAsia" w:ascii="Times New Roman" w:hAnsi="Times New Roman"/>
                <w:color w:val="000000" w:themeColor="text1"/>
                <w:highlight w:val="none"/>
                <w:lang w:val="en-US" w:eastAsia="zh-CN"/>
                <w14:textFill>
                  <w14:solidFill>
                    <w14:schemeClr w14:val="tx1"/>
                  </w14:solidFill>
                </w14:textFill>
              </w:rPr>
              <w:t>通过上述措施以保证废气集气效率为90%。</w:t>
            </w:r>
          </w:p>
          <w:p w14:paraId="68191EB1">
            <w:pPr>
              <w:pStyle w:val="53"/>
              <w:spacing w:line="360" w:lineRule="auto"/>
              <w:ind w:firstLine="480" w:firstLineChars="200"/>
              <w:jc w:val="both"/>
              <w:rPr>
                <w:rFonts w:hint="default" w:ascii="Times New Roman" w:hAnsi="Times New Roman" w:cs="Times New Roman"/>
                <w:color w:val="auto"/>
                <w:highlight w:val="none"/>
                <w:lang w:val="en-US" w:eastAsia="zh-CN"/>
              </w:rPr>
            </w:pPr>
            <w:r>
              <w:rPr>
                <w:rFonts w:hint="eastAsia" w:ascii="Times New Roman" w:hAnsi="Times New Roman"/>
                <w:color w:val="auto"/>
                <w:highlight w:val="none"/>
                <w:lang w:val="en-US" w:eastAsia="zh-CN"/>
              </w:rPr>
              <w:t>项目废气污染源源强核算结果及相关参数一览表4.2-2。</w:t>
            </w:r>
          </w:p>
        </w:tc>
      </w:tr>
    </w:tbl>
    <w:p w14:paraId="3B4DAA06">
      <w:pPr>
        <w:adjustRightInd w:val="0"/>
        <w:snapToGrid w:val="0"/>
        <w:spacing w:line="360" w:lineRule="auto"/>
        <w:rPr>
          <w:rFonts w:ascii="宋体" w:cs="宋体"/>
          <w:b/>
          <w:color w:val="auto"/>
          <w:kern w:val="0"/>
          <w:sz w:val="28"/>
          <w:szCs w:val="28"/>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3F21588B">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default"/>
          <w:color w:val="auto"/>
          <w:highlight w:val="none"/>
          <w:lang w:val="en-US" w:eastAsia="zh-CN"/>
        </w:rPr>
      </w:pPr>
      <w:r>
        <w:rPr>
          <w:rFonts w:hint="eastAsia"/>
          <w:color w:val="auto"/>
          <w:highlight w:val="none"/>
          <w:lang w:val="en-US" w:eastAsia="zh-CN"/>
        </w:rPr>
        <w:t xml:space="preserve"> 项目废气污染源源强核算结果及相关参数一览表</w:t>
      </w:r>
    </w:p>
    <w:tbl>
      <w:tblPr>
        <w:tblStyle w:val="86"/>
        <w:tblW w:w="1402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6"/>
        <w:gridCol w:w="349"/>
        <w:gridCol w:w="716"/>
        <w:gridCol w:w="344"/>
        <w:gridCol w:w="718"/>
        <w:gridCol w:w="915"/>
        <w:gridCol w:w="708"/>
        <w:gridCol w:w="657"/>
        <w:gridCol w:w="315"/>
        <w:gridCol w:w="587"/>
        <w:gridCol w:w="395"/>
        <w:gridCol w:w="500"/>
        <w:gridCol w:w="500"/>
        <w:gridCol w:w="612"/>
        <w:gridCol w:w="703"/>
        <w:gridCol w:w="708"/>
        <w:gridCol w:w="657"/>
        <w:gridCol w:w="1167"/>
        <w:gridCol w:w="1011"/>
        <w:gridCol w:w="1266"/>
        <w:gridCol w:w="545"/>
      </w:tblGrid>
      <w:tr w14:paraId="1B35B9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6" w:type="dxa"/>
            <w:vMerge w:val="restart"/>
            <w:tcBorders>
              <w:tl2br w:val="nil"/>
              <w:tr2bl w:val="nil"/>
            </w:tcBorders>
            <w:vAlign w:val="center"/>
          </w:tcPr>
          <w:p w14:paraId="5CA381E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产排污环节</w:t>
            </w:r>
          </w:p>
        </w:tc>
        <w:tc>
          <w:tcPr>
            <w:tcW w:w="349" w:type="dxa"/>
            <w:vMerge w:val="restart"/>
            <w:tcBorders>
              <w:tl2br w:val="nil"/>
              <w:tr2bl w:val="nil"/>
            </w:tcBorders>
            <w:vAlign w:val="center"/>
          </w:tcPr>
          <w:p w14:paraId="42AA9B4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污染源</w:t>
            </w:r>
          </w:p>
        </w:tc>
        <w:tc>
          <w:tcPr>
            <w:tcW w:w="716" w:type="dxa"/>
            <w:vMerge w:val="restart"/>
            <w:tcBorders>
              <w:tl2br w:val="nil"/>
              <w:tr2bl w:val="nil"/>
            </w:tcBorders>
            <w:vAlign w:val="center"/>
          </w:tcPr>
          <w:p w14:paraId="6EFD032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污染物种类</w:t>
            </w:r>
          </w:p>
        </w:tc>
        <w:tc>
          <w:tcPr>
            <w:tcW w:w="3342" w:type="dxa"/>
            <w:gridSpan w:val="5"/>
            <w:tcBorders>
              <w:tl2br w:val="nil"/>
              <w:tr2bl w:val="nil"/>
            </w:tcBorders>
            <w:vAlign w:val="center"/>
          </w:tcPr>
          <w:p w14:paraId="0589E09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污染源产生</w:t>
            </w:r>
          </w:p>
        </w:tc>
        <w:tc>
          <w:tcPr>
            <w:tcW w:w="315" w:type="dxa"/>
            <w:vMerge w:val="restart"/>
            <w:tcBorders>
              <w:tl2br w:val="nil"/>
              <w:tr2bl w:val="nil"/>
            </w:tcBorders>
            <w:vAlign w:val="center"/>
          </w:tcPr>
          <w:p w14:paraId="54898C9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排放方式</w:t>
            </w:r>
          </w:p>
        </w:tc>
        <w:tc>
          <w:tcPr>
            <w:tcW w:w="1982" w:type="dxa"/>
            <w:gridSpan w:val="4"/>
            <w:tcBorders>
              <w:tl2br w:val="nil"/>
              <w:tr2bl w:val="nil"/>
            </w:tcBorders>
            <w:vAlign w:val="center"/>
          </w:tcPr>
          <w:p w14:paraId="2D14DC5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治理措施</w:t>
            </w:r>
          </w:p>
        </w:tc>
        <w:tc>
          <w:tcPr>
            <w:tcW w:w="2680" w:type="dxa"/>
            <w:gridSpan w:val="4"/>
            <w:tcBorders>
              <w:tl2br w:val="nil"/>
              <w:tr2bl w:val="nil"/>
            </w:tcBorders>
            <w:vAlign w:val="center"/>
          </w:tcPr>
          <w:p w14:paraId="373F201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污染物排放</w:t>
            </w:r>
          </w:p>
        </w:tc>
        <w:tc>
          <w:tcPr>
            <w:tcW w:w="3444" w:type="dxa"/>
            <w:gridSpan w:val="3"/>
            <w:tcBorders>
              <w:tl2br w:val="nil"/>
              <w:tr2bl w:val="nil"/>
            </w:tcBorders>
            <w:vAlign w:val="center"/>
          </w:tcPr>
          <w:p w14:paraId="11DE06B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排放口基本信息</w:t>
            </w:r>
          </w:p>
        </w:tc>
        <w:tc>
          <w:tcPr>
            <w:tcW w:w="545" w:type="dxa"/>
            <w:vMerge w:val="restart"/>
            <w:tcBorders>
              <w:tl2br w:val="nil"/>
              <w:tr2bl w:val="nil"/>
            </w:tcBorders>
            <w:vAlign w:val="center"/>
          </w:tcPr>
          <w:p w14:paraId="70538E0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排放时间h</w:t>
            </w:r>
          </w:p>
        </w:tc>
      </w:tr>
      <w:tr w14:paraId="42CAC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656" w:type="dxa"/>
            <w:vMerge w:val="continue"/>
            <w:tcBorders>
              <w:tl2br w:val="nil"/>
              <w:tr2bl w:val="nil"/>
            </w:tcBorders>
            <w:vAlign w:val="center"/>
          </w:tcPr>
          <w:p w14:paraId="415B1C3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54E18C0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6BE9AD8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tcBorders>
              <w:tl2br w:val="nil"/>
              <w:tr2bl w:val="nil"/>
            </w:tcBorders>
            <w:vAlign w:val="center"/>
          </w:tcPr>
          <w:p w14:paraId="3B52FD3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核算方法</w:t>
            </w:r>
          </w:p>
        </w:tc>
        <w:tc>
          <w:tcPr>
            <w:tcW w:w="718" w:type="dxa"/>
            <w:tcBorders>
              <w:tl2br w:val="nil"/>
              <w:tr2bl w:val="nil"/>
            </w:tcBorders>
            <w:vAlign w:val="center"/>
          </w:tcPr>
          <w:p w14:paraId="49125FB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废气量/(m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/h)</w:t>
            </w:r>
          </w:p>
        </w:tc>
        <w:tc>
          <w:tcPr>
            <w:tcW w:w="915" w:type="dxa"/>
            <w:tcBorders>
              <w:tl2br w:val="nil"/>
              <w:tr2bl w:val="nil"/>
            </w:tcBorders>
            <w:vAlign w:val="center"/>
          </w:tcPr>
          <w:p w14:paraId="4EBA179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产生浓度/(mg/m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w:t>
            </w:r>
          </w:p>
        </w:tc>
        <w:tc>
          <w:tcPr>
            <w:tcW w:w="708" w:type="dxa"/>
            <w:tcBorders>
              <w:tl2br w:val="nil"/>
              <w:tr2bl w:val="nil"/>
            </w:tcBorders>
            <w:vAlign w:val="center"/>
          </w:tcPr>
          <w:p w14:paraId="33B72B7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产生速率/kg/h</w:t>
            </w:r>
          </w:p>
        </w:tc>
        <w:tc>
          <w:tcPr>
            <w:tcW w:w="657" w:type="dxa"/>
            <w:tcBorders>
              <w:tl2br w:val="nil"/>
              <w:tr2bl w:val="nil"/>
            </w:tcBorders>
            <w:vAlign w:val="center"/>
          </w:tcPr>
          <w:p w14:paraId="3185F8A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产生量/t/a</w:t>
            </w:r>
          </w:p>
        </w:tc>
        <w:tc>
          <w:tcPr>
            <w:tcW w:w="315" w:type="dxa"/>
            <w:vMerge w:val="continue"/>
            <w:tcBorders>
              <w:tl2br w:val="nil"/>
              <w:tr2bl w:val="nil"/>
            </w:tcBorders>
            <w:vAlign w:val="center"/>
          </w:tcPr>
          <w:p w14:paraId="045D2A1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587" w:type="dxa"/>
            <w:tcBorders>
              <w:tl2br w:val="nil"/>
              <w:tr2bl w:val="nil"/>
            </w:tcBorders>
            <w:vAlign w:val="center"/>
          </w:tcPr>
          <w:p w14:paraId="5ABEB3B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处理能力及工艺</w:t>
            </w:r>
          </w:p>
        </w:tc>
        <w:tc>
          <w:tcPr>
            <w:tcW w:w="395" w:type="dxa"/>
            <w:tcBorders>
              <w:tl2br w:val="nil"/>
              <w:tr2bl w:val="nil"/>
            </w:tcBorders>
            <w:vAlign w:val="center"/>
          </w:tcPr>
          <w:p w14:paraId="2589E72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收集效率</w:t>
            </w:r>
          </w:p>
        </w:tc>
        <w:tc>
          <w:tcPr>
            <w:tcW w:w="500" w:type="dxa"/>
            <w:tcBorders>
              <w:tl2br w:val="nil"/>
              <w:tr2bl w:val="nil"/>
            </w:tcBorders>
            <w:vAlign w:val="center"/>
          </w:tcPr>
          <w:p w14:paraId="737F658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工艺去除率</w:t>
            </w:r>
          </w:p>
        </w:tc>
        <w:tc>
          <w:tcPr>
            <w:tcW w:w="500" w:type="dxa"/>
            <w:tcBorders>
              <w:tl2br w:val="nil"/>
              <w:tr2bl w:val="nil"/>
            </w:tcBorders>
            <w:vAlign w:val="center"/>
          </w:tcPr>
          <w:p w14:paraId="19C795A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是否为可行技术</w:t>
            </w:r>
          </w:p>
        </w:tc>
        <w:tc>
          <w:tcPr>
            <w:tcW w:w="612" w:type="dxa"/>
            <w:tcBorders>
              <w:tl2br w:val="nil"/>
              <w:tr2bl w:val="nil"/>
            </w:tcBorders>
            <w:vAlign w:val="center"/>
          </w:tcPr>
          <w:p w14:paraId="2038ACA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废气量/(m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/h)</w:t>
            </w:r>
          </w:p>
        </w:tc>
        <w:tc>
          <w:tcPr>
            <w:tcW w:w="703" w:type="dxa"/>
            <w:tcBorders>
              <w:tl2br w:val="nil"/>
              <w:tr2bl w:val="nil"/>
            </w:tcBorders>
            <w:vAlign w:val="center"/>
          </w:tcPr>
          <w:p w14:paraId="4AE0EEF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排放浓度/mg/m</w:t>
            </w:r>
            <w:r>
              <w:rPr>
                <w:rFonts w:hint="eastAsia" w:ascii="Times New Roman" w:hAnsi="Times New Roman" w:eastAsia="宋体" w:cs="Times New Roman"/>
                <w:color w:val="auto"/>
                <w:sz w:val="21"/>
                <w:szCs w:val="21"/>
                <w:highlight w:val="none"/>
                <w:vertAlign w:val="superscript"/>
              </w:rPr>
              <w:t>3</w:t>
            </w:r>
          </w:p>
        </w:tc>
        <w:tc>
          <w:tcPr>
            <w:tcW w:w="708" w:type="dxa"/>
            <w:tcBorders>
              <w:tl2br w:val="nil"/>
              <w:tr2bl w:val="nil"/>
            </w:tcBorders>
            <w:vAlign w:val="center"/>
          </w:tcPr>
          <w:p w14:paraId="492B3E8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排放速率/kg/h</w:t>
            </w:r>
          </w:p>
        </w:tc>
        <w:tc>
          <w:tcPr>
            <w:tcW w:w="657" w:type="dxa"/>
            <w:tcBorders>
              <w:tl2br w:val="nil"/>
              <w:tr2bl w:val="nil"/>
            </w:tcBorders>
            <w:vAlign w:val="center"/>
          </w:tcPr>
          <w:p w14:paraId="509D8CC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排放量/t/a</w:t>
            </w:r>
          </w:p>
        </w:tc>
        <w:tc>
          <w:tcPr>
            <w:tcW w:w="1167" w:type="dxa"/>
            <w:tcBorders>
              <w:tl2br w:val="nil"/>
              <w:tr2bl w:val="nil"/>
            </w:tcBorders>
            <w:vAlign w:val="center"/>
          </w:tcPr>
          <w:p w14:paraId="40D0935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排气筒内径、高度、温度</w:t>
            </w:r>
          </w:p>
        </w:tc>
        <w:tc>
          <w:tcPr>
            <w:tcW w:w="1011" w:type="dxa"/>
            <w:tcBorders>
              <w:tl2br w:val="nil"/>
              <w:tr2bl w:val="nil"/>
            </w:tcBorders>
            <w:vAlign w:val="center"/>
          </w:tcPr>
          <w:p w14:paraId="76EB047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编号及名称、类型</w:t>
            </w:r>
          </w:p>
        </w:tc>
        <w:tc>
          <w:tcPr>
            <w:tcW w:w="1266" w:type="dxa"/>
            <w:tcBorders>
              <w:tl2br w:val="nil"/>
              <w:tr2bl w:val="nil"/>
            </w:tcBorders>
            <w:vAlign w:val="center"/>
          </w:tcPr>
          <w:p w14:paraId="410A31E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地理坐标</w:t>
            </w:r>
          </w:p>
        </w:tc>
        <w:tc>
          <w:tcPr>
            <w:tcW w:w="545" w:type="dxa"/>
            <w:vMerge w:val="continue"/>
            <w:tcBorders>
              <w:tl2br w:val="nil"/>
              <w:tr2bl w:val="nil"/>
            </w:tcBorders>
            <w:vAlign w:val="center"/>
          </w:tcPr>
          <w:p w14:paraId="5CF034F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739B29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656" w:type="dxa"/>
            <w:vMerge w:val="restart"/>
            <w:tcBorders>
              <w:tl2br w:val="nil"/>
              <w:tr2bl w:val="nil"/>
            </w:tcBorders>
            <w:shd w:val="clear" w:color="auto" w:fill="auto"/>
            <w:vAlign w:val="center"/>
          </w:tcPr>
          <w:p w14:paraId="42FCBB0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电泳废气、电泳</w:t>
            </w:r>
          </w:p>
          <w:p w14:paraId="4D9BC5B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固化废气</w:t>
            </w:r>
          </w:p>
        </w:tc>
        <w:tc>
          <w:tcPr>
            <w:tcW w:w="349" w:type="dxa"/>
            <w:vMerge w:val="restart"/>
            <w:tcBorders>
              <w:tl2br w:val="nil"/>
              <w:tr2bl w:val="nil"/>
            </w:tcBorders>
            <w:shd w:val="clear" w:color="auto" w:fill="auto"/>
            <w:vAlign w:val="center"/>
          </w:tcPr>
          <w:p w14:paraId="746913E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电泳、电泳</w:t>
            </w:r>
          </w:p>
          <w:p w14:paraId="1B186BA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固化</w:t>
            </w:r>
          </w:p>
        </w:tc>
        <w:tc>
          <w:tcPr>
            <w:tcW w:w="716" w:type="dxa"/>
            <w:tcBorders>
              <w:tl2br w:val="nil"/>
              <w:tr2bl w:val="nil"/>
            </w:tcBorders>
            <w:shd w:val="clear" w:color="auto" w:fill="auto"/>
            <w:vAlign w:val="center"/>
          </w:tcPr>
          <w:p w14:paraId="55B2F50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非甲烷总烃</w:t>
            </w:r>
          </w:p>
        </w:tc>
        <w:tc>
          <w:tcPr>
            <w:tcW w:w="344" w:type="dxa"/>
            <w:vMerge w:val="restart"/>
            <w:tcBorders>
              <w:tl2br w:val="nil"/>
              <w:tr2bl w:val="nil"/>
            </w:tcBorders>
            <w:shd w:val="clear" w:color="auto" w:fill="auto"/>
            <w:vAlign w:val="center"/>
          </w:tcPr>
          <w:p w14:paraId="145BB90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物料衡算法</w:t>
            </w:r>
          </w:p>
        </w:tc>
        <w:tc>
          <w:tcPr>
            <w:tcW w:w="718" w:type="dxa"/>
            <w:tcBorders>
              <w:tl2br w:val="nil"/>
              <w:tr2bl w:val="nil"/>
            </w:tcBorders>
            <w:shd w:val="clear" w:color="auto" w:fill="auto"/>
            <w:vAlign w:val="center"/>
          </w:tcPr>
          <w:p w14:paraId="4E11D25C">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03EAA440">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35.3</w:t>
            </w:r>
          </w:p>
        </w:tc>
        <w:tc>
          <w:tcPr>
            <w:tcW w:w="708" w:type="dxa"/>
            <w:tcBorders>
              <w:tl2br w:val="nil"/>
              <w:tr2bl w:val="nil"/>
            </w:tcBorders>
            <w:shd w:val="clear" w:color="auto" w:fill="auto"/>
            <w:vAlign w:val="center"/>
          </w:tcPr>
          <w:p w14:paraId="13E80B3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0.353</w:t>
            </w:r>
          </w:p>
        </w:tc>
        <w:tc>
          <w:tcPr>
            <w:tcW w:w="657" w:type="dxa"/>
            <w:tcBorders>
              <w:tl2br w:val="nil"/>
              <w:tr2bl w:val="nil"/>
            </w:tcBorders>
            <w:shd w:val="clear" w:color="auto" w:fill="auto"/>
            <w:vAlign w:val="center"/>
          </w:tcPr>
          <w:p w14:paraId="02E43132">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0.847</w:t>
            </w:r>
            <w:r>
              <w:rPr>
                <w:rFonts w:hint="eastAsia" w:eastAsia="Times New Roman" w:cs="Times New Roman"/>
                <w:color w:val="auto"/>
                <w:spacing w:val="3"/>
                <w:position w:val="2"/>
                <w:sz w:val="20"/>
                <w:szCs w:val="20"/>
                <w:lang w:val="en-US" w:eastAsia="zh-CN"/>
              </w:rPr>
              <w:t>3</w:t>
            </w:r>
          </w:p>
        </w:tc>
        <w:tc>
          <w:tcPr>
            <w:tcW w:w="315" w:type="dxa"/>
            <w:tcBorders>
              <w:tl2br w:val="nil"/>
              <w:tr2bl w:val="nil"/>
            </w:tcBorders>
            <w:shd w:val="clear" w:color="auto" w:fill="auto"/>
            <w:vAlign w:val="center"/>
          </w:tcPr>
          <w:p w14:paraId="44AC94A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5C44FA2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shd w:val="clear" w:color="auto" w:fill="auto"/>
            <w:vAlign w:val="center"/>
          </w:tcPr>
          <w:p w14:paraId="04371C3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368C05C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75%</w:t>
            </w:r>
          </w:p>
        </w:tc>
        <w:tc>
          <w:tcPr>
            <w:tcW w:w="500" w:type="dxa"/>
            <w:tcBorders>
              <w:tl2br w:val="nil"/>
              <w:tr2bl w:val="nil"/>
            </w:tcBorders>
            <w:shd w:val="clear" w:color="auto" w:fill="auto"/>
            <w:vAlign w:val="center"/>
          </w:tcPr>
          <w:p w14:paraId="1C12740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shd w:val="clear" w:color="auto" w:fill="auto"/>
            <w:vAlign w:val="center"/>
          </w:tcPr>
          <w:p w14:paraId="1817C1A3">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34C7CF59">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8.83</w:t>
            </w:r>
          </w:p>
        </w:tc>
        <w:tc>
          <w:tcPr>
            <w:tcW w:w="708" w:type="dxa"/>
            <w:tcBorders>
              <w:tl2br w:val="nil"/>
              <w:tr2bl w:val="nil"/>
            </w:tcBorders>
            <w:shd w:val="clear" w:color="auto" w:fill="auto"/>
            <w:vAlign w:val="center"/>
          </w:tcPr>
          <w:p w14:paraId="35C64737">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0.0883</w:t>
            </w:r>
          </w:p>
        </w:tc>
        <w:tc>
          <w:tcPr>
            <w:tcW w:w="657" w:type="dxa"/>
            <w:tcBorders>
              <w:tl2br w:val="nil"/>
              <w:tr2bl w:val="nil"/>
            </w:tcBorders>
            <w:shd w:val="clear" w:color="auto" w:fill="auto"/>
            <w:vAlign w:val="center"/>
          </w:tcPr>
          <w:p w14:paraId="4E007F96">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0.2118</w:t>
            </w:r>
          </w:p>
        </w:tc>
        <w:tc>
          <w:tcPr>
            <w:tcW w:w="1167" w:type="dxa"/>
            <w:tcBorders>
              <w:tl2br w:val="nil"/>
              <w:tr2bl w:val="nil"/>
            </w:tcBorders>
            <w:shd w:val="clear" w:color="auto" w:fill="auto"/>
            <w:vAlign w:val="center"/>
          </w:tcPr>
          <w:p w14:paraId="509FB3D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15m</w:t>
            </w:r>
            <w:r>
              <w:rPr>
                <w:rFonts w:hint="eastAsia" w:ascii="Times New Roman" w:hAnsi="Times New Roman" w:eastAsia="宋体" w:cs="Times New Roman"/>
                <w:color w:val="auto"/>
                <w:sz w:val="21"/>
                <w:szCs w:val="21"/>
                <w:highlight w:val="none"/>
              </w:rPr>
              <w:t>、内径0.</w:t>
            </w:r>
            <w:r>
              <w:rPr>
                <w:rFonts w:hint="eastAsia" w:ascii="Times New Roman" w:hAnsi="Times New Roman"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76C1765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DA001、一般排放口</w:t>
            </w:r>
          </w:p>
        </w:tc>
        <w:tc>
          <w:tcPr>
            <w:tcW w:w="1266" w:type="dxa"/>
            <w:tcBorders>
              <w:tl2br w:val="nil"/>
              <w:tr2bl w:val="nil"/>
            </w:tcBorders>
            <w:shd w:val="clear" w:color="auto" w:fill="auto"/>
            <w:vAlign w:val="center"/>
          </w:tcPr>
          <w:p w14:paraId="43D5095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5630026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119.292196°</w:t>
            </w:r>
          </w:p>
          <w:p w14:paraId="3CD9361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71571E1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25.8060903°</w:t>
            </w:r>
          </w:p>
        </w:tc>
        <w:tc>
          <w:tcPr>
            <w:tcW w:w="545" w:type="dxa"/>
            <w:vMerge w:val="restart"/>
            <w:tcBorders>
              <w:tl2br w:val="nil"/>
              <w:tr2bl w:val="nil"/>
            </w:tcBorders>
            <w:shd w:val="clear" w:color="auto" w:fill="auto"/>
            <w:vAlign w:val="center"/>
          </w:tcPr>
          <w:p w14:paraId="66E4F4D6">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r>
              <w:rPr>
                <w:rFonts w:hint="eastAsia" w:ascii="Times New Roman" w:hAnsi="Times New Roman" w:eastAsia="宋体" w:cs="Times New Roman"/>
                <w:color w:val="auto"/>
                <w:sz w:val="21"/>
                <w:szCs w:val="21"/>
                <w:highlight w:val="none"/>
                <w:lang w:val="en-US" w:eastAsia="zh-CN"/>
              </w:rPr>
              <w:t>00</w:t>
            </w:r>
          </w:p>
        </w:tc>
      </w:tr>
      <w:tr w14:paraId="4C4625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56" w:type="dxa"/>
            <w:vMerge w:val="continue"/>
            <w:tcBorders>
              <w:tl2br w:val="nil"/>
              <w:tr2bl w:val="nil"/>
            </w:tcBorders>
            <w:shd w:val="clear" w:color="auto" w:fill="auto"/>
            <w:vAlign w:val="center"/>
          </w:tcPr>
          <w:p w14:paraId="5C86F3C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shd w:val="clear" w:color="auto" w:fill="auto"/>
            <w:vAlign w:val="center"/>
          </w:tcPr>
          <w:p w14:paraId="6A2F56B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shd w:val="clear" w:color="auto" w:fill="auto"/>
            <w:vAlign w:val="center"/>
          </w:tcPr>
          <w:p w14:paraId="11D0408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非甲烷总烃</w:t>
            </w:r>
          </w:p>
        </w:tc>
        <w:tc>
          <w:tcPr>
            <w:tcW w:w="344" w:type="dxa"/>
            <w:vMerge w:val="continue"/>
            <w:tcBorders>
              <w:tl2br w:val="nil"/>
              <w:tr2bl w:val="nil"/>
            </w:tcBorders>
            <w:shd w:val="clear" w:color="auto" w:fill="auto"/>
            <w:vAlign w:val="center"/>
          </w:tcPr>
          <w:p w14:paraId="6C2F22F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0958DA4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21228CF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7F40AA64">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0.0392</w:t>
            </w:r>
          </w:p>
        </w:tc>
        <w:tc>
          <w:tcPr>
            <w:tcW w:w="657" w:type="dxa"/>
            <w:tcBorders>
              <w:tl2br w:val="nil"/>
              <w:tr2bl w:val="nil"/>
            </w:tcBorders>
            <w:shd w:val="clear" w:color="auto" w:fill="auto"/>
            <w:vAlign w:val="center"/>
          </w:tcPr>
          <w:p w14:paraId="3249F7EC">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0.0941</w:t>
            </w:r>
          </w:p>
        </w:tc>
        <w:tc>
          <w:tcPr>
            <w:tcW w:w="315" w:type="dxa"/>
            <w:tcBorders>
              <w:tl2br w:val="nil"/>
              <w:tr2bl w:val="nil"/>
            </w:tcBorders>
            <w:shd w:val="clear" w:color="auto" w:fill="auto"/>
            <w:vAlign w:val="center"/>
          </w:tcPr>
          <w:p w14:paraId="5003E0A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3B7053E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1EB4A2E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209CB89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300E067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46FDF4A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3E72AA0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56F8B7BC">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0.0392</w:t>
            </w:r>
          </w:p>
        </w:tc>
        <w:tc>
          <w:tcPr>
            <w:tcW w:w="657" w:type="dxa"/>
            <w:tcBorders>
              <w:tl2br w:val="nil"/>
              <w:tr2bl w:val="nil"/>
            </w:tcBorders>
            <w:shd w:val="clear" w:color="auto" w:fill="auto"/>
            <w:vAlign w:val="center"/>
          </w:tcPr>
          <w:p w14:paraId="2EE6C33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0.0941</w:t>
            </w:r>
          </w:p>
        </w:tc>
        <w:tc>
          <w:tcPr>
            <w:tcW w:w="1167" w:type="dxa"/>
            <w:tcBorders>
              <w:tl2br w:val="nil"/>
              <w:tr2bl w:val="nil"/>
            </w:tcBorders>
            <w:shd w:val="clear" w:color="auto" w:fill="auto"/>
            <w:vAlign w:val="center"/>
          </w:tcPr>
          <w:p w14:paraId="62C221C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49E98C3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7C3DB0ED">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0575B86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738A33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56" w:type="dxa"/>
            <w:vMerge w:val="restart"/>
            <w:tcBorders>
              <w:tl2br w:val="nil"/>
              <w:tr2bl w:val="nil"/>
            </w:tcBorders>
            <w:shd w:val="clear" w:color="auto" w:fill="auto"/>
            <w:vAlign w:val="center"/>
          </w:tcPr>
          <w:p w14:paraId="469ED20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电泳）</w:t>
            </w:r>
            <w:r>
              <w:rPr>
                <w:rFonts w:hint="eastAsia" w:ascii="Times New Roman" w:hAnsi="Times New Roman" w:eastAsia="宋体" w:cs="Times New Roman"/>
                <w:color w:val="auto"/>
                <w:sz w:val="21"/>
                <w:szCs w:val="21"/>
                <w:highlight w:val="none"/>
              </w:rPr>
              <w:t>天然气</w:t>
            </w:r>
          </w:p>
          <w:p w14:paraId="03930F2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燃烧废</w:t>
            </w:r>
          </w:p>
          <w:p w14:paraId="6E1DAFF8">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气</w:t>
            </w:r>
          </w:p>
        </w:tc>
        <w:tc>
          <w:tcPr>
            <w:tcW w:w="349" w:type="dxa"/>
            <w:vMerge w:val="restart"/>
            <w:tcBorders>
              <w:tl2br w:val="nil"/>
              <w:tr2bl w:val="nil"/>
            </w:tcBorders>
            <w:shd w:val="clear" w:color="auto" w:fill="auto"/>
            <w:vAlign w:val="center"/>
          </w:tcPr>
          <w:p w14:paraId="455EAAE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电泳）</w:t>
            </w:r>
            <w:r>
              <w:rPr>
                <w:rFonts w:hint="eastAsia" w:ascii="Times New Roman" w:hAnsi="Times New Roman" w:eastAsia="宋体" w:cs="Times New Roman"/>
                <w:color w:val="auto"/>
                <w:sz w:val="21"/>
                <w:szCs w:val="21"/>
                <w:highlight w:val="none"/>
              </w:rPr>
              <w:t>天然气</w:t>
            </w:r>
          </w:p>
          <w:p w14:paraId="6F81469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w:t>
            </w:r>
          </w:p>
        </w:tc>
        <w:tc>
          <w:tcPr>
            <w:tcW w:w="716" w:type="dxa"/>
            <w:vMerge w:val="restart"/>
            <w:tcBorders>
              <w:tl2br w:val="nil"/>
              <w:tr2bl w:val="nil"/>
            </w:tcBorders>
            <w:shd w:val="clear" w:color="auto" w:fill="auto"/>
            <w:vAlign w:val="center"/>
          </w:tcPr>
          <w:p w14:paraId="4C69409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烟尘（颗粒物）</w:t>
            </w:r>
          </w:p>
        </w:tc>
        <w:tc>
          <w:tcPr>
            <w:tcW w:w="344" w:type="dxa"/>
            <w:vMerge w:val="restart"/>
            <w:tcBorders>
              <w:tl2br w:val="nil"/>
              <w:tr2bl w:val="nil"/>
            </w:tcBorders>
            <w:shd w:val="clear" w:color="auto" w:fill="auto"/>
            <w:vAlign w:val="center"/>
          </w:tcPr>
          <w:p w14:paraId="742077E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产污系数法</w:t>
            </w:r>
          </w:p>
        </w:tc>
        <w:tc>
          <w:tcPr>
            <w:tcW w:w="718" w:type="dxa"/>
            <w:tcBorders>
              <w:tl2br w:val="nil"/>
              <w:tr2bl w:val="nil"/>
            </w:tcBorders>
            <w:shd w:val="clear" w:color="auto" w:fill="auto"/>
            <w:vAlign w:val="center"/>
          </w:tcPr>
          <w:p w14:paraId="0F2F8A18">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6B34AEE7">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0.43</w:t>
            </w:r>
          </w:p>
        </w:tc>
        <w:tc>
          <w:tcPr>
            <w:tcW w:w="708" w:type="dxa"/>
            <w:tcBorders>
              <w:tl2br w:val="nil"/>
              <w:tr2bl w:val="nil"/>
            </w:tcBorders>
            <w:shd w:val="clear" w:color="auto" w:fill="auto"/>
            <w:vAlign w:val="center"/>
          </w:tcPr>
          <w:p w14:paraId="0D00AC9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0.0043</w:t>
            </w:r>
          </w:p>
        </w:tc>
        <w:tc>
          <w:tcPr>
            <w:tcW w:w="657" w:type="dxa"/>
            <w:tcBorders>
              <w:tl2br w:val="nil"/>
              <w:tr2bl w:val="nil"/>
            </w:tcBorders>
            <w:shd w:val="clear" w:color="auto" w:fill="auto"/>
            <w:vAlign w:val="center"/>
          </w:tcPr>
          <w:p w14:paraId="3D3338A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0.010</w:t>
            </w:r>
            <w:r>
              <w:rPr>
                <w:rFonts w:hint="eastAsia" w:eastAsia="Times New Roman" w:cs="Times New Roman"/>
                <w:color w:val="auto"/>
                <w:spacing w:val="3"/>
                <w:position w:val="2"/>
                <w:sz w:val="20"/>
                <w:szCs w:val="20"/>
                <w:lang w:val="en-US" w:eastAsia="zh-CN"/>
              </w:rPr>
              <w:t>3</w:t>
            </w:r>
          </w:p>
        </w:tc>
        <w:tc>
          <w:tcPr>
            <w:tcW w:w="315" w:type="dxa"/>
            <w:tcBorders>
              <w:tl2br w:val="nil"/>
              <w:tr2bl w:val="nil"/>
            </w:tcBorders>
            <w:shd w:val="clear" w:color="auto" w:fill="auto"/>
            <w:vAlign w:val="center"/>
          </w:tcPr>
          <w:p w14:paraId="3037B78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4783FB04">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shd w:val="clear" w:color="auto" w:fill="auto"/>
            <w:vAlign w:val="center"/>
          </w:tcPr>
          <w:p w14:paraId="6AF0F4C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41E9861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1892763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1E2EE18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6422F7C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0.43</w:t>
            </w:r>
          </w:p>
        </w:tc>
        <w:tc>
          <w:tcPr>
            <w:tcW w:w="708" w:type="dxa"/>
            <w:tcBorders>
              <w:tl2br w:val="nil"/>
              <w:tr2bl w:val="nil"/>
            </w:tcBorders>
            <w:shd w:val="clear" w:color="auto" w:fill="auto"/>
            <w:vAlign w:val="center"/>
          </w:tcPr>
          <w:p w14:paraId="20017BB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0.0043</w:t>
            </w:r>
          </w:p>
        </w:tc>
        <w:tc>
          <w:tcPr>
            <w:tcW w:w="657" w:type="dxa"/>
            <w:tcBorders>
              <w:tl2br w:val="nil"/>
              <w:tr2bl w:val="nil"/>
            </w:tcBorders>
            <w:shd w:val="clear" w:color="auto" w:fill="auto"/>
            <w:vAlign w:val="center"/>
          </w:tcPr>
          <w:p w14:paraId="1391B57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0.0103</w:t>
            </w:r>
          </w:p>
        </w:tc>
        <w:tc>
          <w:tcPr>
            <w:tcW w:w="1167" w:type="dxa"/>
            <w:tcBorders>
              <w:tl2br w:val="nil"/>
              <w:tr2bl w:val="nil"/>
            </w:tcBorders>
            <w:shd w:val="clear" w:color="auto" w:fill="auto"/>
            <w:vAlign w:val="center"/>
          </w:tcPr>
          <w:p w14:paraId="1820577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15m</w:t>
            </w:r>
            <w:r>
              <w:rPr>
                <w:rFonts w:hint="eastAsia" w:ascii="Times New Roman" w:hAnsi="Times New Roman" w:eastAsia="宋体" w:cs="Times New Roman"/>
                <w:color w:val="auto"/>
                <w:sz w:val="21"/>
                <w:szCs w:val="21"/>
                <w:highlight w:val="none"/>
              </w:rPr>
              <w:t>、内径0.</w:t>
            </w:r>
            <w:r>
              <w:rPr>
                <w:rFonts w:hint="eastAsia" w:ascii="Times New Roman" w:hAnsi="Times New Roman"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7539042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DA001、一般排放口</w:t>
            </w:r>
          </w:p>
        </w:tc>
        <w:tc>
          <w:tcPr>
            <w:tcW w:w="1266" w:type="dxa"/>
            <w:tcBorders>
              <w:tl2br w:val="nil"/>
              <w:tr2bl w:val="nil"/>
            </w:tcBorders>
            <w:shd w:val="clear" w:color="auto" w:fill="auto"/>
            <w:vAlign w:val="center"/>
          </w:tcPr>
          <w:p w14:paraId="0234214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5F34584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119.292196°</w:t>
            </w:r>
          </w:p>
          <w:p w14:paraId="60D7DBF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650E3FA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25.8060903°</w:t>
            </w:r>
          </w:p>
        </w:tc>
        <w:tc>
          <w:tcPr>
            <w:tcW w:w="545" w:type="dxa"/>
            <w:vMerge w:val="continue"/>
            <w:tcBorders>
              <w:tl2br w:val="nil"/>
              <w:tr2bl w:val="nil"/>
            </w:tcBorders>
            <w:shd w:val="clear" w:color="auto" w:fill="auto"/>
            <w:vAlign w:val="center"/>
          </w:tcPr>
          <w:p w14:paraId="51BD152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266348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56" w:type="dxa"/>
            <w:vMerge w:val="continue"/>
            <w:tcBorders>
              <w:tl2br w:val="nil"/>
              <w:tr2bl w:val="nil"/>
            </w:tcBorders>
            <w:shd w:val="clear" w:color="auto" w:fill="auto"/>
            <w:vAlign w:val="center"/>
          </w:tcPr>
          <w:p w14:paraId="243E448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shd w:val="clear" w:color="auto" w:fill="auto"/>
            <w:vAlign w:val="center"/>
          </w:tcPr>
          <w:p w14:paraId="270D7C3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shd w:val="clear" w:color="auto" w:fill="auto"/>
            <w:vAlign w:val="center"/>
          </w:tcPr>
          <w:p w14:paraId="1CA3818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vMerge w:val="continue"/>
            <w:tcBorders>
              <w:tl2br w:val="nil"/>
              <w:tr2bl w:val="nil"/>
            </w:tcBorders>
            <w:shd w:val="clear" w:color="auto" w:fill="auto"/>
            <w:vAlign w:val="center"/>
          </w:tcPr>
          <w:p w14:paraId="167D49E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732D5AD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6CA5EDC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36BAB1BF">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0.0005</w:t>
            </w:r>
          </w:p>
        </w:tc>
        <w:tc>
          <w:tcPr>
            <w:tcW w:w="657" w:type="dxa"/>
            <w:tcBorders>
              <w:tl2br w:val="nil"/>
              <w:tr2bl w:val="nil"/>
            </w:tcBorders>
            <w:shd w:val="clear" w:color="auto" w:fill="auto"/>
            <w:vAlign w:val="center"/>
          </w:tcPr>
          <w:p w14:paraId="2D72EA86">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0.0011</w:t>
            </w:r>
          </w:p>
        </w:tc>
        <w:tc>
          <w:tcPr>
            <w:tcW w:w="315" w:type="dxa"/>
            <w:tcBorders>
              <w:tl2br w:val="nil"/>
              <w:tr2bl w:val="nil"/>
            </w:tcBorders>
            <w:shd w:val="clear" w:color="auto" w:fill="auto"/>
            <w:vAlign w:val="center"/>
          </w:tcPr>
          <w:p w14:paraId="67163FC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0F695B5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6047676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7CCF3E1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8EFC1F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593536A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50505CD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2CF3E2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0.0005</w:t>
            </w:r>
          </w:p>
        </w:tc>
        <w:tc>
          <w:tcPr>
            <w:tcW w:w="657" w:type="dxa"/>
            <w:tcBorders>
              <w:tl2br w:val="nil"/>
              <w:tr2bl w:val="nil"/>
            </w:tcBorders>
            <w:shd w:val="clear" w:color="auto" w:fill="auto"/>
            <w:vAlign w:val="center"/>
          </w:tcPr>
          <w:p w14:paraId="68E3B708">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0.0011</w:t>
            </w:r>
          </w:p>
        </w:tc>
        <w:tc>
          <w:tcPr>
            <w:tcW w:w="1167" w:type="dxa"/>
            <w:tcBorders>
              <w:tl2br w:val="nil"/>
              <w:tr2bl w:val="nil"/>
            </w:tcBorders>
            <w:shd w:val="clear" w:color="auto" w:fill="auto"/>
            <w:vAlign w:val="center"/>
          </w:tcPr>
          <w:p w14:paraId="4B7C9DF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57175EF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2ACB8AE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7902376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FEFA6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56" w:type="dxa"/>
            <w:vMerge w:val="continue"/>
            <w:tcBorders>
              <w:tl2br w:val="nil"/>
              <w:tr2bl w:val="nil"/>
            </w:tcBorders>
            <w:shd w:val="clear" w:color="auto" w:fill="auto"/>
            <w:vAlign w:val="center"/>
          </w:tcPr>
          <w:p w14:paraId="37D1542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shd w:val="clear" w:color="auto" w:fill="auto"/>
            <w:vAlign w:val="center"/>
          </w:tcPr>
          <w:p w14:paraId="22FB03E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shd w:val="clear" w:color="auto" w:fill="auto"/>
            <w:vAlign w:val="center"/>
          </w:tcPr>
          <w:p w14:paraId="4519EA6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position w:val="1"/>
                <w:sz w:val="21"/>
                <w:szCs w:val="20"/>
                <w:highlight w:val="none"/>
              </w:rPr>
              <w:t>SO</w:t>
            </w:r>
            <w:r>
              <w:rPr>
                <w:rFonts w:ascii="Times New Roman" w:hAnsi="Times New Roman" w:eastAsia="宋体" w:cs="Times New Roman"/>
                <w:color w:val="auto"/>
                <w:spacing w:val="3"/>
                <w:position w:val="1"/>
                <w:sz w:val="21"/>
                <w:szCs w:val="13"/>
                <w:highlight w:val="none"/>
                <w:vertAlign w:val="subscript"/>
              </w:rPr>
              <w:t>2</w:t>
            </w:r>
          </w:p>
        </w:tc>
        <w:tc>
          <w:tcPr>
            <w:tcW w:w="344" w:type="dxa"/>
            <w:vMerge w:val="continue"/>
            <w:tcBorders>
              <w:tl2br w:val="nil"/>
              <w:tr2bl w:val="nil"/>
            </w:tcBorders>
            <w:shd w:val="clear" w:color="auto" w:fill="auto"/>
            <w:vAlign w:val="center"/>
          </w:tcPr>
          <w:p w14:paraId="68CD141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6238FD3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00DFD8D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0.30</w:t>
            </w:r>
          </w:p>
        </w:tc>
        <w:tc>
          <w:tcPr>
            <w:tcW w:w="708" w:type="dxa"/>
            <w:tcBorders>
              <w:tl2br w:val="nil"/>
              <w:tr2bl w:val="nil"/>
            </w:tcBorders>
            <w:shd w:val="clear" w:color="auto" w:fill="auto"/>
            <w:vAlign w:val="center"/>
          </w:tcPr>
          <w:p w14:paraId="5CF7AF18">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0.0030</w:t>
            </w:r>
          </w:p>
        </w:tc>
        <w:tc>
          <w:tcPr>
            <w:tcW w:w="657" w:type="dxa"/>
            <w:tcBorders>
              <w:tl2br w:val="nil"/>
              <w:tr2bl w:val="nil"/>
            </w:tcBorders>
            <w:shd w:val="clear" w:color="auto" w:fill="auto"/>
            <w:vAlign w:val="center"/>
          </w:tcPr>
          <w:p w14:paraId="7E0AAD8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0.0072</w:t>
            </w:r>
          </w:p>
        </w:tc>
        <w:tc>
          <w:tcPr>
            <w:tcW w:w="315" w:type="dxa"/>
            <w:tcBorders>
              <w:tl2br w:val="nil"/>
              <w:tr2bl w:val="nil"/>
            </w:tcBorders>
            <w:shd w:val="clear" w:color="auto" w:fill="auto"/>
            <w:vAlign w:val="center"/>
          </w:tcPr>
          <w:p w14:paraId="29B8E9F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113547B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shd w:val="clear" w:color="auto" w:fill="auto"/>
            <w:vAlign w:val="center"/>
          </w:tcPr>
          <w:p w14:paraId="7B7D50B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5506D5D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3253E74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06CECED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27F9399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w:t>
            </w:r>
          </w:p>
        </w:tc>
        <w:tc>
          <w:tcPr>
            <w:tcW w:w="708" w:type="dxa"/>
            <w:tcBorders>
              <w:tl2br w:val="nil"/>
              <w:tr2bl w:val="nil"/>
            </w:tcBorders>
            <w:shd w:val="clear" w:color="auto" w:fill="auto"/>
            <w:vAlign w:val="center"/>
          </w:tcPr>
          <w:p w14:paraId="04EABCE7">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0.0030</w:t>
            </w:r>
          </w:p>
        </w:tc>
        <w:tc>
          <w:tcPr>
            <w:tcW w:w="657" w:type="dxa"/>
            <w:tcBorders>
              <w:tl2br w:val="nil"/>
              <w:tr2bl w:val="nil"/>
            </w:tcBorders>
            <w:shd w:val="clear" w:color="auto" w:fill="auto"/>
            <w:vAlign w:val="center"/>
          </w:tcPr>
          <w:p w14:paraId="1939FE7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0.0072</w:t>
            </w:r>
          </w:p>
        </w:tc>
        <w:tc>
          <w:tcPr>
            <w:tcW w:w="1167" w:type="dxa"/>
            <w:tcBorders>
              <w:tl2br w:val="nil"/>
              <w:tr2bl w:val="nil"/>
            </w:tcBorders>
            <w:shd w:val="clear" w:color="auto" w:fill="auto"/>
            <w:vAlign w:val="center"/>
          </w:tcPr>
          <w:p w14:paraId="3AF4D54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15m</w:t>
            </w:r>
            <w:r>
              <w:rPr>
                <w:rFonts w:hint="eastAsia" w:ascii="Times New Roman" w:hAnsi="Times New Roman" w:eastAsia="宋体" w:cs="Times New Roman"/>
                <w:color w:val="auto"/>
                <w:sz w:val="21"/>
                <w:szCs w:val="21"/>
                <w:highlight w:val="none"/>
              </w:rPr>
              <w:t>、内径0.</w:t>
            </w:r>
            <w:r>
              <w:rPr>
                <w:rFonts w:hint="eastAsia" w:ascii="Times New Roman" w:hAnsi="Times New Roman"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3BE59B5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DA001、一般排放口</w:t>
            </w:r>
          </w:p>
        </w:tc>
        <w:tc>
          <w:tcPr>
            <w:tcW w:w="1266" w:type="dxa"/>
            <w:tcBorders>
              <w:tl2br w:val="nil"/>
              <w:tr2bl w:val="nil"/>
            </w:tcBorders>
            <w:shd w:val="clear" w:color="auto" w:fill="auto"/>
            <w:vAlign w:val="center"/>
          </w:tcPr>
          <w:p w14:paraId="38EEA22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38C8884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119.292196°</w:t>
            </w:r>
          </w:p>
          <w:p w14:paraId="184D07A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09D3F41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shd w:val="clear"/>
              </w:rPr>
              <w:t>25.8060903°</w:t>
            </w:r>
          </w:p>
        </w:tc>
        <w:tc>
          <w:tcPr>
            <w:tcW w:w="545" w:type="dxa"/>
            <w:vMerge w:val="continue"/>
            <w:tcBorders>
              <w:tl2br w:val="nil"/>
              <w:tr2bl w:val="nil"/>
            </w:tcBorders>
            <w:shd w:val="clear" w:color="auto" w:fill="auto"/>
            <w:vAlign w:val="center"/>
          </w:tcPr>
          <w:p w14:paraId="05D730A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748EDF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56" w:type="dxa"/>
            <w:vMerge w:val="continue"/>
            <w:tcBorders>
              <w:tl2br w:val="nil"/>
              <w:tr2bl w:val="nil"/>
            </w:tcBorders>
            <w:shd w:val="clear" w:color="auto" w:fill="auto"/>
            <w:vAlign w:val="center"/>
          </w:tcPr>
          <w:p w14:paraId="15B63B6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shd w:val="clear" w:color="auto" w:fill="auto"/>
            <w:vAlign w:val="center"/>
          </w:tcPr>
          <w:p w14:paraId="0F7C40F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shd w:val="clear" w:color="auto" w:fill="auto"/>
            <w:vAlign w:val="center"/>
          </w:tcPr>
          <w:p w14:paraId="255B0FE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vMerge w:val="continue"/>
            <w:tcBorders>
              <w:tl2br w:val="nil"/>
              <w:tr2bl w:val="nil"/>
            </w:tcBorders>
            <w:shd w:val="clear" w:color="auto" w:fill="auto"/>
            <w:vAlign w:val="center"/>
          </w:tcPr>
          <w:p w14:paraId="35D0820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40A4117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286CFED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2472B22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0.0003</w:t>
            </w:r>
          </w:p>
        </w:tc>
        <w:tc>
          <w:tcPr>
            <w:tcW w:w="657" w:type="dxa"/>
            <w:tcBorders>
              <w:tl2br w:val="nil"/>
              <w:tr2bl w:val="nil"/>
            </w:tcBorders>
            <w:shd w:val="clear" w:color="auto" w:fill="auto"/>
            <w:vAlign w:val="center"/>
          </w:tcPr>
          <w:p w14:paraId="7E7B9C1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315" w:type="dxa"/>
            <w:tcBorders>
              <w:tl2br w:val="nil"/>
              <w:tr2bl w:val="nil"/>
            </w:tcBorders>
            <w:shd w:val="clear" w:color="auto" w:fill="auto"/>
            <w:vAlign w:val="center"/>
          </w:tcPr>
          <w:p w14:paraId="6187211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3E81612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300363A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6CE14C6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630034B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1C4B381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5C167E0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5A3399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0.0003</w:t>
            </w:r>
          </w:p>
        </w:tc>
        <w:tc>
          <w:tcPr>
            <w:tcW w:w="657" w:type="dxa"/>
            <w:tcBorders>
              <w:tl2br w:val="nil"/>
              <w:tr2bl w:val="nil"/>
            </w:tcBorders>
            <w:shd w:val="clear" w:color="auto" w:fill="auto"/>
            <w:vAlign w:val="center"/>
          </w:tcPr>
          <w:p w14:paraId="0D2F879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1167" w:type="dxa"/>
            <w:tcBorders>
              <w:tl2br w:val="nil"/>
              <w:tr2bl w:val="nil"/>
            </w:tcBorders>
            <w:shd w:val="clear" w:color="auto" w:fill="auto"/>
            <w:vAlign w:val="center"/>
          </w:tcPr>
          <w:p w14:paraId="44F8B8E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4451843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650FD69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2E41B24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04D88B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56" w:type="dxa"/>
            <w:vMerge w:val="continue"/>
            <w:tcBorders>
              <w:tl2br w:val="nil"/>
              <w:tr2bl w:val="nil"/>
            </w:tcBorders>
            <w:shd w:val="clear" w:color="auto" w:fill="auto"/>
            <w:vAlign w:val="center"/>
          </w:tcPr>
          <w:p w14:paraId="43AA1E5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shd w:val="clear" w:color="auto" w:fill="auto"/>
            <w:vAlign w:val="center"/>
          </w:tcPr>
          <w:p w14:paraId="137276A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shd w:val="clear" w:color="auto" w:fill="auto"/>
            <w:vAlign w:val="center"/>
          </w:tcPr>
          <w:p w14:paraId="7950A65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s="Times New Roman"/>
                <w:color w:val="auto"/>
                <w:spacing w:val="6"/>
                <w:sz w:val="21"/>
                <w:szCs w:val="20"/>
                <w:highlight w:val="none"/>
              </w:rPr>
              <w:t>NOx</w:t>
            </w:r>
          </w:p>
        </w:tc>
        <w:tc>
          <w:tcPr>
            <w:tcW w:w="344" w:type="dxa"/>
            <w:vMerge w:val="continue"/>
            <w:tcBorders>
              <w:tl2br w:val="nil"/>
              <w:tr2bl w:val="nil"/>
            </w:tcBorders>
            <w:shd w:val="clear" w:color="auto" w:fill="auto"/>
            <w:vAlign w:val="center"/>
          </w:tcPr>
          <w:p w14:paraId="35B23AB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6E7A25C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5A2E1D5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2.38</w:t>
            </w:r>
          </w:p>
        </w:tc>
        <w:tc>
          <w:tcPr>
            <w:tcW w:w="708" w:type="dxa"/>
            <w:tcBorders>
              <w:tl2br w:val="nil"/>
              <w:tr2bl w:val="nil"/>
            </w:tcBorders>
            <w:shd w:val="clear" w:color="auto" w:fill="auto"/>
            <w:vAlign w:val="center"/>
          </w:tcPr>
          <w:p w14:paraId="61AA2102">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0.0238</w:t>
            </w:r>
          </w:p>
        </w:tc>
        <w:tc>
          <w:tcPr>
            <w:tcW w:w="657" w:type="dxa"/>
            <w:tcBorders>
              <w:tl2br w:val="nil"/>
              <w:tr2bl w:val="nil"/>
            </w:tcBorders>
            <w:shd w:val="clear" w:color="auto" w:fill="auto"/>
            <w:vAlign w:val="center"/>
          </w:tcPr>
          <w:p w14:paraId="7B15CAA0">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0.0571</w:t>
            </w:r>
          </w:p>
        </w:tc>
        <w:tc>
          <w:tcPr>
            <w:tcW w:w="315" w:type="dxa"/>
            <w:tcBorders>
              <w:tl2br w:val="nil"/>
              <w:tr2bl w:val="nil"/>
            </w:tcBorders>
            <w:shd w:val="clear" w:color="auto" w:fill="auto"/>
            <w:vAlign w:val="center"/>
          </w:tcPr>
          <w:p w14:paraId="076EE3A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6F919EE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shd w:val="clear" w:color="auto" w:fill="auto"/>
            <w:vAlign w:val="center"/>
          </w:tcPr>
          <w:p w14:paraId="45E9790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243095D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7D2C09B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2326E38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66B7D8A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2.38</w:t>
            </w:r>
          </w:p>
        </w:tc>
        <w:tc>
          <w:tcPr>
            <w:tcW w:w="708" w:type="dxa"/>
            <w:tcBorders>
              <w:tl2br w:val="nil"/>
              <w:tr2bl w:val="nil"/>
            </w:tcBorders>
            <w:shd w:val="clear" w:color="auto" w:fill="auto"/>
            <w:vAlign w:val="center"/>
          </w:tcPr>
          <w:p w14:paraId="13BBB6A1">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0.0238</w:t>
            </w:r>
          </w:p>
        </w:tc>
        <w:tc>
          <w:tcPr>
            <w:tcW w:w="657" w:type="dxa"/>
            <w:tcBorders>
              <w:tl2br w:val="nil"/>
              <w:tr2bl w:val="nil"/>
            </w:tcBorders>
            <w:shd w:val="clear" w:color="auto" w:fill="auto"/>
            <w:vAlign w:val="center"/>
          </w:tcPr>
          <w:p w14:paraId="397E8B41">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0.0571</w:t>
            </w:r>
          </w:p>
        </w:tc>
        <w:tc>
          <w:tcPr>
            <w:tcW w:w="1167" w:type="dxa"/>
            <w:tcBorders>
              <w:tl2br w:val="nil"/>
              <w:tr2bl w:val="nil"/>
            </w:tcBorders>
            <w:shd w:val="clear" w:color="auto" w:fill="auto"/>
            <w:vAlign w:val="center"/>
          </w:tcPr>
          <w:p w14:paraId="381C768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eastAsia="zh-CN"/>
              </w:rPr>
              <w:t>15m</w:t>
            </w:r>
            <w:r>
              <w:rPr>
                <w:rFonts w:hint="eastAsia" w:ascii="Times New Roman" w:hAnsi="Times New Roman" w:eastAsia="宋体" w:cs="Times New Roman"/>
                <w:color w:val="auto"/>
                <w:sz w:val="21"/>
                <w:szCs w:val="21"/>
                <w:highlight w:val="none"/>
              </w:rPr>
              <w:t>、内径0.</w:t>
            </w:r>
            <w:r>
              <w:rPr>
                <w:rFonts w:hint="eastAsia" w:ascii="Times New Roman" w:hAnsi="Times New Roman"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7BB6407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DA001、一般排放口</w:t>
            </w:r>
          </w:p>
        </w:tc>
        <w:tc>
          <w:tcPr>
            <w:tcW w:w="1266" w:type="dxa"/>
            <w:tcBorders>
              <w:tl2br w:val="nil"/>
              <w:tr2bl w:val="nil"/>
            </w:tcBorders>
            <w:shd w:val="clear" w:color="auto" w:fill="auto"/>
            <w:vAlign w:val="center"/>
          </w:tcPr>
          <w:p w14:paraId="044558D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789C52C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119.292196°</w:t>
            </w:r>
          </w:p>
          <w:p w14:paraId="1893E1F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357CC68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shd w:val="clear"/>
              </w:rPr>
              <w:t>25.8060903°</w:t>
            </w:r>
          </w:p>
        </w:tc>
        <w:tc>
          <w:tcPr>
            <w:tcW w:w="545" w:type="dxa"/>
            <w:vMerge w:val="continue"/>
            <w:tcBorders>
              <w:tl2br w:val="nil"/>
              <w:tr2bl w:val="nil"/>
            </w:tcBorders>
            <w:shd w:val="clear" w:color="auto" w:fill="auto"/>
            <w:vAlign w:val="center"/>
          </w:tcPr>
          <w:p w14:paraId="43B63CE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2C5729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656" w:type="dxa"/>
            <w:vMerge w:val="continue"/>
            <w:tcBorders>
              <w:tl2br w:val="nil"/>
              <w:tr2bl w:val="nil"/>
            </w:tcBorders>
            <w:shd w:val="clear" w:color="auto" w:fill="auto"/>
            <w:vAlign w:val="center"/>
          </w:tcPr>
          <w:p w14:paraId="602A725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shd w:val="clear" w:color="auto" w:fill="auto"/>
            <w:vAlign w:val="center"/>
          </w:tcPr>
          <w:p w14:paraId="71F4754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shd w:val="clear" w:color="auto" w:fill="auto"/>
            <w:vAlign w:val="center"/>
          </w:tcPr>
          <w:p w14:paraId="32B64F3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vMerge w:val="continue"/>
            <w:tcBorders>
              <w:tl2br w:val="nil"/>
              <w:tr2bl w:val="nil"/>
            </w:tcBorders>
            <w:shd w:val="clear" w:color="auto" w:fill="auto"/>
            <w:vAlign w:val="center"/>
          </w:tcPr>
          <w:p w14:paraId="422F948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08BE115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2BCFE68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30028E2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0.0026</w:t>
            </w:r>
          </w:p>
        </w:tc>
        <w:tc>
          <w:tcPr>
            <w:tcW w:w="657" w:type="dxa"/>
            <w:tcBorders>
              <w:tl2br w:val="nil"/>
              <w:tr2bl w:val="nil"/>
            </w:tcBorders>
            <w:shd w:val="clear" w:color="auto" w:fill="auto"/>
            <w:vAlign w:val="center"/>
          </w:tcPr>
          <w:p w14:paraId="7416D959">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0.0063</w:t>
            </w:r>
          </w:p>
        </w:tc>
        <w:tc>
          <w:tcPr>
            <w:tcW w:w="315" w:type="dxa"/>
            <w:tcBorders>
              <w:tl2br w:val="nil"/>
              <w:tr2bl w:val="nil"/>
            </w:tcBorders>
            <w:shd w:val="clear" w:color="auto" w:fill="auto"/>
            <w:vAlign w:val="center"/>
          </w:tcPr>
          <w:p w14:paraId="428C4C3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540A7EC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5AFA7A3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3109043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7D3E36B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410894F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037F3E3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7B268B4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0.0026</w:t>
            </w:r>
          </w:p>
        </w:tc>
        <w:tc>
          <w:tcPr>
            <w:tcW w:w="657" w:type="dxa"/>
            <w:tcBorders>
              <w:tl2br w:val="nil"/>
              <w:tr2bl w:val="nil"/>
            </w:tcBorders>
            <w:shd w:val="clear" w:color="auto" w:fill="auto"/>
            <w:vAlign w:val="center"/>
          </w:tcPr>
          <w:p w14:paraId="16DD9441">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0.0063</w:t>
            </w:r>
          </w:p>
        </w:tc>
        <w:tc>
          <w:tcPr>
            <w:tcW w:w="1167" w:type="dxa"/>
            <w:tcBorders>
              <w:tl2br w:val="nil"/>
              <w:tr2bl w:val="nil"/>
            </w:tcBorders>
            <w:shd w:val="clear" w:color="auto" w:fill="auto"/>
            <w:vAlign w:val="center"/>
          </w:tcPr>
          <w:p w14:paraId="0178A81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46750FC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1AA23A0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26483B8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3C102C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656" w:type="dxa"/>
            <w:vMerge w:val="restart"/>
            <w:tcBorders>
              <w:tl2br w:val="nil"/>
              <w:tr2bl w:val="nil"/>
            </w:tcBorders>
            <w:shd w:val="clear" w:color="auto" w:fill="auto"/>
            <w:vAlign w:val="center"/>
          </w:tcPr>
          <w:p w14:paraId="003C598E">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焊接废气</w:t>
            </w:r>
          </w:p>
        </w:tc>
        <w:tc>
          <w:tcPr>
            <w:tcW w:w="349" w:type="dxa"/>
            <w:vMerge w:val="restart"/>
            <w:tcBorders>
              <w:tl2br w:val="nil"/>
              <w:tr2bl w:val="nil"/>
            </w:tcBorders>
            <w:shd w:val="clear" w:color="auto" w:fill="auto"/>
            <w:vAlign w:val="center"/>
          </w:tcPr>
          <w:p w14:paraId="6E31BF09">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w:t>
            </w:r>
          </w:p>
        </w:tc>
        <w:tc>
          <w:tcPr>
            <w:tcW w:w="716" w:type="dxa"/>
            <w:vMerge w:val="restart"/>
            <w:tcBorders>
              <w:tl2br w:val="nil"/>
              <w:tr2bl w:val="nil"/>
            </w:tcBorders>
            <w:shd w:val="clear" w:color="auto" w:fill="auto"/>
            <w:vAlign w:val="center"/>
          </w:tcPr>
          <w:p w14:paraId="2E15205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颗粒物</w:t>
            </w:r>
          </w:p>
        </w:tc>
        <w:tc>
          <w:tcPr>
            <w:tcW w:w="344" w:type="dxa"/>
            <w:vMerge w:val="restart"/>
            <w:tcBorders>
              <w:tl2br w:val="nil"/>
              <w:tr2bl w:val="nil"/>
            </w:tcBorders>
            <w:shd w:val="clear" w:color="auto" w:fill="auto"/>
            <w:vAlign w:val="center"/>
          </w:tcPr>
          <w:p w14:paraId="1C94EC9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产污系数法</w:t>
            </w:r>
          </w:p>
        </w:tc>
        <w:tc>
          <w:tcPr>
            <w:tcW w:w="718" w:type="dxa"/>
            <w:tcBorders>
              <w:tl2br w:val="nil"/>
              <w:tr2bl w:val="nil"/>
            </w:tcBorders>
            <w:shd w:val="clear" w:color="auto" w:fill="auto"/>
            <w:vAlign w:val="center"/>
          </w:tcPr>
          <w:p w14:paraId="7DD17B2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915" w:type="dxa"/>
            <w:tcBorders>
              <w:tl2br w:val="nil"/>
              <w:tr2bl w:val="nil"/>
            </w:tcBorders>
            <w:shd w:val="clear" w:color="auto" w:fill="auto"/>
            <w:vAlign w:val="center"/>
          </w:tcPr>
          <w:p w14:paraId="21B62C76">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15.38</w:t>
            </w:r>
          </w:p>
        </w:tc>
        <w:tc>
          <w:tcPr>
            <w:tcW w:w="708" w:type="dxa"/>
            <w:tcBorders>
              <w:tl2br w:val="nil"/>
              <w:tr2bl w:val="nil"/>
            </w:tcBorders>
            <w:shd w:val="clear" w:color="auto" w:fill="auto"/>
            <w:vAlign w:val="center"/>
          </w:tcPr>
          <w:p w14:paraId="6380244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0.1538</w:t>
            </w:r>
          </w:p>
        </w:tc>
        <w:tc>
          <w:tcPr>
            <w:tcW w:w="657" w:type="dxa"/>
            <w:tcBorders>
              <w:tl2br w:val="nil"/>
              <w:tr2bl w:val="nil"/>
            </w:tcBorders>
            <w:shd w:val="clear" w:color="auto" w:fill="auto"/>
            <w:vAlign w:val="center"/>
          </w:tcPr>
          <w:p w14:paraId="25291FB3">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0.369</w:t>
            </w:r>
          </w:p>
        </w:tc>
        <w:tc>
          <w:tcPr>
            <w:tcW w:w="315" w:type="dxa"/>
            <w:tcBorders>
              <w:tl2br w:val="nil"/>
              <w:tr2bl w:val="nil"/>
            </w:tcBorders>
            <w:shd w:val="clear" w:color="auto" w:fill="auto"/>
            <w:vAlign w:val="center"/>
          </w:tcPr>
          <w:p w14:paraId="3DE46C6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shd w:val="clear" w:color="auto" w:fill="auto"/>
            <w:vAlign w:val="center"/>
          </w:tcPr>
          <w:p w14:paraId="1F4F188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olor w:val="auto"/>
                <w:spacing w:val="9"/>
                <w:sz w:val="21"/>
                <w:szCs w:val="24"/>
                <w:highlight w:val="none"/>
                <w:lang w:eastAsia="zh-CN"/>
              </w:rPr>
              <w:t>布袋</w:t>
            </w:r>
            <w:r>
              <w:rPr>
                <w:rFonts w:ascii="Times New Roman" w:hAnsi="Times New Roman" w:eastAsia="宋体"/>
                <w:color w:val="auto"/>
                <w:spacing w:val="2"/>
                <w:sz w:val="21"/>
                <w:szCs w:val="24"/>
                <w:highlight w:val="none"/>
              </w:rPr>
              <w:t>除尘器</w:t>
            </w:r>
          </w:p>
        </w:tc>
        <w:tc>
          <w:tcPr>
            <w:tcW w:w="395" w:type="dxa"/>
            <w:tcBorders>
              <w:tl2br w:val="nil"/>
              <w:tr2bl w:val="nil"/>
            </w:tcBorders>
            <w:shd w:val="clear" w:color="auto" w:fill="auto"/>
            <w:vAlign w:val="center"/>
          </w:tcPr>
          <w:p w14:paraId="14070DC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22FA66E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95%</w:t>
            </w:r>
          </w:p>
        </w:tc>
        <w:tc>
          <w:tcPr>
            <w:tcW w:w="500" w:type="dxa"/>
            <w:tcBorders>
              <w:tl2br w:val="nil"/>
              <w:tr2bl w:val="nil"/>
            </w:tcBorders>
            <w:shd w:val="clear" w:color="auto" w:fill="auto"/>
            <w:vAlign w:val="center"/>
          </w:tcPr>
          <w:p w14:paraId="5592CA4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shd w:val="clear" w:color="auto" w:fill="auto"/>
            <w:vAlign w:val="center"/>
          </w:tcPr>
          <w:p w14:paraId="7F6C5E7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10000</w:t>
            </w:r>
          </w:p>
        </w:tc>
        <w:tc>
          <w:tcPr>
            <w:tcW w:w="703" w:type="dxa"/>
            <w:tcBorders>
              <w:tl2br w:val="nil"/>
              <w:tr2bl w:val="nil"/>
            </w:tcBorders>
            <w:shd w:val="clear" w:color="auto" w:fill="auto"/>
            <w:vAlign w:val="center"/>
          </w:tcPr>
          <w:p w14:paraId="02C321B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0.77</w:t>
            </w:r>
          </w:p>
        </w:tc>
        <w:tc>
          <w:tcPr>
            <w:tcW w:w="708" w:type="dxa"/>
            <w:tcBorders>
              <w:tl2br w:val="nil"/>
              <w:tr2bl w:val="nil"/>
            </w:tcBorders>
            <w:shd w:val="clear" w:color="auto" w:fill="auto"/>
            <w:vAlign w:val="center"/>
          </w:tcPr>
          <w:p w14:paraId="2A2E99D0">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0.0077</w:t>
            </w:r>
          </w:p>
        </w:tc>
        <w:tc>
          <w:tcPr>
            <w:tcW w:w="657" w:type="dxa"/>
            <w:tcBorders>
              <w:tl2br w:val="nil"/>
              <w:tr2bl w:val="nil"/>
            </w:tcBorders>
            <w:shd w:val="clear" w:color="auto" w:fill="auto"/>
            <w:vAlign w:val="center"/>
          </w:tcPr>
          <w:p w14:paraId="170539C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0.0185</w:t>
            </w:r>
          </w:p>
        </w:tc>
        <w:tc>
          <w:tcPr>
            <w:tcW w:w="1167" w:type="dxa"/>
            <w:tcBorders>
              <w:tl2br w:val="nil"/>
              <w:tr2bl w:val="nil"/>
            </w:tcBorders>
            <w:shd w:val="clear" w:color="auto" w:fill="auto"/>
            <w:vAlign w:val="center"/>
          </w:tcPr>
          <w:p w14:paraId="3578020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510B725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DA002一般排放口</w:t>
            </w:r>
          </w:p>
        </w:tc>
        <w:tc>
          <w:tcPr>
            <w:tcW w:w="1266" w:type="dxa"/>
            <w:tcBorders>
              <w:tl2br w:val="nil"/>
              <w:tr2bl w:val="nil"/>
            </w:tcBorders>
            <w:shd w:val="clear" w:color="auto" w:fill="auto"/>
            <w:vAlign w:val="center"/>
          </w:tcPr>
          <w:p w14:paraId="3FA15C0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25224F8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119.292298°</w:t>
            </w:r>
          </w:p>
          <w:p w14:paraId="10066F6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4BF660D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25.8056665°</w:t>
            </w:r>
          </w:p>
        </w:tc>
        <w:tc>
          <w:tcPr>
            <w:tcW w:w="545" w:type="dxa"/>
            <w:vMerge w:val="continue"/>
            <w:tcBorders>
              <w:tl2br w:val="nil"/>
              <w:tr2bl w:val="nil"/>
            </w:tcBorders>
            <w:shd w:val="clear" w:color="auto" w:fill="auto"/>
            <w:vAlign w:val="center"/>
          </w:tcPr>
          <w:p w14:paraId="6EEAA15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0CE529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656" w:type="dxa"/>
            <w:vMerge w:val="continue"/>
            <w:tcBorders>
              <w:tl2br w:val="nil"/>
              <w:tr2bl w:val="nil"/>
            </w:tcBorders>
            <w:shd w:val="clear" w:color="auto" w:fill="auto"/>
            <w:vAlign w:val="center"/>
          </w:tcPr>
          <w:p w14:paraId="4EC7246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shd w:val="clear" w:color="auto" w:fill="auto"/>
            <w:vAlign w:val="center"/>
          </w:tcPr>
          <w:p w14:paraId="27D52F4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shd w:val="clear" w:color="auto" w:fill="auto"/>
            <w:vAlign w:val="center"/>
          </w:tcPr>
          <w:p w14:paraId="09BF22C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4" w:type="dxa"/>
            <w:vMerge w:val="continue"/>
            <w:tcBorders>
              <w:tl2br w:val="nil"/>
              <w:tr2bl w:val="nil"/>
            </w:tcBorders>
            <w:shd w:val="clear" w:color="auto" w:fill="auto"/>
            <w:vAlign w:val="center"/>
          </w:tcPr>
          <w:p w14:paraId="1912B3A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shd w:val="clear" w:color="auto" w:fill="auto"/>
            <w:vAlign w:val="center"/>
          </w:tcPr>
          <w:p w14:paraId="77AC910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shd w:val="clear" w:color="auto" w:fill="auto"/>
            <w:vAlign w:val="center"/>
          </w:tcPr>
          <w:p w14:paraId="5EB49F8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08DCA42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0.0051</w:t>
            </w:r>
          </w:p>
        </w:tc>
        <w:tc>
          <w:tcPr>
            <w:tcW w:w="657" w:type="dxa"/>
            <w:tcBorders>
              <w:tl2br w:val="nil"/>
              <w:tr2bl w:val="nil"/>
            </w:tcBorders>
            <w:shd w:val="clear" w:color="auto" w:fill="auto"/>
            <w:vAlign w:val="center"/>
          </w:tcPr>
          <w:p w14:paraId="3F815798">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0.0123</w:t>
            </w:r>
          </w:p>
        </w:tc>
        <w:tc>
          <w:tcPr>
            <w:tcW w:w="315" w:type="dxa"/>
            <w:tcBorders>
              <w:tl2br w:val="nil"/>
              <w:tr2bl w:val="nil"/>
            </w:tcBorders>
            <w:shd w:val="clear" w:color="auto" w:fill="auto"/>
            <w:vAlign w:val="center"/>
          </w:tcPr>
          <w:p w14:paraId="0C29A09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4AB557A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3039CB7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363A362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70%</w:t>
            </w:r>
          </w:p>
        </w:tc>
        <w:tc>
          <w:tcPr>
            <w:tcW w:w="500" w:type="dxa"/>
            <w:tcBorders>
              <w:tl2br w:val="nil"/>
              <w:tr2bl w:val="nil"/>
            </w:tcBorders>
            <w:shd w:val="clear" w:color="auto" w:fill="auto"/>
            <w:vAlign w:val="center"/>
          </w:tcPr>
          <w:p w14:paraId="7FEC1CC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shd w:val="clear" w:color="auto" w:fill="auto"/>
            <w:vAlign w:val="center"/>
          </w:tcPr>
          <w:p w14:paraId="2D6D663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shd w:val="clear" w:color="auto" w:fill="auto"/>
            <w:vAlign w:val="center"/>
          </w:tcPr>
          <w:p w14:paraId="619BA9C6">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C70AB33">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0.0051</w:t>
            </w:r>
          </w:p>
        </w:tc>
        <w:tc>
          <w:tcPr>
            <w:tcW w:w="657" w:type="dxa"/>
            <w:tcBorders>
              <w:tl2br w:val="nil"/>
              <w:tr2bl w:val="nil"/>
            </w:tcBorders>
            <w:shd w:val="clear" w:color="auto" w:fill="auto"/>
            <w:vAlign w:val="center"/>
          </w:tcPr>
          <w:p w14:paraId="77C4237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0.0123</w:t>
            </w:r>
          </w:p>
        </w:tc>
        <w:tc>
          <w:tcPr>
            <w:tcW w:w="1167" w:type="dxa"/>
            <w:tcBorders>
              <w:tl2br w:val="nil"/>
              <w:tr2bl w:val="nil"/>
            </w:tcBorders>
            <w:shd w:val="clear" w:color="auto" w:fill="auto"/>
            <w:vAlign w:val="center"/>
          </w:tcPr>
          <w:p w14:paraId="49EC333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shd w:val="clear" w:color="auto" w:fill="auto"/>
            <w:vAlign w:val="center"/>
          </w:tcPr>
          <w:p w14:paraId="66A081F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shd w:val="clear" w:color="auto" w:fill="auto"/>
            <w:vAlign w:val="center"/>
          </w:tcPr>
          <w:p w14:paraId="2BF6327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shd w:val="clear" w:color="auto" w:fill="auto"/>
            <w:vAlign w:val="center"/>
          </w:tcPr>
          <w:p w14:paraId="2E17EDF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AE751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56" w:type="dxa"/>
            <w:vMerge w:val="restart"/>
            <w:tcBorders>
              <w:tl2br w:val="nil"/>
              <w:tr2bl w:val="nil"/>
            </w:tcBorders>
            <w:vAlign w:val="center"/>
          </w:tcPr>
          <w:p w14:paraId="5FB25FF1">
            <w:pPr>
              <w:pStyle w:val="115"/>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olor w:val="auto"/>
                <w:spacing w:val="7"/>
                <w:sz w:val="21"/>
                <w:lang w:eastAsia="zh-CN"/>
              </w:rPr>
              <w:t>废水处理设施废气</w:t>
            </w:r>
          </w:p>
        </w:tc>
        <w:tc>
          <w:tcPr>
            <w:tcW w:w="349" w:type="dxa"/>
            <w:vMerge w:val="restart"/>
            <w:tcBorders>
              <w:tl2br w:val="nil"/>
              <w:tr2bl w:val="nil"/>
            </w:tcBorders>
            <w:vAlign w:val="center"/>
          </w:tcPr>
          <w:p w14:paraId="499205B5">
            <w:pPr>
              <w:pStyle w:val="115"/>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olor w:val="auto"/>
                <w:spacing w:val="7"/>
                <w:sz w:val="21"/>
              </w:rPr>
              <w:t>废水处</w:t>
            </w:r>
            <w:r>
              <w:rPr>
                <w:rFonts w:ascii="Times New Roman" w:hAnsi="Times New Roman" w:eastAsia="宋体"/>
                <w:color w:val="auto"/>
                <w:spacing w:val="6"/>
                <w:sz w:val="21"/>
              </w:rPr>
              <w:t>理</w:t>
            </w:r>
          </w:p>
        </w:tc>
        <w:tc>
          <w:tcPr>
            <w:tcW w:w="716" w:type="dxa"/>
            <w:tcBorders>
              <w:tl2br w:val="nil"/>
              <w:tr2bl w:val="nil"/>
            </w:tcBorders>
            <w:vAlign w:val="center"/>
          </w:tcPr>
          <w:p w14:paraId="39438610">
            <w:pPr>
              <w:pStyle w:val="115"/>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ascii="Times New Roman" w:hAnsi="Times New Roman" w:eastAsia="宋体"/>
                <w:color w:val="auto"/>
                <w:sz w:val="21"/>
              </w:rPr>
              <w:t>氨</w:t>
            </w:r>
          </w:p>
        </w:tc>
        <w:tc>
          <w:tcPr>
            <w:tcW w:w="344" w:type="dxa"/>
            <w:vMerge w:val="continue"/>
            <w:tcBorders>
              <w:tl2br w:val="nil"/>
              <w:tr2bl w:val="nil"/>
            </w:tcBorders>
            <w:vAlign w:val="center"/>
          </w:tcPr>
          <w:p w14:paraId="7BB4C9B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4CCF5E0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5F4A67E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79D49D3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0.025</w:t>
            </w:r>
          </w:p>
        </w:tc>
        <w:tc>
          <w:tcPr>
            <w:tcW w:w="657" w:type="dxa"/>
            <w:tcBorders>
              <w:tl2br w:val="nil"/>
              <w:tr2bl w:val="nil"/>
            </w:tcBorders>
            <w:shd w:val="clear" w:color="auto" w:fill="auto"/>
            <w:vAlign w:val="center"/>
          </w:tcPr>
          <w:p w14:paraId="69C78627">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0.06</w:t>
            </w:r>
          </w:p>
        </w:tc>
        <w:tc>
          <w:tcPr>
            <w:tcW w:w="315" w:type="dxa"/>
            <w:vMerge w:val="restart"/>
            <w:tcBorders>
              <w:tl2br w:val="nil"/>
              <w:tr2bl w:val="nil"/>
            </w:tcBorders>
            <w:vAlign w:val="center"/>
          </w:tcPr>
          <w:p w14:paraId="4728933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vMerge w:val="restart"/>
            <w:tcBorders>
              <w:tl2br w:val="nil"/>
              <w:tr2bl w:val="nil"/>
            </w:tcBorders>
            <w:vAlign w:val="center"/>
          </w:tcPr>
          <w:p w14:paraId="12F75E1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vAlign w:val="center"/>
          </w:tcPr>
          <w:p w14:paraId="17A5C2E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vAlign w:val="center"/>
          </w:tcPr>
          <w:p w14:paraId="108E22D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vAlign w:val="center"/>
          </w:tcPr>
          <w:p w14:paraId="5A50721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1C7FF12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21A16EE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41A4B10">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0.025</w:t>
            </w:r>
          </w:p>
        </w:tc>
        <w:tc>
          <w:tcPr>
            <w:tcW w:w="657" w:type="dxa"/>
            <w:tcBorders>
              <w:tl2br w:val="nil"/>
              <w:tr2bl w:val="nil"/>
            </w:tcBorders>
            <w:shd w:val="clear" w:color="auto" w:fill="auto"/>
            <w:vAlign w:val="center"/>
          </w:tcPr>
          <w:p w14:paraId="4BF19B2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0.06</w:t>
            </w:r>
          </w:p>
        </w:tc>
        <w:tc>
          <w:tcPr>
            <w:tcW w:w="1167" w:type="dxa"/>
            <w:tcBorders>
              <w:tl2br w:val="nil"/>
              <w:tr2bl w:val="nil"/>
            </w:tcBorders>
            <w:vAlign w:val="center"/>
          </w:tcPr>
          <w:p w14:paraId="640BE46D">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7B99388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77F9290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76505D4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399588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0690CCE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7680890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337C7CF6">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ascii="Times New Roman" w:hAnsi="Times New Roman" w:eastAsia="宋体"/>
                <w:color w:val="auto"/>
                <w:spacing w:val="7"/>
                <w:sz w:val="21"/>
              </w:rPr>
              <w:t>硫化氢</w:t>
            </w:r>
          </w:p>
        </w:tc>
        <w:tc>
          <w:tcPr>
            <w:tcW w:w="344" w:type="dxa"/>
            <w:vMerge w:val="continue"/>
            <w:tcBorders>
              <w:tl2br w:val="nil"/>
              <w:tr2bl w:val="nil"/>
            </w:tcBorders>
            <w:vAlign w:val="center"/>
          </w:tcPr>
          <w:p w14:paraId="0DF0FEA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20250F0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5AEC51E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7C3AC0A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w:t>
            </w:r>
          </w:p>
        </w:tc>
        <w:tc>
          <w:tcPr>
            <w:tcW w:w="657" w:type="dxa"/>
            <w:tcBorders>
              <w:tl2br w:val="nil"/>
              <w:tr2bl w:val="nil"/>
            </w:tcBorders>
            <w:shd w:val="clear" w:color="auto" w:fill="auto"/>
            <w:vAlign w:val="center"/>
          </w:tcPr>
          <w:p w14:paraId="7CE93208">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0.12</w:t>
            </w:r>
          </w:p>
        </w:tc>
        <w:tc>
          <w:tcPr>
            <w:tcW w:w="315" w:type="dxa"/>
            <w:vMerge w:val="continue"/>
            <w:tcBorders>
              <w:tl2br w:val="nil"/>
              <w:tr2bl w:val="nil"/>
            </w:tcBorders>
            <w:vAlign w:val="center"/>
          </w:tcPr>
          <w:p w14:paraId="6284FF6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587" w:type="dxa"/>
            <w:vMerge w:val="continue"/>
            <w:tcBorders>
              <w:tl2br w:val="nil"/>
              <w:tr2bl w:val="nil"/>
            </w:tcBorders>
            <w:vAlign w:val="center"/>
          </w:tcPr>
          <w:p w14:paraId="1241728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95" w:type="dxa"/>
            <w:tcBorders>
              <w:tl2br w:val="nil"/>
              <w:tr2bl w:val="nil"/>
            </w:tcBorders>
            <w:vAlign w:val="center"/>
          </w:tcPr>
          <w:p w14:paraId="1EB2B1C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vAlign w:val="center"/>
          </w:tcPr>
          <w:p w14:paraId="4482A13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vAlign w:val="center"/>
          </w:tcPr>
          <w:p w14:paraId="778FF18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2296566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08BE4A4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9420D3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w:t>
            </w:r>
          </w:p>
        </w:tc>
        <w:tc>
          <w:tcPr>
            <w:tcW w:w="657" w:type="dxa"/>
            <w:tcBorders>
              <w:tl2br w:val="nil"/>
              <w:tr2bl w:val="nil"/>
            </w:tcBorders>
            <w:shd w:val="clear" w:color="auto" w:fill="auto"/>
            <w:vAlign w:val="center"/>
          </w:tcPr>
          <w:p w14:paraId="3CB455BA">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0.12</w:t>
            </w:r>
          </w:p>
        </w:tc>
        <w:tc>
          <w:tcPr>
            <w:tcW w:w="1167" w:type="dxa"/>
            <w:tcBorders>
              <w:tl2br w:val="nil"/>
              <w:tr2bl w:val="nil"/>
            </w:tcBorders>
            <w:vAlign w:val="center"/>
          </w:tcPr>
          <w:p w14:paraId="119C44A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2C9A864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0A28EA6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16E01E2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443272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restart"/>
            <w:tcBorders>
              <w:tl2br w:val="nil"/>
              <w:tr2bl w:val="nil"/>
            </w:tcBorders>
            <w:vAlign w:val="center"/>
          </w:tcPr>
          <w:p w14:paraId="4120AD9C">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喷粉废气</w:t>
            </w:r>
          </w:p>
        </w:tc>
        <w:tc>
          <w:tcPr>
            <w:tcW w:w="349" w:type="dxa"/>
            <w:vMerge w:val="restart"/>
            <w:tcBorders>
              <w:tl2br w:val="nil"/>
              <w:tr2bl w:val="nil"/>
            </w:tcBorders>
            <w:vAlign w:val="center"/>
          </w:tcPr>
          <w:p w14:paraId="28AD830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w:t>
            </w:r>
          </w:p>
        </w:tc>
        <w:tc>
          <w:tcPr>
            <w:tcW w:w="716" w:type="dxa"/>
            <w:vMerge w:val="restart"/>
            <w:tcBorders>
              <w:tl2br w:val="nil"/>
              <w:tr2bl w:val="nil"/>
            </w:tcBorders>
            <w:vAlign w:val="center"/>
          </w:tcPr>
          <w:p w14:paraId="68380833">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颗粒物</w:t>
            </w:r>
          </w:p>
        </w:tc>
        <w:tc>
          <w:tcPr>
            <w:tcW w:w="344" w:type="dxa"/>
            <w:vMerge w:val="restart"/>
            <w:tcBorders>
              <w:tl2br w:val="nil"/>
              <w:tr2bl w:val="nil"/>
            </w:tcBorders>
            <w:vAlign w:val="center"/>
          </w:tcPr>
          <w:p w14:paraId="12A969A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产污系数法</w:t>
            </w:r>
          </w:p>
        </w:tc>
        <w:tc>
          <w:tcPr>
            <w:tcW w:w="718" w:type="dxa"/>
            <w:tcBorders>
              <w:tl2br w:val="nil"/>
              <w:tr2bl w:val="nil"/>
            </w:tcBorders>
            <w:vAlign w:val="center"/>
          </w:tcPr>
          <w:p w14:paraId="3812587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6000</w:t>
            </w:r>
          </w:p>
        </w:tc>
        <w:tc>
          <w:tcPr>
            <w:tcW w:w="915" w:type="dxa"/>
            <w:tcBorders>
              <w:tl2br w:val="nil"/>
              <w:tr2bl w:val="nil"/>
            </w:tcBorders>
            <w:vAlign w:val="center"/>
          </w:tcPr>
          <w:p w14:paraId="3EE5231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93.75</w:t>
            </w:r>
          </w:p>
        </w:tc>
        <w:tc>
          <w:tcPr>
            <w:tcW w:w="708" w:type="dxa"/>
            <w:tcBorders>
              <w:tl2br w:val="nil"/>
              <w:tr2bl w:val="nil"/>
            </w:tcBorders>
            <w:shd w:val="clear" w:color="auto" w:fill="auto"/>
            <w:vAlign w:val="center"/>
          </w:tcPr>
          <w:p w14:paraId="0FFFBE43">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0.5625</w:t>
            </w:r>
          </w:p>
        </w:tc>
        <w:tc>
          <w:tcPr>
            <w:tcW w:w="657" w:type="dxa"/>
            <w:tcBorders>
              <w:tl2br w:val="nil"/>
              <w:tr2bl w:val="nil"/>
            </w:tcBorders>
            <w:shd w:val="clear" w:color="auto" w:fill="auto"/>
            <w:vAlign w:val="center"/>
          </w:tcPr>
          <w:p w14:paraId="52B85C52">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1.35</w:t>
            </w:r>
          </w:p>
        </w:tc>
        <w:tc>
          <w:tcPr>
            <w:tcW w:w="315" w:type="dxa"/>
            <w:tcBorders>
              <w:tl2br w:val="nil"/>
              <w:tr2bl w:val="nil"/>
            </w:tcBorders>
            <w:vAlign w:val="center"/>
          </w:tcPr>
          <w:p w14:paraId="7E35843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753423A4">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滤芯除尘</w:t>
            </w:r>
          </w:p>
        </w:tc>
        <w:tc>
          <w:tcPr>
            <w:tcW w:w="395" w:type="dxa"/>
            <w:tcBorders>
              <w:tl2br w:val="nil"/>
              <w:tr2bl w:val="nil"/>
            </w:tcBorders>
            <w:vAlign w:val="center"/>
          </w:tcPr>
          <w:p w14:paraId="4AB279C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5DF0456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shd w:val="clear" w:color="auto" w:fill="auto"/>
            <w:vAlign w:val="center"/>
          </w:tcPr>
          <w:p w14:paraId="0D08A77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2A57A3B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6000</w:t>
            </w:r>
          </w:p>
        </w:tc>
        <w:tc>
          <w:tcPr>
            <w:tcW w:w="703" w:type="dxa"/>
            <w:tcBorders>
              <w:tl2br w:val="nil"/>
              <w:tr2bl w:val="nil"/>
            </w:tcBorders>
            <w:vAlign w:val="center"/>
          </w:tcPr>
          <w:p w14:paraId="0A8218D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9.38</w:t>
            </w:r>
          </w:p>
        </w:tc>
        <w:tc>
          <w:tcPr>
            <w:tcW w:w="708" w:type="dxa"/>
            <w:tcBorders>
              <w:tl2br w:val="nil"/>
              <w:tr2bl w:val="nil"/>
            </w:tcBorders>
            <w:shd w:val="clear" w:color="auto" w:fill="auto"/>
            <w:vAlign w:val="center"/>
          </w:tcPr>
          <w:p w14:paraId="4880D96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0.0563</w:t>
            </w:r>
          </w:p>
        </w:tc>
        <w:tc>
          <w:tcPr>
            <w:tcW w:w="657" w:type="dxa"/>
            <w:tcBorders>
              <w:tl2br w:val="nil"/>
              <w:tr2bl w:val="nil"/>
            </w:tcBorders>
            <w:shd w:val="clear" w:color="auto" w:fill="auto"/>
            <w:vAlign w:val="center"/>
          </w:tcPr>
          <w:p w14:paraId="4131401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0.1350</w:t>
            </w:r>
          </w:p>
        </w:tc>
        <w:tc>
          <w:tcPr>
            <w:tcW w:w="1167" w:type="dxa"/>
            <w:tcBorders>
              <w:tl2br w:val="nil"/>
              <w:tr2bl w:val="nil"/>
            </w:tcBorders>
            <w:vAlign w:val="center"/>
          </w:tcPr>
          <w:p w14:paraId="6A0C85D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0.5</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05D1893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420D009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6EF7B41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119.292207</w:t>
            </w:r>
            <w:r>
              <w:rPr>
                <w:rFonts w:hint="eastAsia" w:ascii="Times New Roman" w:hAnsi="Times New Roman" w:eastAsia="宋体" w:cs="Times New Roman"/>
                <w:color w:val="auto"/>
                <w:sz w:val="21"/>
                <w:szCs w:val="21"/>
                <w:highlight w:val="none"/>
                <w:shd w:val="clear"/>
              </w:rPr>
              <w:t>°</w:t>
            </w:r>
          </w:p>
          <w:p w14:paraId="6BCEFFF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4969DAA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6D6B5A8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1AFB97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4E611C5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06A6FAA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75F05D63">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p>
        </w:tc>
        <w:tc>
          <w:tcPr>
            <w:tcW w:w="344" w:type="dxa"/>
            <w:vMerge w:val="continue"/>
            <w:tcBorders>
              <w:tl2br w:val="nil"/>
              <w:tr2bl w:val="nil"/>
            </w:tcBorders>
            <w:vAlign w:val="center"/>
          </w:tcPr>
          <w:p w14:paraId="0E41B95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4AF3044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1D6BD6B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52184AE">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0.0625</w:t>
            </w:r>
          </w:p>
        </w:tc>
        <w:tc>
          <w:tcPr>
            <w:tcW w:w="657" w:type="dxa"/>
            <w:tcBorders>
              <w:tl2br w:val="nil"/>
              <w:tr2bl w:val="nil"/>
            </w:tcBorders>
            <w:shd w:val="clear" w:color="auto" w:fill="auto"/>
            <w:vAlign w:val="center"/>
          </w:tcPr>
          <w:p w14:paraId="07B5E6F9">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0.15</w:t>
            </w:r>
          </w:p>
        </w:tc>
        <w:tc>
          <w:tcPr>
            <w:tcW w:w="315" w:type="dxa"/>
            <w:tcBorders>
              <w:tl2br w:val="nil"/>
              <w:tr2bl w:val="nil"/>
            </w:tcBorders>
            <w:vAlign w:val="center"/>
          </w:tcPr>
          <w:p w14:paraId="595D8B2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42AAACE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736FB7F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7DFD116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32FCB22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1BF1F32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3F3AEC2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3119A5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0.0625</w:t>
            </w:r>
          </w:p>
        </w:tc>
        <w:tc>
          <w:tcPr>
            <w:tcW w:w="657" w:type="dxa"/>
            <w:tcBorders>
              <w:tl2br w:val="nil"/>
              <w:tr2bl w:val="nil"/>
            </w:tcBorders>
            <w:shd w:val="clear" w:color="auto" w:fill="auto"/>
            <w:vAlign w:val="center"/>
          </w:tcPr>
          <w:p w14:paraId="05854FB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0.1500</w:t>
            </w:r>
          </w:p>
        </w:tc>
        <w:tc>
          <w:tcPr>
            <w:tcW w:w="1167" w:type="dxa"/>
            <w:tcBorders>
              <w:tl2br w:val="nil"/>
              <w:tr2bl w:val="nil"/>
            </w:tcBorders>
            <w:vAlign w:val="center"/>
          </w:tcPr>
          <w:p w14:paraId="704C46D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10322CA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3D94DED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059455B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CD014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restart"/>
            <w:tcBorders>
              <w:tl2br w:val="nil"/>
              <w:tr2bl w:val="nil"/>
            </w:tcBorders>
            <w:vAlign w:val="center"/>
          </w:tcPr>
          <w:p w14:paraId="56ED5E5A">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喷粉固化废气</w:t>
            </w:r>
          </w:p>
        </w:tc>
        <w:tc>
          <w:tcPr>
            <w:tcW w:w="349" w:type="dxa"/>
            <w:vMerge w:val="restart"/>
            <w:tcBorders>
              <w:tl2br w:val="nil"/>
              <w:tr2bl w:val="nil"/>
            </w:tcBorders>
            <w:vAlign w:val="center"/>
          </w:tcPr>
          <w:p w14:paraId="59D01962">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喷粉固化</w:t>
            </w:r>
          </w:p>
        </w:tc>
        <w:tc>
          <w:tcPr>
            <w:tcW w:w="716" w:type="dxa"/>
            <w:vMerge w:val="restart"/>
            <w:tcBorders>
              <w:tl2br w:val="nil"/>
              <w:tr2bl w:val="nil"/>
            </w:tcBorders>
            <w:vAlign w:val="center"/>
          </w:tcPr>
          <w:p w14:paraId="00283EE7">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非甲烷总烃</w:t>
            </w:r>
          </w:p>
        </w:tc>
        <w:tc>
          <w:tcPr>
            <w:tcW w:w="344" w:type="dxa"/>
            <w:vMerge w:val="restart"/>
            <w:tcBorders>
              <w:tl2br w:val="nil"/>
              <w:tr2bl w:val="nil"/>
            </w:tcBorders>
            <w:vAlign w:val="center"/>
          </w:tcPr>
          <w:p w14:paraId="5E7D72F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物料衡算法</w:t>
            </w:r>
          </w:p>
        </w:tc>
        <w:tc>
          <w:tcPr>
            <w:tcW w:w="718" w:type="dxa"/>
            <w:tcBorders>
              <w:tl2br w:val="nil"/>
              <w:tr2bl w:val="nil"/>
            </w:tcBorders>
            <w:vAlign w:val="center"/>
          </w:tcPr>
          <w:p w14:paraId="20078AF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705F2E1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0.42</w:t>
            </w:r>
          </w:p>
        </w:tc>
        <w:tc>
          <w:tcPr>
            <w:tcW w:w="708" w:type="dxa"/>
            <w:tcBorders>
              <w:tl2br w:val="nil"/>
              <w:tr2bl w:val="nil"/>
            </w:tcBorders>
            <w:shd w:val="clear" w:color="auto" w:fill="auto"/>
            <w:vAlign w:val="center"/>
          </w:tcPr>
          <w:p w14:paraId="16C93657">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0.0075</w:t>
            </w:r>
          </w:p>
        </w:tc>
        <w:tc>
          <w:tcPr>
            <w:tcW w:w="657" w:type="dxa"/>
            <w:tcBorders>
              <w:tl2br w:val="nil"/>
              <w:tr2bl w:val="nil"/>
            </w:tcBorders>
            <w:shd w:val="clear" w:color="auto" w:fill="auto"/>
            <w:vAlign w:val="center"/>
          </w:tcPr>
          <w:p w14:paraId="79B4A18B">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0.018</w:t>
            </w:r>
          </w:p>
        </w:tc>
        <w:tc>
          <w:tcPr>
            <w:tcW w:w="315" w:type="dxa"/>
            <w:tcBorders>
              <w:tl2br w:val="nil"/>
              <w:tr2bl w:val="nil"/>
            </w:tcBorders>
            <w:vAlign w:val="center"/>
          </w:tcPr>
          <w:p w14:paraId="78111AE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4E5C2FC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32ECCB7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105E0D5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75%</w:t>
            </w:r>
          </w:p>
        </w:tc>
        <w:tc>
          <w:tcPr>
            <w:tcW w:w="500" w:type="dxa"/>
            <w:tcBorders>
              <w:tl2br w:val="nil"/>
              <w:tr2bl w:val="nil"/>
            </w:tcBorders>
            <w:shd w:val="clear" w:color="auto" w:fill="auto"/>
            <w:vAlign w:val="center"/>
          </w:tcPr>
          <w:p w14:paraId="46FC1CD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5B3417A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16C6021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0.10</w:t>
            </w:r>
          </w:p>
        </w:tc>
        <w:tc>
          <w:tcPr>
            <w:tcW w:w="708" w:type="dxa"/>
            <w:tcBorders>
              <w:tl2br w:val="nil"/>
              <w:tr2bl w:val="nil"/>
            </w:tcBorders>
            <w:shd w:val="clear" w:color="auto" w:fill="auto"/>
            <w:vAlign w:val="center"/>
          </w:tcPr>
          <w:p w14:paraId="37BE5B0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0.0019</w:t>
            </w:r>
          </w:p>
        </w:tc>
        <w:tc>
          <w:tcPr>
            <w:tcW w:w="657" w:type="dxa"/>
            <w:tcBorders>
              <w:tl2br w:val="nil"/>
              <w:tr2bl w:val="nil"/>
            </w:tcBorders>
            <w:shd w:val="clear" w:color="auto" w:fill="auto"/>
            <w:vAlign w:val="center"/>
          </w:tcPr>
          <w:p w14:paraId="0D4E3B3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0.0045</w:t>
            </w:r>
          </w:p>
        </w:tc>
        <w:tc>
          <w:tcPr>
            <w:tcW w:w="1167" w:type="dxa"/>
            <w:tcBorders>
              <w:tl2br w:val="nil"/>
              <w:tr2bl w:val="nil"/>
            </w:tcBorders>
            <w:vAlign w:val="center"/>
          </w:tcPr>
          <w:p w14:paraId="7843AFB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7BAAEE5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6371DE2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5E81975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4B5A50A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51DB0C4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317F2DB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4CCB5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679207C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6E905F69">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rPr>
            </w:pPr>
          </w:p>
        </w:tc>
        <w:tc>
          <w:tcPr>
            <w:tcW w:w="716" w:type="dxa"/>
            <w:vMerge w:val="continue"/>
            <w:tcBorders>
              <w:tl2br w:val="nil"/>
              <w:tr2bl w:val="nil"/>
            </w:tcBorders>
            <w:vAlign w:val="center"/>
          </w:tcPr>
          <w:p w14:paraId="4C9F6096">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p>
        </w:tc>
        <w:tc>
          <w:tcPr>
            <w:tcW w:w="344" w:type="dxa"/>
            <w:vMerge w:val="continue"/>
            <w:tcBorders>
              <w:tl2br w:val="nil"/>
              <w:tr2bl w:val="nil"/>
            </w:tcBorders>
            <w:vAlign w:val="center"/>
          </w:tcPr>
          <w:p w14:paraId="3036A03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621CAF5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6DB5330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23B0CCE">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697B1F32">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0.002</w:t>
            </w:r>
          </w:p>
        </w:tc>
        <w:tc>
          <w:tcPr>
            <w:tcW w:w="315" w:type="dxa"/>
            <w:tcBorders>
              <w:tl2br w:val="nil"/>
              <w:tr2bl w:val="nil"/>
            </w:tcBorders>
            <w:vAlign w:val="center"/>
          </w:tcPr>
          <w:p w14:paraId="1DC50FC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58D559B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1655226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46A5CD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0A633E4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1B7FF24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1D554B6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5C09999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5F3F2B3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0.0020</w:t>
            </w:r>
          </w:p>
        </w:tc>
        <w:tc>
          <w:tcPr>
            <w:tcW w:w="1167" w:type="dxa"/>
            <w:tcBorders>
              <w:tl2br w:val="nil"/>
              <w:tr2bl w:val="nil"/>
            </w:tcBorders>
            <w:vAlign w:val="center"/>
          </w:tcPr>
          <w:p w14:paraId="663FD56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3771FC2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0786247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188CCF6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2A5F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restart"/>
            <w:tcBorders>
              <w:tl2br w:val="nil"/>
              <w:tr2bl w:val="nil"/>
            </w:tcBorders>
            <w:vAlign w:val="center"/>
          </w:tcPr>
          <w:p w14:paraId="0D7474C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天然气</w:t>
            </w:r>
          </w:p>
          <w:p w14:paraId="774D995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燃烧废</w:t>
            </w:r>
          </w:p>
          <w:p w14:paraId="06AAC20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气</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喷粉、喷漆）</w:t>
            </w:r>
          </w:p>
        </w:tc>
        <w:tc>
          <w:tcPr>
            <w:tcW w:w="349" w:type="dxa"/>
            <w:vMerge w:val="restart"/>
            <w:tcBorders>
              <w:tl2br w:val="nil"/>
              <w:tr2bl w:val="nil"/>
            </w:tcBorders>
            <w:vAlign w:val="center"/>
          </w:tcPr>
          <w:p w14:paraId="6A88888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天然气</w:t>
            </w:r>
          </w:p>
          <w:p w14:paraId="5E1DB5C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喷粉、喷漆）</w:t>
            </w:r>
          </w:p>
        </w:tc>
        <w:tc>
          <w:tcPr>
            <w:tcW w:w="716" w:type="dxa"/>
            <w:vMerge w:val="restart"/>
            <w:tcBorders>
              <w:tl2br w:val="nil"/>
              <w:tr2bl w:val="nil"/>
            </w:tcBorders>
            <w:vAlign w:val="center"/>
          </w:tcPr>
          <w:p w14:paraId="4AEDDCA8">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烟尘（颗粒物）</w:t>
            </w:r>
          </w:p>
        </w:tc>
        <w:tc>
          <w:tcPr>
            <w:tcW w:w="344" w:type="dxa"/>
            <w:vMerge w:val="restart"/>
            <w:tcBorders>
              <w:tl2br w:val="nil"/>
              <w:tr2bl w:val="nil"/>
            </w:tcBorders>
            <w:vAlign w:val="center"/>
          </w:tcPr>
          <w:p w14:paraId="671ED89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产污系数法</w:t>
            </w:r>
          </w:p>
        </w:tc>
        <w:tc>
          <w:tcPr>
            <w:tcW w:w="718" w:type="dxa"/>
            <w:tcBorders>
              <w:tl2br w:val="nil"/>
              <w:tr2bl w:val="nil"/>
            </w:tcBorders>
            <w:vAlign w:val="center"/>
          </w:tcPr>
          <w:p w14:paraId="7EA177A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rPr>
            </w:pPr>
            <w:r>
              <w:rPr>
                <w:rFonts w:hint="eastAsia" w:eastAsia="Times New Roman" w:cs="Times New Roman"/>
                <w:color w:val="auto"/>
                <w:spacing w:val="3"/>
                <w:position w:val="2"/>
                <w:sz w:val="20"/>
                <w:szCs w:val="20"/>
                <w:lang w:val="en-US" w:eastAsia="zh-CN"/>
              </w:rPr>
              <w:t>3000</w:t>
            </w:r>
          </w:p>
        </w:tc>
        <w:tc>
          <w:tcPr>
            <w:tcW w:w="915" w:type="dxa"/>
            <w:tcBorders>
              <w:tl2br w:val="nil"/>
              <w:tr2bl w:val="nil"/>
            </w:tcBorders>
            <w:vAlign w:val="center"/>
          </w:tcPr>
          <w:p w14:paraId="5B8FBCB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0.36</w:t>
            </w:r>
          </w:p>
        </w:tc>
        <w:tc>
          <w:tcPr>
            <w:tcW w:w="708" w:type="dxa"/>
            <w:tcBorders>
              <w:tl2br w:val="nil"/>
              <w:tr2bl w:val="nil"/>
            </w:tcBorders>
            <w:shd w:val="clear" w:color="auto" w:fill="auto"/>
            <w:vAlign w:val="center"/>
          </w:tcPr>
          <w:p w14:paraId="6C0F34A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0.0011</w:t>
            </w:r>
          </w:p>
        </w:tc>
        <w:tc>
          <w:tcPr>
            <w:tcW w:w="657" w:type="dxa"/>
            <w:tcBorders>
              <w:tl2br w:val="nil"/>
              <w:tr2bl w:val="nil"/>
            </w:tcBorders>
            <w:shd w:val="clear" w:color="auto" w:fill="auto"/>
            <w:vAlign w:val="center"/>
          </w:tcPr>
          <w:p w14:paraId="7BD69331">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rPr>
            </w:pPr>
            <w:r>
              <w:rPr>
                <w:rFonts w:hint="eastAsia" w:ascii="Times New Roman" w:hAnsi="Times New Roman" w:eastAsia="Times New Roman" w:cs="Times New Roman"/>
                <w:color w:val="auto"/>
                <w:spacing w:val="3"/>
                <w:position w:val="2"/>
                <w:sz w:val="20"/>
                <w:szCs w:val="20"/>
                <w:lang w:val="en-US" w:eastAsia="zh-CN"/>
              </w:rPr>
              <w:t>0.002</w:t>
            </w:r>
            <w:r>
              <w:rPr>
                <w:rFonts w:hint="eastAsia" w:eastAsia="Times New Roman" w:cs="Times New Roman"/>
                <w:color w:val="auto"/>
                <w:spacing w:val="3"/>
                <w:position w:val="2"/>
                <w:sz w:val="20"/>
                <w:szCs w:val="20"/>
                <w:lang w:val="en-US" w:eastAsia="zh-CN"/>
              </w:rPr>
              <w:t>6</w:t>
            </w:r>
          </w:p>
        </w:tc>
        <w:tc>
          <w:tcPr>
            <w:tcW w:w="315" w:type="dxa"/>
            <w:tcBorders>
              <w:tl2br w:val="nil"/>
              <w:tr2bl w:val="nil"/>
            </w:tcBorders>
            <w:vAlign w:val="center"/>
          </w:tcPr>
          <w:p w14:paraId="49D296C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718D9B3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1F3070C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1362ADE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0FFBE8A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3CF5015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eastAsia="Times New Roman" w:cs="Times New Roman"/>
                <w:color w:val="auto"/>
                <w:spacing w:val="3"/>
                <w:position w:val="2"/>
                <w:sz w:val="20"/>
                <w:szCs w:val="20"/>
                <w:lang w:val="en-US" w:eastAsia="zh-CN"/>
              </w:rPr>
              <w:t>3000</w:t>
            </w:r>
          </w:p>
        </w:tc>
        <w:tc>
          <w:tcPr>
            <w:tcW w:w="703" w:type="dxa"/>
            <w:tcBorders>
              <w:tl2br w:val="nil"/>
              <w:tr2bl w:val="nil"/>
            </w:tcBorders>
            <w:vAlign w:val="center"/>
          </w:tcPr>
          <w:p w14:paraId="30E877E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0.36</w:t>
            </w:r>
          </w:p>
        </w:tc>
        <w:tc>
          <w:tcPr>
            <w:tcW w:w="708" w:type="dxa"/>
            <w:tcBorders>
              <w:tl2br w:val="nil"/>
              <w:tr2bl w:val="nil"/>
            </w:tcBorders>
            <w:shd w:val="clear" w:color="auto" w:fill="auto"/>
            <w:vAlign w:val="center"/>
          </w:tcPr>
          <w:p w14:paraId="145EC06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0.0011</w:t>
            </w:r>
          </w:p>
        </w:tc>
        <w:tc>
          <w:tcPr>
            <w:tcW w:w="657" w:type="dxa"/>
            <w:tcBorders>
              <w:tl2br w:val="nil"/>
              <w:tr2bl w:val="nil"/>
            </w:tcBorders>
            <w:shd w:val="clear" w:color="auto" w:fill="auto"/>
            <w:vAlign w:val="center"/>
          </w:tcPr>
          <w:p w14:paraId="061E86A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0.0026</w:t>
            </w:r>
          </w:p>
        </w:tc>
        <w:tc>
          <w:tcPr>
            <w:tcW w:w="1167" w:type="dxa"/>
            <w:tcBorders>
              <w:tl2br w:val="nil"/>
              <w:tr2bl w:val="nil"/>
            </w:tcBorders>
            <w:vAlign w:val="center"/>
          </w:tcPr>
          <w:p w14:paraId="5875354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40</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09A4842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DA003</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04FEC77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经度：119.296912°</w:t>
            </w:r>
          </w:p>
          <w:p w14:paraId="3790543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4289185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25.802659°</w:t>
            </w:r>
          </w:p>
        </w:tc>
        <w:tc>
          <w:tcPr>
            <w:tcW w:w="545" w:type="dxa"/>
            <w:vMerge w:val="continue"/>
            <w:tcBorders>
              <w:tl2br w:val="nil"/>
              <w:tr2bl w:val="nil"/>
            </w:tcBorders>
            <w:vAlign w:val="center"/>
          </w:tcPr>
          <w:p w14:paraId="3563D04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46CC7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4EB8BC6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10C04BB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589E6684">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03F1472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4C5A510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7D9F17D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3FB93FE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0.0001</w:t>
            </w:r>
          </w:p>
        </w:tc>
        <w:tc>
          <w:tcPr>
            <w:tcW w:w="657" w:type="dxa"/>
            <w:tcBorders>
              <w:tl2br w:val="nil"/>
              <w:tr2bl w:val="nil"/>
            </w:tcBorders>
            <w:shd w:val="clear" w:color="auto" w:fill="auto"/>
            <w:vAlign w:val="center"/>
          </w:tcPr>
          <w:p w14:paraId="557F9BE3">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rPr>
            </w:pPr>
            <w:r>
              <w:rPr>
                <w:rFonts w:hint="eastAsia" w:ascii="Times New Roman" w:hAnsi="Times New Roman" w:eastAsia="Times New Roman" w:cs="Times New Roman"/>
                <w:color w:val="auto"/>
                <w:spacing w:val="3"/>
                <w:position w:val="2"/>
                <w:sz w:val="20"/>
                <w:szCs w:val="20"/>
                <w:lang w:val="en-US" w:eastAsia="zh-CN"/>
              </w:rPr>
              <w:t>0.000</w:t>
            </w:r>
            <w:r>
              <w:rPr>
                <w:rFonts w:hint="eastAsia" w:eastAsia="Times New Roman" w:cs="Times New Roman"/>
                <w:color w:val="auto"/>
                <w:spacing w:val="3"/>
                <w:position w:val="2"/>
                <w:sz w:val="20"/>
                <w:szCs w:val="20"/>
                <w:lang w:val="en-US" w:eastAsia="zh-CN"/>
              </w:rPr>
              <w:t>3</w:t>
            </w:r>
          </w:p>
        </w:tc>
        <w:tc>
          <w:tcPr>
            <w:tcW w:w="315" w:type="dxa"/>
            <w:tcBorders>
              <w:tl2br w:val="nil"/>
              <w:tr2bl w:val="nil"/>
            </w:tcBorders>
            <w:vAlign w:val="center"/>
          </w:tcPr>
          <w:p w14:paraId="54B9AC5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72D52FB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56B1951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2B5305C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4BFDA54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2269666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791B7A5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8127FC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0.0001</w:t>
            </w:r>
          </w:p>
        </w:tc>
        <w:tc>
          <w:tcPr>
            <w:tcW w:w="657" w:type="dxa"/>
            <w:tcBorders>
              <w:tl2br w:val="nil"/>
              <w:tr2bl w:val="nil"/>
            </w:tcBorders>
            <w:shd w:val="clear" w:color="auto" w:fill="auto"/>
            <w:vAlign w:val="center"/>
          </w:tcPr>
          <w:p w14:paraId="720A24B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0.0003</w:t>
            </w:r>
          </w:p>
        </w:tc>
        <w:tc>
          <w:tcPr>
            <w:tcW w:w="1167" w:type="dxa"/>
            <w:tcBorders>
              <w:tl2br w:val="nil"/>
              <w:tr2bl w:val="nil"/>
            </w:tcBorders>
            <w:vAlign w:val="center"/>
          </w:tcPr>
          <w:p w14:paraId="0469FA2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6C9EC1F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7438FCB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42B7F6F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83126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27B1D2C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3E0550D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vAlign w:val="center"/>
          </w:tcPr>
          <w:p w14:paraId="20D85B8C">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SO</w:t>
            </w:r>
            <w:r>
              <w:rPr>
                <w:rFonts w:hint="eastAsia" w:ascii="Times New Roman" w:hAnsi="Times New Roman"/>
                <w:color w:val="auto"/>
                <w:spacing w:val="7"/>
                <w:sz w:val="21"/>
                <w:vertAlign w:val="subscript"/>
                <w:lang w:val="en-US" w:eastAsia="zh-CN"/>
              </w:rPr>
              <w:t>2</w:t>
            </w:r>
          </w:p>
        </w:tc>
        <w:tc>
          <w:tcPr>
            <w:tcW w:w="344" w:type="dxa"/>
            <w:vMerge w:val="continue"/>
            <w:tcBorders>
              <w:tl2br w:val="nil"/>
              <w:tr2bl w:val="nil"/>
            </w:tcBorders>
            <w:vAlign w:val="center"/>
          </w:tcPr>
          <w:p w14:paraId="1FF00EC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6B526D1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eastAsia="Times New Roman" w:cs="Times New Roman"/>
                <w:color w:val="auto"/>
                <w:spacing w:val="3"/>
                <w:position w:val="2"/>
                <w:sz w:val="20"/>
                <w:szCs w:val="20"/>
                <w:lang w:val="en-US" w:eastAsia="zh-CN"/>
              </w:rPr>
              <w:t>3000</w:t>
            </w:r>
          </w:p>
        </w:tc>
        <w:tc>
          <w:tcPr>
            <w:tcW w:w="915" w:type="dxa"/>
            <w:tcBorders>
              <w:tl2br w:val="nil"/>
              <w:tr2bl w:val="nil"/>
            </w:tcBorders>
            <w:vAlign w:val="center"/>
          </w:tcPr>
          <w:p w14:paraId="75526C9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0.25</w:t>
            </w:r>
          </w:p>
        </w:tc>
        <w:tc>
          <w:tcPr>
            <w:tcW w:w="708" w:type="dxa"/>
            <w:tcBorders>
              <w:tl2br w:val="nil"/>
              <w:tr2bl w:val="nil"/>
            </w:tcBorders>
            <w:shd w:val="clear" w:color="auto" w:fill="auto"/>
            <w:vAlign w:val="center"/>
          </w:tcPr>
          <w:p w14:paraId="75AB1D4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435ED561">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0.0018</w:t>
            </w:r>
          </w:p>
        </w:tc>
        <w:tc>
          <w:tcPr>
            <w:tcW w:w="315" w:type="dxa"/>
            <w:tcBorders>
              <w:tl2br w:val="nil"/>
              <w:tr2bl w:val="nil"/>
            </w:tcBorders>
            <w:vAlign w:val="center"/>
          </w:tcPr>
          <w:p w14:paraId="631837D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466A134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6EA8317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5EF5A77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1A96137D">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28C670D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eastAsia="Times New Roman" w:cs="Times New Roman"/>
                <w:color w:val="auto"/>
                <w:spacing w:val="3"/>
                <w:position w:val="2"/>
                <w:sz w:val="20"/>
                <w:szCs w:val="20"/>
                <w:lang w:val="en-US" w:eastAsia="zh-CN"/>
              </w:rPr>
              <w:t>3000</w:t>
            </w:r>
          </w:p>
        </w:tc>
        <w:tc>
          <w:tcPr>
            <w:tcW w:w="703" w:type="dxa"/>
            <w:tcBorders>
              <w:tl2br w:val="nil"/>
              <w:tr2bl w:val="nil"/>
            </w:tcBorders>
            <w:vAlign w:val="center"/>
          </w:tcPr>
          <w:p w14:paraId="49057C3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0.25</w:t>
            </w:r>
          </w:p>
        </w:tc>
        <w:tc>
          <w:tcPr>
            <w:tcW w:w="708" w:type="dxa"/>
            <w:tcBorders>
              <w:tl2br w:val="nil"/>
              <w:tr2bl w:val="nil"/>
            </w:tcBorders>
            <w:shd w:val="clear" w:color="auto" w:fill="auto"/>
            <w:vAlign w:val="center"/>
          </w:tcPr>
          <w:p w14:paraId="0C1986D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6619996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0.0018</w:t>
            </w:r>
          </w:p>
        </w:tc>
        <w:tc>
          <w:tcPr>
            <w:tcW w:w="1167" w:type="dxa"/>
            <w:tcBorders>
              <w:tl2br w:val="nil"/>
              <w:tr2bl w:val="nil"/>
            </w:tcBorders>
            <w:vAlign w:val="center"/>
          </w:tcPr>
          <w:p w14:paraId="4C62464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40</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2A23523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DA003</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464BDC2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经度：119.296912°</w:t>
            </w:r>
          </w:p>
          <w:p w14:paraId="3658B21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55E21F6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25.802659°</w:t>
            </w:r>
          </w:p>
        </w:tc>
        <w:tc>
          <w:tcPr>
            <w:tcW w:w="545" w:type="dxa"/>
            <w:vMerge w:val="continue"/>
            <w:tcBorders>
              <w:tl2br w:val="nil"/>
              <w:tr2bl w:val="nil"/>
            </w:tcBorders>
            <w:vAlign w:val="center"/>
          </w:tcPr>
          <w:p w14:paraId="00EE1A8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536686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7060BAC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3A6B806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5862DE9F">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0110ED9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65639F5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168D06A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60711C1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0.0001</w:t>
            </w:r>
          </w:p>
        </w:tc>
        <w:tc>
          <w:tcPr>
            <w:tcW w:w="657" w:type="dxa"/>
            <w:tcBorders>
              <w:tl2br w:val="nil"/>
              <w:tr2bl w:val="nil"/>
            </w:tcBorders>
            <w:shd w:val="clear" w:color="auto" w:fill="auto"/>
            <w:vAlign w:val="center"/>
          </w:tcPr>
          <w:p w14:paraId="2BACD521">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0.0002</w:t>
            </w:r>
          </w:p>
        </w:tc>
        <w:tc>
          <w:tcPr>
            <w:tcW w:w="315" w:type="dxa"/>
            <w:tcBorders>
              <w:tl2br w:val="nil"/>
              <w:tr2bl w:val="nil"/>
            </w:tcBorders>
            <w:vAlign w:val="center"/>
          </w:tcPr>
          <w:p w14:paraId="01BEE83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5C1C554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5FA93A2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0646C1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4B0B1E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0962E3C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58A00E4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08480CB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0.0001</w:t>
            </w:r>
          </w:p>
        </w:tc>
        <w:tc>
          <w:tcPr>
            <w:tcW w:w="657" w:type="dxa"/>
            <w:tcBorders>
              <w:tl2br w:val="nil"/>
              <w:tr2bl w:val="nil"/>
            </w:tcBorders>
            <w:shd w:val="clear" w:color="auto" w:fill="auto"/>
            <w:vAlign w:val="center"/>
          </w:tcPr>
          <w:p w14:paraId="4712643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0.0002</w:t>
            </w:r>
          </w:p>
        </w:tc>
        <w:tc>
          <w:tcPr>
            <w:tcW w:w="1167" w:type="dxa"/>
            <w:tcBorders>
              <w:tl2br w:val="nil"/>
              <w:tr2bl w:val="nil"/>
            </w:tcBorders>
            <w:vAlign w:val="center"/>
          </w:tcPr>
          <w:p w14:paraId="695BE2B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307A331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7745764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7C48328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30036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3EDB28B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2E035520">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vAlign w:val="center"/>
          </w:tcPr>
          <w:p w14:paraId="6075F513">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NOx</w:t>
            </w:r>
          </w:p>
        </w:tc>
        <w:tc>
          <w:tcPr>
            <w:tcW w:w="344" w:type="dxa"/>
            <w:vMerge w:val="continue"/>
            <w:tcBorders>
              <w:tl2br w:val="nil"/>
              <w:tr2bl w:val="nil"/>
            </w:tcBorders>
            <w:vAlign w:val="center"/>
          </w:tcPr>
          <w:p w14:paraId="35815BF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3387220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eastAsia="Times New Roman" w:cs="Times New Roman"/>
                <w:color w:val="auto"/>
                <w:spacing w:val="3"/>
                <w:position w:val="2"/>
                <w:sz w:val="20"/>
                <w:szCs w:val="20"/>
                <w:lang w:val="en-US" w:eastAsia="zh-CN"/>
              </w:rPr>
              <w:t>3000</w:t>
            </w:r>
          </w:p>
        </w:tc>
        <w:tc>
          <w:tcPr>
            <w:tcW w:w="915" w:type="dxa"/>
            <w:tcBorders>
              <w:tl2br w:val="nil"/>
              <w:tr2bl w:val="nil"/>
            </w:tcBorders>
            <w:vAlign w:val="center"/>
          </w:tcPr>
          <w:p w14:paraId="7A54B1D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2.34</w:t>
            </w:r>
          </w:p>
        </w:tc>
        <w:tc>
          <w:tcPr>
            <w:tcW w:w="708" w:type="dxa"/>
            <w:tcBorders>
              <w:tl2br w:val="nil"/>
              <w:tr2bl w:val="nil"/>
            </w:tcBorders>
            <w:shd w:val="clear" w:color="auto" w:fill="auto"/>
            <w:vAlign w:val="center"/>
          </w:tcPr>
          <w:p w14:paraId="7F08FCD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0.0070</w:t>
            </w:r>
          </w:p>
        </w:tc>
        <w:tc>
          <w:tcPr>
            <w:tcW w:w="657" w:type="dxa"/>
            <w:tcBorders>
              <w:tl2br w:val="nil"/>
              <w:tr2bl w:val="nil"/>
            </w:tcBorders>
            <w:shd w:val="clear" w:color="auto" w:fill="auto"/>
            <w:vAlign w:val="center"/>
          </w:tcPr>
          <w:p w14:paraId="48516B46">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0.0168</w:t>
            </w:r>
          </w:p>
        </w:tc>
        <w:tc>
          <w:tcPr>
            <w:tcW w:w="315" w:type="dxa"/>
            <w:tcBorders>
              <w:tl2br w:val="nil"/>
              <w:tr2bl w:val="nil"/>
            </w:tcBorders>
            <w:vAlign w:val="center"/>
          </w:tcPr>
          <w:p w14:paraId="6197B36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594B9AD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424A3AD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149CB5B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w:t>
            </w:r>
          </w:p>
        </w:tc>
        <w:tc>
          <w:tcPr>
            <w:tcW w:w="500" w:type="dxa"/>
            <w:tcBorders>
              <w:tl2br w:val="nil"/>
              <w:tr2bl w:val="nil"/>
            </w:tcBorders>
            <w:shd w:val="clear" w:color="auto" w:fill="auto"/>
            <w:vAlign w:val="center"/>
          </w:tcPr>
          <w:p w14:paraId="0EAEF96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3AB29FB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eastAsia="Times New Roman" w:cs="Times New Roman"/>
                <w:color w:val="auto"/>
                <w:spacing w:val="3"/>
                <w:position w:val="2"/>
                <w:sz w:val="20"/>
                <w:szCs w:val="20"/>
                <w:lang w:val="en-US" w:eastAsia="zh-CN"/>
              </w:rPr>
              <w:t>3000</w:t>
            </w:r>
          </w:p>
        </w:tc>
        <w:tc>
          <w:tcPr>
            <w:tcW w:w="703" w:type="dxa"/>
            <w:tcBorders>
              <w:tl2br w:val="nil"/>
              <w:tr2bl w:val="nil"/>
            </w:tcBorders>
            <w:vAlign w:val="center"/>
          </w:tcPr>
          <w:p w14:paraId="2EEF922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2.34</w:t>
            </w:r>
          </w:p>
        </w:tc>
        <w:tc>
          <w:tcPr>
            <w:tcW w:w="708" w:type="dxa"/>
            <w:tcBorders>
              <w:tl2br w:val="nil"/>
              <w:tr2bl w:val="nil"/>
            </w:tcBorders>
            <w:shd w:val="clear" w:color="auto" w:fill="auto"/>
            <w:vAlign w:val="center"/>
          </w:tcPr>
          <w:p w14:paraId="2FFA169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0.0070</w:t>
            </w:r>
          </w:p>
        </w:tc>
        <w:tc>
          <w:tcPr>
            <w:tcW w:w="657" w:type="dxa"/>
            <w:tcBorders>
              <w:tl2br w:val="nil"/>
              <w:tr2bl w:val="nil"/>
            </w:tcBorders>
            <w:shd w:val="clear" w:color="auto" w:fill="auto"/>
            <w:vAlign w:val="center"/>
          </w:tcPr>
          <w:p w14:paraId="5A77BAB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0.0168</w:t>
            </w:r>
          </w:p>
        </w:tc>
        <w:tc>
          <w:tcPr>
            <w:tcW w:w="1167" w:type="dxa"/>
            <w:tcBorders>
              <w:tl2br w:val="nil"/>
              <w:tr2bl w:val="nil"/>
            </w:tcBorders>
            <w:vAlign w:val="center"/>
          </w:tcPr>
          <w:p w14:paraId="39618A2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40</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5C0571ED">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DA003</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708F649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经度：119.296912°</w:t>
            </w:r>
          </w:p>
          <w:p w14:paraId="6DBE7441">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35B29C5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rPr>
              <w:t>25.802659°°</w:t>
            </w:r>
          </w:p>
        </w:tc>
        <w:tc>
          <w:tcPr>
            <w:tcW w:w="545" w:type="dxa"/>
            <w:vMerge w:val="continue"/>
            <w:tcBorders>
              <w:tl2br w:val="nil"/>
              <w:tr2bl w:val="nil"/>
            </w:tcBorders>
            <w:vAlign w:val="center"/>
          </w:tcPr>
          <w:p w14:paraId="52868BA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43881C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39B0907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379C093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05248384">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5E4D74A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3EFC72A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4C938FD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7097C12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70069F9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0"/>
                <w:szCs w:val="20"/>
                <w:lang w:val="en-US"/>
              </w:rPr>
            </w:pPr>
            <w:r>
              <w:rPr>
                <w:rFonts w:hint="eastAsia" w:ascii="Times New Roman" w:hAnsi="Times New Roman" w:eastAsia="Times New Roman" w:cs="Times New Roman"/>
                <w:color w:val="auto"/>
                <w:spacing w:val="3"/>
                <w:position w:val="2"/>
                <w:sz w:val="20"/>
                <w:szCs w:val="20"/>
                <w:lang w:val="en-US" w:eastAsia="zh-CN"/>
              </w:rPr>
              <w:t>0.001</w:t>
            </w:r>
            <w:r>
              <w:rPr>
                <w:rFonts w:hint="eastAsia" w:eastAsia="Times New Roman" w:cs="Times New Roman"/>
                <w:color w:val="auto"/>
                <w:spacing w:val="3"/>
                <w:position w:val="2"/>
                <w:sz w:val="20"/>
                <w:szCs w:val="20"/>
                <w:lang w:val="en-US" w:eastAsia="zh-CN"/>
              </w:rPr>
              <w:t>9</w:t>
            </w:r>
          </w:p>
        </w:tc>
        <w:tc>
          <w:tcPr>
            <w:tcW w:w="315" w:type="dxa"/>
            <w:tcBorders>
              <w:tl2br w:val="nil"/>
              <w:tr2bl w:val="nil"/>
            </w:tcBorders>
            <w:vAlign w:val="center"/>
          </w:tcPr>
          <w:p w14:paraId="08E2972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7D27E1AD">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7EEC04A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2E8DAD3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520116CA">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0DC4B3A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394ADC7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2D7CAE5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0.0008</w:t>
            </w:r>
          </w:p>
        </w:tc>
        <w:tc>
          <w:tcPr>
            <w:tcW w:w="657" w:type="dxa"/>
            <w:tcBorders>
              <w:tl2br w:val="nil"/>
              <w:tr2bl w:val="nil"/>
            </w:tcBorders>
            <w:shd w:val="clear" w:color="auto" w:fill="auto"/>
            <w:vAlign w:val="center"/>
          </w:tcPr>
          <w:p w14:paraId="7E0394A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0.0019</w:t>
            </w:r>
          </w:p>
        </w:tc>
        <w:tc>
          <w:tcPr>
            <w:tcW w:w="1167" w:type="dxa"/>
            <w:tcBorders>
              <w:tl2br w:val="nil"/>
              <w:tr2bl w:val="nil"/>
            </w:tcBorders>
            <w:vAlign w:val="center"/>
          </w:tcPr>
          <w:p w14:paraId="13C72992">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529591C6">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023B304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1919D37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72A3DB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restart"/>
            <w:tcBorders>
              <w:tl2br w:val="nil"/>
              <w:tr2bl w:val="nil"/>
            </w:tcBorders>
            <w:vAlign w:val="center"/>
          </w:tcPr>
          <w:p w14:paraId="6F65BB5F">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调漆废气、喷漆废气、喷漆固化废气</w:t>
            </w:r>
          </w:p>
        </w:tc>
        <w:tc>
          <w:tcPr>
            <w:tcW w:w="349" w:type="dxa"/>
            <w:vMerge w:val="restart"/>
            <w:tcBorders>
              <w:tl2br w:val="nil"/>
              <w:tr2bl w:val="nil"/>
            </w:tcBorders>
            <w:vAlign w:val="center"/>
          </w:tcPr>
          <w:p w14:paraId="1F3F5DBB">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喷漆线</w:t>
            </w:r>
          </w:p>
        </w:tc>
        <w:tc>
          <w:tcPr>
            <w:tcW w:w="716" w:type="dxa"/>
            <w:vMerge w:val="restart"/>
            <w:tcBorders>
              <w:tl2br w:val="nil"/>
              <w:tr2bl w:val="nil"/>
            </w:tcBorders>
            <w:vAlign w:val="center"/>
          </w:tcPr>
          <w:p w14:paraId="430809D8">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颗粒物</w:t>
            </w:r>
          </w:p>
        </w:tc>
        <w:tc>
          <w:tcPr>
            <w:tcW w:w="344" w:type="dxa"/>
            <w:vMerge w:val="restart"/>
            <w:tcBorders>
              <w:tl2br w:val="nil"/>
              <w:tr2bl w:val="nil"/>
            </w:tcBorders>
            <w:vAlign w:val="center"/>
          </w:tcPr>
          <w:p w14:paraId="3D41B01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物料衡算法</w:t>
            </w:r>
          </w:p>
        </w:tc>
        <w:tc>
          <w:tcPr>
            <w:tcW w:w="718" w:type="dxa"/>
            <w:tcBorders>
              <w:tl2br w:val="nil"/>
              <w:tr2bl w:val="nil"/>
            </w:tcBorders>
            <w:vAlign w:val="center"/>
          </w:tcPr>
          <w:p w14:paraId="26E4CE9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7C8F5E5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45.00</w:t>
            </w:r>
          </w:p>
        </w:tc>
        <w:tc>
          <w:tcPr>
            <w:tcW w:w="708" w:type="dxa"/>
            <w:tcBorders>
              <w:tl2br w:val="nil"/>
              <w:tr2bl w:val="nil"/>
            </w:tcBorders>
            <w:shd w:val="clear" w:color="auto" w:fill="auto"/>
            <w:vAlign w:val="center"/>
          </w:tcPr>
          <w:p w14:paraId="29A8CAAA">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0.81</w:t>
            </w:r>
          </w:p>
        </w:tc>
        <w:tc>
          <w:tcPr>
            <w:tcW w:w="657" w:type="dxa"/>
            <w:tcBorders>
              <w:tl2br w:val="nil"/>
              <w:tr2bl w:val="nil"/>
            </w:tcBorders>
            <w:shd w:val="clear" w:color="auto" w:fill="auto"/>
            <w:vAlign w:val="center"/>
          </w:tcPr>
          <w:p w14:paraId="47A31E97">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1.944</w:t>
            </w:r>
          </w:p>
        </w:tc>
        <w:tc>
          <w:tcPr>
            <w:tcW w:w="315" w:type="dxa"/>
            <w:tcBorders>
              <w:tl2br w:val="nil"/>
              <w:tr2bl w:val="nil"/>
            </w:tcBorders>
            <w:vAlign w:val="center"/>
          </w:tcPr>
          <w:p w14:paraId="2AB0E36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5B1B2553">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水帘喷漆台</w:t>
            </w:r>
          </w:p>
        </w:tc>
        <w:tc>
          <w:tcPr>
            <w:tcW w:w="395" w:type="dxa"/>
            <w:tcBorders>
              <w:tl2br w:val="nil"/>
              <w:tr2bl w:val="nil"/>
            </w:tcBorders>
            <w:vAlign w:val="center"/>
          </w:tcPr>
          <w:p w14:paraId="3ABB352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2B34454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85%</w:t>
            </w:r>
          </w:p>
        </w:tc>
        <w:tc>
          <w:tcPr>
            <w:tcW w:w="500" w:type="dxa"/>
            <w:tcBorders>
              <w:tl2br w:val="nil"/>
              <w:tr2bl w:val="nil"/>
            </w:tcBorders>
            <w:shd w:val="clear" w:color="auto" w:fill="auto"/>
            <w:vAlign w:val="center"/>
          </w:tcPr>
          <w:p w14:paraId="530B9AF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256DF36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093D3F3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6.75</w:t>
            </w:r>
          </w:p>
        </w:tc>
        <w:tc>
          <w:tcPr>
            <w:tcW w:w="708" w:type="dxa"/>
            <w:tcBorders>
              <w:tl2br w:val="nil"/>
              <w:tr2bl w:val="nil"/>
            </w:tcBorders>
            <w:shd w:val="clear" w:color="auto" w:fill="auto"/>
            <w:vAlign w:val="center"/>
          </w:tcPr>
          <w:p w14:paraId="01D630F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0.1215</w:t>
            </w:r>
          </w:p>
        </w:tc>
        <w:tc>
          <w:tcPr>
            <w:tcW w:w="657" w:type="dxa"/>
            <w:tcBorders>
              <w:tl2br w:val="nil"/>
              <w:tr2bl w:val="nil"/>
            </w:tcBorders>
            <w:shd w:val="clear" w:color="auto" w:fill="auto"/>
            <w:vAlign w:val="center"/>
          </w:tcPr>
          <w:p w14:paraId="3F0C535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0.2916</w:t>
            </w:r>
          </w:p>
        </w:tc>
        <w:tc>
          <w:tcPr>
            <w:tcW w:w="1167" w:type="dxa"/>
            <w:tcBorders>
              <w:tl2br w:val="nil"/>
              <w:tr2bl w:val="nil"/>
            </w:tcBorders>
            <w:vAlign w:val="center"/>
          </w:tcPr>
          <w:p w14:paraId="0423372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19D4B92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3AD416F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3921D61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772380D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0AEE0AB8">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5773308F">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237A1F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1020457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487C1C5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6B3A12F2">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389A954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060E524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5CD45D2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65E84D7">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0.09</w:t>
            </w:r>
          </w:p>
        </w:tc>
        <w:tc>
          <w:tcPr>
            <w:tcW w:w="657" w:type="dxa"/>
            <w:tcBorders>
              <w:tl2br w:val="nil"/>
              <w:tr2bl w:val="nil"/>
            </w:tcBorders>
            <w:shd w:val="clear" w:color="auto" w:fill="auto"/>
            <w:vAlign w:val="center"/>
          </w:tcPr>
          <w:p w14:paraId="3CD1CB6A">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0.216</w:t>
            </w:r>
          </w:p>
        </w:tc>
        <w:tc>
          <w:tcPr>
            <w:tcW w:w="315" w:type="dxa"/>
            <w:tcBorders>
              <w:tl2br w:val="nil"/>
              <w:tr2bl w:val="nil"/>
            </w:tcBorders>
            <w:vAlign w:val="center"/>
          </w:tcPr>
          <w:p w14:paraId="246271E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2B1408E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7267CDB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4A3E2E7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4BA33484">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14B8D1F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74A6AD2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53191BA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0.0900</w:t>
            </w:r>
          </w:p>
        </w:tc>
        <w:tc>
          <w:tcPr>
            <w:tcW w:w="657" w:type="dxa"/>
            <w:tcBorders>
              <w:tl2br w:val="nil"/>
              <w:tr2bl w:val="nil"/>
            </w:tcBorders>
            <w:shd w:val="clear" w:color="auto" w:fill="auto"/>
            <w:vAlign w:val="center"/>
          </w:tcPr>
          <w:p w14:paraId="0B27FAB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0.2160</w:t>
            </w:r>
          </w:p>
        </w:tc>
        <w:tc>
          <w:tcPr>
            <w:tcW w:w="1167" w:type="dxa"/>
            <w:tcBorders>
              <w:tl2br w:val="nil"/>
              <w:tr2bl w:val="nil"/>
            </w:tcBorders>
            <w:vAlign w:val="center"/>
          </w:tcPr>
          <w:p w14:paraId="3D0A274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53606F75">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272CC07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505FA028">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60F1DF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246D85D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0AB5878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restart"/>
            <w:tcBorders>
              <w:tl2br w:val="nil"/>
              <w:tr2bl w:val="nil"/>
            </w:tcBorders>
            <w:vAlign w:val="center"/>
          </w:tcPr>
          <w:p w14:paraId="4FD62406">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非甲烷总烃</w:t>
            </w:r>
          </w:p>
        </w:tc>
        <w:tc>
          <w:tcPr>
            <w:tcW w:w="344" w:type="dxa"/>
            <w:vMerge w:val="continue"/>
            <w:tcBorders>
              <w:tl2br w:val="nil"/>
              <w:tr2bl w:val="nil"/>
            </w:tcBorders>
            <w:vAlign w:val="center"/>
          </w:tcPr>
          <w:p w14:paraId="062FF42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5BD7003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18000</w:t>
            </w:r>
          </w:p>
        </w:tc>
        <w:tc>
          <w:tcPr>
            <w:tcW w:w="915" w:type="dxa"/>
            <w:tcBorders>
              <w:tl2br w:val="nil"/>
              <w:tr2bl w:val="nil"/>
            </w:tcBorders>
            <w:vAlign w:val="center"/>
          </w:tcPr>
          <w:p w14:paraId="3A831AB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36.67</w:t>
            </w:r>
          </w:p>
        </w:tc>
        <w:tc>
          <w:tcPr>
            <w:tcW w:w="708" w:type="dxa"/>
            <w:tcBorders>
              <w:tl2br w:val="nil"/>
              <w:tr2bl w:val="nil"/>
            </w:tcBorders>
            <w:shd w:val="clear" w:color="auto" w:fill="auto"/>
            <w:vAlign w:val="center"/>
          </w:tcPr>
          <w:p w14:paraId="52B7628C">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0.66</w:t>
            </w:r>
          </w:p>
        </w:tc>
        <w:tc>
          <w:tcPr>
            <w:tcW w:w="657" w:type="dxa"/>
            <w:tcBorders>
              <w:tl2br w:val="nil"/>
              <w:tr2bl w:val="nil"/>
            </w:tcBorders>
            <w:shd w:val="clear" w:color="auto" w:fill="auto"/>
            <w:vAlign w:val="center"/>
          </w:tcPr>
          <w:p w14:paraId="5E7556D0">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1.584</w:t>
            </w:r>
          </w:p>
        </w:tc>
        <w:tc>
          <w:tcPr>
            <w:tcW w:w="315" w:type="dxa"/>
            <w:tcBorders>
              <w:tl2br w:val="nil"/>
              <w:tr2bl w:val="nil"/>
            </w:tcBorders>
            <w:vAlign w:val="center"/>
          </w:tcPr>
          <w:p w14:paraId="61AD00A0">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有组织</w:t>
            </w:r>
          </w:p>
        </w:tc>
        <w:tc>
          <w:tcPr>
            <w:tcW w:w="587" w:type="dxa"/>
            <w:tcBorders>
              <w:tl2br w:val="nil"/>
              <w:tr2bl w:val="nil"/>
            </w:tcBorders>
            <w:vAlign w:val="center"/>
          </w:tcPr>
          <w:p w14:paraId="16D0827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喷淋塔+过滤棉+二级活性炭吸附</w:t>
            </w:r>
          </w:p>
        </w:tc>
        <w:tc>
          <w:tcPr>
            <w:tcW w:w="395" w:type="dxa"/>
            <w:tcBorders>
              <w:tl2br w:val="nil"/>
              <w:tr2bl w:val="nil"/>
            </w:tcBorders>
            <w:vAlign w:val="center"/>
          </w:tcPr>
          <w:p w14:paraId="43DF19E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90%</w:t>
            </w:r>
          </w:p>
        </w:tc>
        <w:tc>
          <w:tcPr>
            <w:tcW w:w="500" w:type="dxa"/>
            <w:tcBorders>
              <w:tl2br w:val="nil"/>
              <w:tr2bl w:val="nil"/>
            </w:tcBorders>
            <w:vAlign w:val="center"/>
          </w:tcPr>
          <w:p w14:paraId="30B5AD7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75%</w:t>
            </w:r>
          </w:p>
        </w:tc>
        <w:tc>
          <w:tcPr>
            <w:tcW w:w="500" w:type="dxa"/>
            <w:tcBorders>
              <w:tl2br w:val="nil"/>
              <w:tr2bl w:val="nil"/>
            </w:tcBorders>
            <w:shd w:val="clear" w:color="auto" w:fill="auto"/>
            <w:vAlign w:val="center"/>
          </w:tcPr>
          <w:p w14:paraId="2BFAA90E">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是</w:t>
            </w:r>
          </w:p>
        </w:tc>
        <w:tc>
          <w:tcPr>
            <w:tcW w:w="612" w:type="dxa"/>
            <w:tcBorders>
              <w:tl2br w:val="nil"/>
              <w:tr2bl w:val="nil"/>
            </w:tcBorders>
            <w:vAlign w:val="center"/>
          </w:tcPr>
          <w:p w14:paraId="7495998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18000</w:t>
            </w:r>
          </w:p>
        </w:tc>
        <w:tc>
          <w:tcPr>
            <w:tcW w:w="703" w:type="dxa"/>
            <w:tcBorders>
              <w:tl2br w:val="nil"/>
              <w:tr2bl w:val="nil"/>
            </w:tcBorders>
            <w:vAlign w:val="center"/>
          </w:tcPr>
          <w:p w14:paraId="297CA8A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9.17</w:t>
            </w:r>
          </w:p>
        </w:tc>
        <w:tc>
          <w:tcPr>
            <w:tcW w:w="708" w:type="dxa"/>
            <w:tcBorders>
              <w:tl2br w:val="nil"/>
              <w:tr2bl w:val="nil"/>
            </w:tcBorders>
            <w:shd w:val="clear" w:color="auto" w:fill="auto"/>
            <w:vAlign w:val="center"/>
          </w:tcPr>
          <w:p w14:paraId="6179A4C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0.1650</w:t>
            </w:r>
          </w:p>
        </w:tc>
        <w:tc>
          <w:tcPr>
            <w:tcW w:w="657" w:type="dxa"/>
            <w:tcBorders>
              <w:tl2br w:val="nil"/>
              <w:tr2bl w:val="nil"/>
            </w:tcBorders>
            <w:shd w:val="clear" w:color="auto" w:fill="auto"/>
            <w:vAlign w:val="center"/>
          </w:tcPr>
          <w:p w14:paraId="3AD93FA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0.3960</w:t>
            </w:r>
          </w:p>
        </w:tc>
        <w:tc>
          <w:tcPr>
            <w:tcW w:w="1167" w:type="dxa"/>
            <w:tcBorders>
              <w:tl2br w:val="nil"/>
              <w:tr2bl w:val="nil"/>
            </w:tcBorders>
            <w:vAlign w:val="center"/>
          </w:tcPr>
          <w:p w14:paraId="3E611D4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rPr>
              <w:t>m、内径</w:t>
            </w:r>
            <w:r>
              <w:rPr>
                <w:rFonts w:hint="eastAsia" w:ascii="Times New Roman" w:hAnsi="Times New Roman" w:cs="Times New Roman"/>
                <w:color w:val="auto"/>
                <w:sz w:val="21"/>
                <w:szCs w:val="21"/>
                <w:highlight w:val="none"/>
                <w:lang w:val="en-US" w:eastAsia="zh-CN"/>
              </w:rPr>
              <w:t>0.6</w:t>
            </w:r>
            <w:r>
              <w:rPr>
                <w:rFonts w:hint="eastAsia" w:ascii="Times New Roman" w:hAnsi="Times New Roman" w:eastAsia="宋体" w:cs="Times New Roman"/>
                <w:color w:val="auto"/>
                <w:sz w:val="21"/>
                <w:szCs w:val="21"/>
                <w:highlight w:val="none"/>
              </w:rPr>
              <w:t>m、温度</w:t>
            </w:r>
            <w:r>
              <w:rPr>
                <w:rFonts w:hint="eastAsia" w:ascii="Times New Roman" w:hAnsi="Times New Roman" w:cs="Times New Roman"/>
                <w:color w:val="auto"/>
                <w:sz w:val="21"/>
                <w:szCs w:val="21"/>
                <w:highlight w:val="none"/>
                <w:lang w:val="en-US" w:eastAsia="zh-CN"/>
              </w:rPr>
              <w:t>25</w:t>
            </w: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6D503B09">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一般排放口</w:t>
            </w:r>
          </w:p>
        </w:tc>
        <w:tc>
          <w:tcPr>
            <w:tcW w:w="1266" w:type="dxa"/>
            <w:tcBorders>
              <w:tl2br w:val="nil"/>
              <w:tr2bl w:val="nil"/>
            </w:tcBorders>
            <w:vAlign w:val="center"/>
          </w:tcPr>
          <w:p w14:paraId="5C41406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经度：</w:t>
            </w:r>
          </w:p>
          <w:p w14:paraId="54B5FCC4">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lang w:val="en-US" w:eastAsia="zh-CN"/>
              </w:rPr>
              <w:t>119.292137</w:t>
            </w:r>
            <w:r>
              <w:rPr>
                <w:rFonts w:hint="eastAsia" w:ascii="Times New Roman" w:hAnsi="Times New Roman" w:eastAsia="宋体" w:cs="Times New Roman"/>
                <w:color w:val="auto"/>
                <w:sz w:val="21"/>
                <w:szCs w:val="21"/>
                <w:highlight w:val="none"/>
                <w:shd w:val="clear"/>
              </w:rPr>
              <w:t>°</w:t>
            </w:r>
          </w:p>
          <w:p w14:paraId="42183AB5">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shd w:val="clear"/>
              </w:rPr>
            </w:pPr>
            <w:r>
              <w:rPr>
                <w:rFonts w:hint="eastAsia" w:ascii="Times New Roman" w:hAnsi="Times New Roman" w:eastAsia="宋体" w:cs="Times New Roman"/>
                <w:color w:val="auto"/>
                <w:sz w:val="21"/>
                <w:szCs w:val="21"/>
                <w:highlight w:val="none"/>
                <w:shd w:val="clear"/>
              </w:rPr>
              <w:t>纬度：</w:t>
            </w:r>
          </w:p>
          <w:p w14:paraId="21ED801C">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shd w:val="clear"/>
                <w:lang w:val="en-US" w:eastAsia="zh-CN"/>
              </w:rPr>
              <w:t>25.8055968</w:t>
            </w:r>
            <w:r>
              <w:rPr>
                <w:rFonts w:hint="eastAsia" w:ascii="Times New Roman" w:hAnsi="Times New Roman" w:eastAsia="宋体" w:cs="Times New Roman"/>
                <w:color w:val="auto"/>
                <w:sz w:val="21"/>
                <w:szCs w:val="21"/>
                <w:highlight w:val="none"/>
                <w:shd w:val="clear"/>
              </w:rPr>
              <w:t>°</w:t>
            </w:r>
          </w:p>
        </w:tc>
        <w:tc>
          <w:tcPr>
            <w:tcW w:w="545" w:type="dxa"/>
            <w:vMerge w:val="continue"/>
            <w:tcBorders>
              <w:tl2br w:val="nil"/>
              <w:tr2bl w:val="nil"/>
            </w:tcBorders>
            <w:vAlign w:val="center"/>
          </w:tcPr>
          <w:p w14:paraId="4632E90D">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18B023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6" w:type="dxa"/>
            <w:vMerge w:val="continue"/>
            <w:tcBorders>
              <w:tl2br w:val="nil"/>
              <w:tr2bl w:val="nil"/>
            </w:tcBorders>
            <w:vAlign w:val="center"/>
          </w:tcPr>
          <w:p w14:paraId="739C5A4A">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349" w:type="dxa"/>
            <w:vMerge w:val="continue"/>
            <w:tcBorders>
              <w:tl2br w:val="nil"/>
              <w:tr2bl w:val="nil"/>
            </w:tcBorders>
            <w:vAlign w:val="center"/>
          </w:tcPr>
          <w:p w14:paraId="0E35644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vMerge w:val="continue"/>
            <w:tcBorders>
              <w:tl2br w:val="nil"/>
              <w:tr2bl w:val="nil"/>
            </w:tcBorders>
            <w:vAlign w:val="center"/>
          </w:tcPr>
          <w:p w14:paraId="1AD0C997">
            <w:pPr>
              <w:pStyle w:val="115"/>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宋体"/>
                <w:color w:val="auto"/>
                <w:spacing w:val="7"/>
                <w:sz w:val="21"/>
              </w:rPr>
            </w:pPr>
          </w:p>
        </w:tc>
        <w:tc>
          <w:tcPr>
            <w:tcW w:w="344" w:type="dxa"/>
            <w:vMerge w:val="continue"/>
            <w:tcBorders>
              <w:tl2br w:val="nil"/>
              <w:tr2bl w:val="nil"/>
            </w:tcBorders>
            <w:vAlign w:val="center"/>
          </w:tcPr>
          <w:p w14:paraId="5571F78E">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8" w:type="dxa"/>
            <w:tcBorders>
              <w:tl2br w:val="nil"/>
              <w:tr2bl w:val="nil"/>
            </w:tcBorders>
            <w:vAlign w:val="center"/>
          </w:tcPr>
          <w:p w14:paraId="75D8F8E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915" w:type="dxa"/>
            <w:tcBorders>
              <w:tl2br w:val="nil"/>
              <w:tr2bl w:val="nil"/>
            </w:tcBorders>
            <w:vAlign w:val="center"/>
          </w:tcPr>
          <w:p w14:paraId="38868B9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52F7588D">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0.0733</w:t>
            </w:r>
          </w:p>
        </w:tc>
        <w:tc>
          <w:tcPr>
            <w:tcW w:w="657" w:type="dxa"/>
            <w:tcBorders>
              <w:tl2br w:val="nil"/>
              <w:tr2bl w:val="nil"/>
            </w:tcBorders>
            <w:shd w:val="clear" w:color="auto" w:fill="auto"/>
            <w:vAlign w:val="center"/>
          </w:tcPr>
          <w:p w14:paraId="7812BB80">
            <w:pPr>
              <w:keepNext w:val="0"/>
              <w:keepLines w:val="0"/>
              <w:pageBreakBefore w:val="0"/>
              <w:widowControl w:val="0"/>
              <w:kinsoku/>
              <w:wordWrap/>
              <w:overflowPunct/>
              <w:topLinePunct w:val="0"/>
              <w:autoSpaceDE/>
              <w:autoSpaceDN/>
              <w:bidi w:val="0"/>
              <w:spacing w:line="240" w:lineRule="auto"/>
              <w:ind w:left="0" w:leftChars="0"/>
              <w:jc w:val="center"/>
              <w:rPr>
                <w:rFonts w:ascii="Times New Roman" w:hAnsi="Times New Roman" w:eastAsia="Times New Roman" w:cs="Times New Roman"/>
                <w:color w:val="auto"/>
                <w:spacing w:val="3"/>
                <w:position w:val="2"/>
                <w:sz w:val="20"/>
                <w:szCs w:val="20"/>
              </w:rPr>
            </w:pPr>
            <w:r>
              <w:rPr>
                <w:rFonts w:hint="eastAsia" w:ascii="Times New Roman" w:hAnsi="Times New Roman" w:eastAsia="Times New Roman" w:cs="Times New Roman"/>
                <w:color w:val="auto"/>
                <w:spacing w:val="3"/>
                <w:position w:val="2"/>
                <w:sz w:val="20"/>
                <w:szCs w:val="20"/>
                <w:lang w:val="en-US" w:eastAsia="zh-CN"/>
              </w:rPr>
              <w:t>0.176</w:t>
            </w:r>
          </w:p>
        </w:tc>
        <w:tc>
          <w:tcPr>
            <w:tcW w:w="315" w:type="dxa"/>
            <w:tcBorders>
              <w:tl2br w:val="nil"/>
              <w:tr2bl w:val="nil"/>
            </w:tcBorders>
            <w:vAlign w:val="center"/>
          </w:tcPr>
          <w:p w14:paraId="3247DC5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无组织</w:t>
            </w:r>
          </w:p>
        </w:tc>
        <w:tc>
          <w:tcPr>
            <w:tcW w:w="587" w:type="dxa"/>
            <w:tcBorders>
              <w:tl2br w:val="nil"/>
              <w:tr2bl w:val="nil"/>
            </w:tcBorders>
            <w:shd w:val="clear" w:color="auto" w:fill="auto"/>
            <w:vAlign w:val="center"/>
          </w:tcPr>
          <w:p w14:paraId="6352E16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95" w:type="dxa"/>
            <w:tcBorders>
              <w:tl2br w:val="nil"/>
              <w:tr2bl w:val="nil"/>
            </w:tcBorders>
            <w:shd w:val="clear" w:color="auto" w:fill="auto"/>
            <w:vAlign w:val="center"/>
          </w:tcPr>
          <w:p w14:paraId="1EAA1BB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757115B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500" w:type="dxa"/>
            <w:tcBorders>
              <w:tl2br w:val="nil"/>
              <w:tr2bl w:val="nil"/>
            </w:tcBorders>
            <w:shd w:val="clear" w:color="auto" w:fill="auto"/>
            <w:vAlign w:val="center"/>
          </w:tcPr>
          <w:p w14:paraId="78542307">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612" w:type="dxa"/>
            <w:tcBorders>
              <w:tl2br w:val="nil"/>
              <w:tr2bl w:val="nil"/>
            </w:tcBorders>
            <w:vAlign w:val="center"/>
          </w:tcPr>
          <w:p w14:paraId="240ABFF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3" w:type="dxa"/>
            <w:tcBorders>
              <w:tl2br w:val="nil"/>
              <w:tr2bl w:val="nil"/>
            </w:tcBorders>
            <w:vAlign w:val="center"/>
          </w:tcPr>
          <w:p w14:paraId="06BDCEB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w:t>
            </w:r>
          </w:p>
        </w:tc>
        <w:tc>
          <w:tcPr>
            <w:tcW w:w="708" w:type="dxa"/>
            <w:tcBorders>
              <w:tl2br w:val="nil"/>
              <w:tr2bl w:val="nil"/>
            </w:tcBorders>
            <w:shd w:val="clear" w:color="auto" w:fill="auto"/>
            <w:vAlign w:val="center"/>
          </w:tcPr>
          <w:p w14:paraId="4A598AA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0.0733</w:t>
            </w:r>
          </w:p>
        </w:tc>
        <w:tc>
          <w:tcPr>
            <w:tcW w:w="657" w:type="dxa"/>
            <w:tcBorders>
              <w:tl2br w:val="nil"/>
              <w:tr2bl w:val="nil"/>
            </w:tcBorders>
            <w:shd w:val="clear" w:color="auto" w:fill="auto"/>
            <w:vAlign w:val="center"/>
          </w:tcPr>
          <w:p w14:paraId="6E4EC16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0"/>
                <w:szCs w:val="20"/>
                <w:lang w:val="en-US" w:eastAsia="zh-CN"/>
              </w:rPr>
            </w:pPr>
            <w:r>
              <w:rPr>
                <w:rFonts w:hint="eastAsia" w:ascii="Times New Roman" w:hAnsi="Times New Roman" w:eastAsia="Times New Roman" w:cs="Times New Roman"/>
                <w:color w:val="auto"/>
                <w:spacing w:val="3"/>
                <w:position w:val="2"/>
                <w:sz w:val="20"/>
                <w:szCs w:val="20"/>
                <w:lang w:val="en-US" w:eastAsia="zh-CN"/>
              </w:rPr>
              <w:t>0.1760</w:t>
            </w:r>
          </w:p>
        </w:tc>
        <w:tc>
          <w:tcPr>
            <w:tcW w:w="1167" w:type="dxa"/>
            <w:tcBorders>
              <w:tl2br w:val="nil"/>
              <w:tr2bl w:val="nil"/>
            </w:tcBorders>
            <w:vAlign w:val="center"/>
          </w:tcPr>
          <w:p w14:paraId="60AEC23B">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011" w:type="dxa"/>
            <w:tcBorders>
              <w:tl2br w:val="nil"/>
              <w:tr2bl w:val="nil"/>
            </w:tcBorders>
            <w:vAlign w:val="center"/>
          </w:tcPr>
          <w:p w14:paraId="39562E5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266" w:type="dxa"/>
            <w:tcBorders>
              <w:tl2br w:val="nil"/>
              <w:tr2bl w:val="nil"/>
            </w:tcBorders>
            <w:vAlign w:val="center"/>
          </w:tcPr>
          <w:p w14:paraId="52857D33">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545" w:type="dxa"/>
            <w:vMerge w:val="continue"/>
            <w:tcBorders>
              <w:tl2br w:val="nil"/>
              <w:tr2bl w:val="nil"/>
            </w:tcBorders>
            <w:vAlign w:val="center"/>
          </w:tcPr>
          <w:p w14:paraId="7D388D67">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r>
      <w:tr w14:paraId="4B635F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restart"/>
            <w:tcBorders>
              <w:tl2br w:val="nil"/>
              <w:tr2bl w:val="nil"/>
            </w:tcBorders>
            <w:vAlign w:val="center"/>
          </w:tcPr>
          <w:p w14:paraId="14E64EC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合计</w:t>
            </w:r>
          </w:p>
        </w:tc>
        <w:tc>
          <w:tcPr>
            <w:tcW w:w="716" w:type="dxa"/>
            <w:tcBorders>
              <w:tl2br w:val="nil"/>
              <w:tr2bl w:val="nil"/>
            </w:tcBorders>
            <w:vAlign w:val="center"/>
          </w:tcPr>
          <w:p w14:paraId="3063B632">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类别</w:t>
            </w:r>
          </w:p>
        </w:tc>
        <w:tc>
          <w:tcPr>
            <w:tcW w:w="4244" w:type="dxa"/>
            <w:gridSpan w:val="7"/>
            <w:tcBorders>
              <w:tl2br w:val="nil"/>
              <w:tr2bl w:val="nil"/>
            </w:tcBorders>
            <w:vAlign w:val="center"/>
          </w:tcPr>
          <w:p w14:paraId="174881CA">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有组织排放量</w:t>
            </w:r>
          </w:p>
        </w:tc>
        <w:tc>
          <w:tcPr>
            <w:tcW w:w="5242" w:type="dxa"/>
            <w:gridSpan w:val="8"/>
            <w:tcBorders>
              <w:tl2br w:val="nil"/>
              <w:tr2bl w:val="nil"/>
            </w:tcBorders>
            <w:shd w:val="clear" w:color="auto" w:fill="auto"/>
            <w:vAlign w:val="center"/>
          </w:tcPr>
          <w:p w14:paraId="33EBED2B">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无组织排放量</w:t>
            </w:r>
          </w:p>
        </w:tc>
        <w:tc>
          <w:tcPr>
            <w:tcW w:w="2822" w:type="dxa"/>
            <w:gridSpan w:val="3"/>
            <w:tcBorders>
              <w:tl2br w:val="nil"/>
              <w:tr2bl w:val="nil"/>
            </w:tcBorders>
            <w:vAlign w:val="center"/>
          </w:tcPr>
          <w:p w14:paraId="378D6E6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总计</w:t>
            </w:r>
          </w:p>
        </w:tc>
      </w:tr>
      <w:tr w14:paraId="65BFCC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2D086536">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66F85DF7">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颗粒物</w:t>
            </w:r>
          </w:p>
        </w:tc>
        <w:tc>
          <w:tcPr>
            <w:tcW w:w="4244" w:type="dxa"/>
            <w:gridSpan w:val="7"/>
            <w:tcBorders>
              <w:tl2br w:val="nil"/>
              <w:tr2bl w:val="nil"/>
            </w:tcBorders>
            <w:vAlign w:val="center"/>
          </w:tcPr>
          <w:p w14:paraId="2779E861">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0.4579</w:t>
            </w:r>
          </w:p>
        </w:tc>
        <w:tc>
          <w:tcPr>
            <w:tcW w:w="5242" w:type="dxa"/>
            <w:gridSpan w:val="8"/>
            <w:tcBorders>
              <w:tl2br w:val="nil"/>
              <w:tr2bl w:val="nil"/>
            </w:tcBorders>
            <w:shd w:val="clear" w:color="auto" w:fill="auto"/>
            <w:vAlign w:val="center"/>
          </w:tcPr>
          <w:p w14:paraId="2E674D06">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0.3797</w:t>
            </w:r>
          </w:p>
        </w:tc>
        <w:tc>
          <w:tcPr>
            <w:tcW w:w="2822" w:type="dxa"/>
            <w:gridSpan w:val="3"/>
            <w:tcBorders>
              <w:tl2br w:val="nil"/>
              <w:tr2bl w:val="nil"/>
            </w:tcBorders>
            <w:vAlign w:val="center"/>
          </w:tcPr>
          <w:p w14:paraId="001C8E16">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0.8376</w:t>
            </w:r>
          </w:p>
        </w:tc>
      </w:tr>
      <w:tr w14:paraId="789F9E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55B288D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0D86AFCE">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非甲烷总烃</w:t>
            </w:r>
          </w:p>
        </w:tc>
        <w:tc>
          <w:tcPr>
            <w:tcW w:w="4244" w:type="dxa"/>
            <w:gridSpan w:val="7"/>
            <w:tcBorders>
              <w:tl2br w:val="nil"/>
              <w:tr2bl w:val="nil"/>
            </w:tcBorders>
            <w:vAlign w:val="center"/>
          </w:tcPr>
          <w:p w14:paraId="5F19A5AD">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0.6123</w:t>
            </w:r>
          </w:p>
        </w:tc>
        <w:tc>
          <w:tcPr>
            <w:tcW w:w="5242" w:type="dxa"/>
            <w:gridSpan w:val="8"/>
            <w:tcBorders>
              <w:tl2br w:val="nil"/>
              <w:tr2bl w:val="nil"/>
            </w:tcBorders>
            <w:shd w:val="clear" w:color="auto" w:fill="auto"/>
            <w:vAlign w:val="center"/>
          </w:tcPr>
          <w:p w14:paraId="684C543D">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0.2721</w:t>
            </w:r>
          </w:p>
        </w:tc>
        <w:tc>
          <w:tcPr>
            <w:tcW w:w="2822" w:type="dxa"/>
            <w:gridSpan w:val="3"/>
            <w:tcBorders>
              <w:tl2br w:val="nil"/>
              <w:tr2bl w:val="nil"/>
            </w:tcBorders>
            <w:vAlign w:val="center"/>
          </w:tcPr>
          <w:p w14:paraId="6A816847">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0.8845</w:t>
            </w:r>
          </w:p>
        </w:tc>
      </w:tr>
      <w:tr w14:paraId="3A5814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71B17493">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218CA7C5">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SO</w:t>
            </w:r>
            <w:r>
              <w:rPr>
                <w:rFonts w:hint="eastAsia" w:ascii="Times New Roman" w:hAnsi="Times New Roman"/>
                <w:color w:val="auto"/>
                <w:spacing w:val="7"/>
                <w:sz w:val="21"/>
                <w:vertAlign w:val="subscript"/>
                <w:lang w:val="en-US" w:eastAsia="zh-CN"/>
              </w:rPr>
              <w:t>2</w:t>
            </w:r>
          </w:p>
        </w:tc>
        <w:tc>
          <w:tcPr>
            <w:tcW w:w="4244" w:type="dxa"/>
            <w:gridSpan w:val="7"/>
            <w:tcBorders>
              <w:tl2br w:val="nil"/>
              <w:tr2bl w:val="nil"/>
            </w:tcBorders>
            <w:vAlign w:val="center"/>
          </w:tcPr>
          <w:p w14:paraId="36BD3F9E">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0.009</w:t>
            </w:r>
          </w:p>
        </w:tc>
        <w:tc>
          <w:tcPr>
            <w:tcW w:w="5242" w:type="dxa"/>
            <w:gridSpan w:val="8"/>
            <w:tcBorders>
              <w:tl2br w:val="nil"/>
              <w:tr2bl w:val="nil"/>
            </w:tcBorders>
            <w:shd w:val="clear" w:color="auto" w:fill="auto"/>
            <w:vAlign w:val="center"/>
          </w:tcPr>
          <w:p w14:paraId="32B668F2">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c>
          <w:tcPr>
            <w:tcW w:w="2822" w:type="dxa"/>
            <w:gridSpan w:val="3"/>
            <w:tcBorders>
              <w:tl2br w:val="nil"/>
              <w:tr2bl w:val="nil"/>
            </w:tcBorders>
            <w:vAlign w:val="center"/>
          </w:tcPr>
          <w:p w14:paraId="5697AED4">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735B9F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53572889">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6F073188">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NOx</w:t>
            </w:r>
          </w:p>
        </w:tc>
        <w:tc>
          <w:tcPr>
            <w:tcW w:w="4244" w:type="dxa"/>
            <w:gridSpan w:val="7"/>
            <w:tcBorders>
              <w:tl2br w:val="nil"/>
              <w:tr2bl w:val="nil"/>
            </w:tcBorders>
            <w:vAlign w:val="center"/>
          </w:tcPr>
          <w:p w14:paraId="51EEC8F6">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0.07396</w:t>
            </w:r>
          </w:p>
        </w:tc>
        <w:tc>
          <w:tcPr>
            <w:tcW w:w="5242" w:type="dxa"/>
            <w:gridSpan w:val="8"/>
            <w:tcBorders>
              <w:tl2br w:val="nil"/>
              <w:tr2bl w:val="nil"/>
            </w:tcBorders>
            <w:shd w:val="clear" w:color="auto" w:fill="auto"/>
            <w:vAlign w:val="center"/>
          </w:tcPr>
          <w:p w14:paraId="593CF57A">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0.0082</w:t>
            </w:r>
          </w:p>
        </w:tc>
        <w:tc>
          <w:tcPr>
            <w:tcW w:w="2822" w:type="dxa"/>
            <w:gridSpan w:val="3"/>
            <w:tcBorders>
              <w:tl2br w:val="nil"/>
              <w:tr2bl w:val="nil"/>
            </w:tcBorders>
            <w:vAlign w:val="center"/>
          </w:tcPr>
          <w:p w14:paraId="2FA9D22F">
            <w:pPr>
              <w:pStyle w:val="98"/>
              <w:keepNext w:val="0"/>
              <w:keepLines w:val="0"/>
              <w:pageBreakBefore w:val="0"/>
              <w:widowControl w:val="0"/>
              <w:kinsoku/>
              <w:wordWrap/>
              <w:overflowPunct/>
              <w:topLinePunct w:val="0"/>
              <w:autoSpaceDE/>
              <w:autoSpaceDN/>
              <w:bidi w:val="0"/>
              <w:spacing w:line="240" w:lineRule="auto"/>
              <w:ind w:lef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0.082</w:t>
            </w:r>
          </w:p>
        </w:tc>
      </w:tr>
      <w:tr w14:paraId="1EB83B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313AB0B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1557238D">
            <w:pPr>
              <w:pStyle w:val="115"/>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olor w:val="auto"/>
                <w:spacing w:val="7"/>
                <w:sz w:val="21"/>
                <w:lang w:val="en-US" w:eastAsia="zh-CN"/>
              </w:rPr>
            </w:pPr>
            <w:r>
              <w:rPr>
                <w:rFonts w:hint="eastAsia" w:ascii="Times New Roman" w:hAnsi="Times New Roman"/>
                <w:color w:val="auto"/>
                <w:spacing w:val="7"/>
                <w:sz w:val="21"/>
                <w:lang w:val="en-US" w:eastAsia="zh-CN"/>
              </w:rPr>
              <w:t>氨</w:t>
            </w:r>
          </w:p>
        </w:tc>
        <w:tc>
          <w:tcPr>
            <w:tcW w:w="4244" w:type="dxa"/>
            <w:gridSpan w:val="7"/>
            <w:tcBorders>
              <w:tl2br w:val="nil"/>
              <w:tr2bl w:val="nil"/>
            </w:tcBorders>
            <w:vAlign w:val="center"/>
          </w:tcPr>
          <w:p w14:paraId="255B59B7">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242" w:type="dxa"/>
            <w:gridSpan w:val="8"/>
            <w:tcBorders>
              <w:tl2br w:val="nil"/>
              <w:tr2bl w:val="nil"/>
            </w:tcBorders>
            <w:shd w:val="clear" w:color="auto" w:fill="auto"/>
            <w:vAlign w:val="center"/>
          </w:tcPr>
          <w:p w14:paraId="12CF55A4">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2822" w:type="dxa"/>
            <w:gridSpan w:val="3"/>
            <w:tcBorders>
              <w:tl2br w:val="nil"/>
              <w:tr2bl w:val="nil"/>
            </w:tcBorders>
            <w:vAlign w:val="center"/>
          </w:tcPr>
          <w:p w14:paraId="45F6C4DF">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r>
      <w:tr w14:paraId="273CB1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05" w:type="dxa"/>
            <w:gridSpan w:val="2"/>
            <w:vMerge w:val="continue"/>
            <w:tcBorders>
              <w:tl2br w:val="nil"/>
              <w:tr2bl w:val="nil"/>
            </w:tcBorders>
            <w:vAlign w:val="center"/>
          </w:tcPr>
          <w:p w14:paraId="5DF897F2">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p>
        </w:tc>
        <w:tc>
          <w:tcPr>
            <w:tcW w:w="716" w:type="dxa"/>
            <w:tcBorders>
              <w:tl2br w:val="nil"/>
              <w:tr2bl w:val="nil"/>
            </w:tcBorders>
            <w:vAlign w:val="center"/>
          </w:tcPr>
          <w:p w14:paraId="772C4047">
            <w:pPr>
              <w:pStyle w:val="115"/>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color w:val="auto"/>
                <w:spacing w:val="7"/>
                <w:sz w:val="21"/>
                <w:lang w:val="en-US" w:eastAsia="zh-CN"/>
              </w:rPr>
            </w:pPr>
            <w:r>
              <w:rPr>
                <w:rFonts w:ascii="Times New Roman" w:hAnsi="Times New Roman" w:eastAsia="宋体"/>
                <w:color w:val="auto"/>
                <w:spacing w:val="7"/>
                <w:sz w:val="21"/>
              </w:rPr>
              <w:t>硫化氢</w:t>
            </w:r>
          </w:p>
        </w:tc>
        <w:tc>
          <w:tcPr>
            <w:tcW w:w="4244" w:type="dxa"/>
            <w:gridSpan w:val="7"/>
            <w:tcBorders>
              <w:tl2br w:val="nil"/>
              <w:tr2bl w:val="nil"/>
            </w:tcBorders>
            <w:vAlign w:val="center"/>
          </w:tcPr>
          <w:p w14:paraId="60586D33">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242" w:type="dxa"/>
            <w:gridSpan w:val="8"/>
            <w:tcBorders>
              <w:tl2br w:val="nil"/>
              <w:tr2bl w:val="nil"/>
            </w:tcBorders>
            <w:shd w:val="clear" w:color="auto" w:fill="auto"/>
            <w:vAlign w:val="center"/>
          </w:tcPr>
          <w:p w14:paraId="2DB2174E">
            <w:pPr>
              <w:pStyle w:val="98"/>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c>
          <w:tcPr>
            <w:tcW w:w="2822" w:type="dxa"/>
            <w:gridSpan w:val="3"/>
            <w:tcBorders>
              <w:tl2br w:val="nil"/>
              <w:tr2bl w:val="nil"/>
            </w:tcBorders>
            <w:vAlign w:val="center"/>
          </w:tcPr>
          <w:p w14:paraId="79F03EA1">
            <w:pPr>
              <w:pStyle w:val="98"/>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0.12</w:t>
            </w:r>
          </w:p>
        </w:tc>
      </w:tr>
    </w:tbl>
    <w:p w14:paraId="381A7356">
      <w:pPr>
        <w:adjustRightInd w:val="0"/>
        <w:snapToGrid w:val="0"/>
        <w:spacing w:line="360" w:lineRule="auto"/>
        <w:jc w:val="center"/>
        <w:rPr>
          <w:rFonts w:ascii="宋体" w:cs="宋体"/>
          <w:b/>
          <w:color w:val="auto"/>
          <w:kern w:val="0"/>
          <w:sz w:val="28"/>
          <w:szCs w:val="28"/>
          <w:highlight w:val="none"/>
        </w:rPr>
        <w:sectPr>
          <w:pgSz w:w="16838" w:h="11905" w:orient="landscape"/>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tbl>
      <w:tblPr>
        <w:tblStyle w:val="34"/>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0"/>
        <w:gridCol w:w="8967"/>
      </w:tblGrid>
      <w:tr w14:paraId="2751A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8" w:hRule="atLeast"/>
          <w:jc w:val="center"/>
        </w:trPr>
        <w:tc>
          <w:tcPr>
            <w:tcW w:w="240" w:type="dxa"/>
            <w:shd w:val="clear" w:color="auto" w:fill="auto"/>
            <w:tcMar>
              <w:left w:w="28" w:type="dxa"/>
              <w:right w:w="28" w:type="dxa"/>
            </w:tcMar>
            <w:vAlign w:val="center"/>
          </w:tcPr>
          <w:p w14:paraId="28F82248">
            <w:pPr>
              <w:pStyle w:val="46"/>
              <w:ind w:left="0" w:leftChars="0" w:firstLine="0" w:firstLineChars="0"/>
              <w:rPr>
                <w:rFonts w:hint="eastAsia" w:ascii="宋体" w:hAnsi="宋体" w:cs="宋体"/>
                <w:bCs/>
                <w:color w:val="auto"/>
                <w:szCs w:val="21"/>
                <w:highlight w:val="none"/>
              </w:rPr>
            </w:pPr>
          </w:p>
        </w:tc>
        <w:tc>
          <w:tcPr>
            <w:tcW w:w="8967" w:type="dxa"/>
            <w:shd w:val="clear" w:color="auto" w:fill="auto"/>
            <w:vAlign w:val="center"/>
          </w:tcPr>
          <w:p w14:paraId="4188DBCF">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（6）非正常工况源强核算</w:t>
            </w:r>
          </w:p>
          <w:p w14:paraId="402FE70A">
            <w:pPr>
              <w:pStyle w:val="46"/>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本项目涉及多套废气处理设施，非正常排放情况考虑有组织废气净化设施发生故障，废气未经处理就直接排放的情景，污染物的去除效率为0，在此工况下，污染物排放</w:t>
            </w:r>
            <w:r>
              <w:rPr>
                <w:rFonts w:hint="eastAsia" w:cs="宋体"/>
                <w:color w:val="auto"/>
                <w:highlight w:val="none"/>
                <w:lang w:val="en-US" w:eastAsia="zh-CN"/>
              </w:rPr>
              <w:t>源强</w:t>
            </w:r>
            <w:r>
              <w:rPr>
                <w:rFonts w:hint="eastAsia" w:ascii="Times New Roman" w:hAnsi="Times New Roman" w:eastAsia="宋体" w:cs="宋体"/>
                <w:color w:val="auto"/>
                <w:highlight w:val="none"/>
                <w:lang w:val="en-US" w:eastAsia="zh-CN"/>
              </w:rPr>
              <w:t>见表</w:t>
            </w:r>
            <w:r>
              <w:rPr>
                <w:rFonts w:hint="eastAsia" w:cs="宋体"/>
                <w:color w:val="auto"/>
                <w:highlight w:val="none"/>
                <w:lang w:val="en-US" w:eastAsia="zh-CN"/>
              </w:rPr>
              <w:t>4.2-3。</w:t>
            </w:r>
          </w:p>
          <w:p w14:paraId="678A368A">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非正常工况下污染物排放源一览表</w:t>
            </w:r>
          </w:p>
          <w:tbl>
            <w:tblPr>
              <w:tblStyle w:val="86"/>
              <w:tblW w:w="4997"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67"/>
              <w:gridCol w:w="845"/>
              <w:gridCol w:w="1162"/>
              <w:gridCol w:w="753"/>
              <w:gridCol w:w="915"/>
              <w:gridCol w:w="872"/>
              <w:gridCol w:w="886"/>
              <w:gridCol w:w="861"/>
              <w:gridCol w:w="828"/>
              <w:gridCol w:w="641"/>
              <w:gridCol w:w="616"/>
            </w:tblGrid>
            <w:tr w14:paraId="61AE40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restart"/>
                  <w:tcBorders>
                    <w:tl2br w:val="nil"/>
                    <w:tr2bl w:val="nil"/>
                  </w:tcBorders>
                  <w:textDirection w:val="tbRlV"/>
                  <w:vAlign w:val="center"/>
                </w:tcPr>
                <w:p w14:paraId="2DD50FC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序号</w:t>
                  </w:r>
                </w:p>
              </w:tc>
              <w:tc>
                <w:tcPr>
                  <w:tcW w:w="483" w:type="pct"/>
                  <w:vMerge w:val="restart"/>
                  <w:tcBorders>
                    <w:tl2br w:val="nil"/>
                    <w:tr2bl w:val="nil"/>
                  </w:tcBorders>
                  <w:vAlign w:val="center"/>
                </w:tcPr>
                <w:p w14:paraId="63C499B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污染源</w:t>
                  </w:r>
                </w:p>
              </w:tc>
              <w:tc>
                <w:tcPr>
                  <w:tcW w:w="664" w:type="pct"/>
                  <w:vMerge w:val="restart"/>
                  <w:tcBorders>
                    <w:tl2br w:val="nil"/>
                    <w:tr2bl w:val="nil"/>
                  </w:tcBorders>
                  <w:vAlign w:val="center"/>
                </w:tcPr>
                <w:p w14:paraId="0CC0296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非正常排放原因</w:t>
                  </w:r>
                </w:p>
              </w:tc>
              <w:tc>
                <w:tcPr>
                  <w:tcW w:w="430" w:type="pct"/>
                  <w:vMerge w:val="restart"/>
                  <w:tcBorders>
                    <w:tl2br w:val="nil"/>
                    <w:tr2bl w:val="nil"/>
                  </w:tcBorders>
                  <w:vAlign w:val="center"/>
                </w:tcPr>
                <w:p w14:paraId="62E0AAB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污染物</w:t>
                  </w:r>
                </w:p>
              </w:tc>
              <w:tc>
                <w:tcPr>
                  <w:tcW w:w="2019" w:type="pct"/>
                  <w:gridSpan w:val="4"/>
                  <w:tcBorders>
                    <w:tl2br w:val="nil"/>
                    <w:tr2bl w:val="nil"/>
                  </w:tcBorders>
                  <w:vAlign w:val="center"/>
                </w:tcPr>
                <w:p w14:paraId="3B3D850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非正常排放状况</w:t>
                  </w:r>
                </w:p>
              </w:tc>
              <w:tc>
                <w:tcPr>
                  <w:tcW w:w="839" w:type="pct"/>
                  <w:gridSpan w:val="2"/>
                  <w:tcBorders>
                    <w:tl2br w:val="nil"/>
                    <w:tr2bl w:val="nil"/>
                  </w:tcBorders>
                  <w:vAlign w:val="center"/>
                </w:tcPr>
                <w:p w14:paraId="68ADB38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排放标准</w:t>
                  </w:r>
                </w:p>
              </w:tc>
              <w:tc>
                <w:tcPr>
                  <w:tcW w:w="352" w:type="pct"/>
                  <w:vMerge w:val="restart"/>
                  <w:tcBorders>
                    <w:tl2br w:val="nil"/>
                    <w:tr2bl w:val="nil"/>
                  </w:tcBorders>
                  <w:vAlign w:val="center"/>
                </w:tcPr>
                <w:p w14:paraId="04E93D0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p w14:paraId="4716945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分析</w:t>
                  </w:r>
                </w:p>
              </w:tc>
            </w:tr>
            <w:tr w14:paraId="251FD9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continue"/>
                  <w:tcBorders>
                    <w:tl2br w:val="nil"/>
                    <w:tr2bl w:val="nil"/>
                  </w:tcBorders>
                  <w:textDirection w:val="tbRlV"/>
                  <w:vAlign w:val="center"/>
                </w:tcPr>
                <w:p w14:paraId="4F614E2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83" w:type="pct"/>
                  <w:vMerge w:val="continue"/>
                  <w:tcBorders>
                    <w:tl2br w:val="nil"/>
                    <w:tr2bl w:val="nil"/>
                  </w:tcBorders>
                  <w:vAlign w:val="center"/>
                </w:tcPr>
                <w:p w14:paraId="74E3DD4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664" w:type="pct"/>
                  <w:vMerge w:val="continue"/>
                  <w:tcBorders>
                    <w:tl2br w:val="nil"/>
                    <w:tr2bl w:val="nil"/>
                  </w:tcBorders>
                  <w:vAlign w:val="center"/>
                </w:tcPr>
                <w:p w14:paraId="4404A09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30" w:type="pct"/>
                  <w:vMerge w:val="continue"/>
                  <w:tcBorders>
                    <w:tl2br w:val="nil"/>
                    <w:tr2bl w:val="nil"/>
                  </w:tcBorders>
                  <w:vAlign w:val="center"/>
                </w:tcPr>
                <w:p w14:paraId="46E5BC0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523" w:type="pct"/>
                  <w:tcBorders>
                    <w:tl2br w:val="nil"/>
                    <w:tr2bl w:val="nil"/>
                  </w:tcBorders>
                  <w:vAlign w:val="center"/>
                </w:tcPr>
                <w:p w14:paraId="7A95FA7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浓度</w:t>
                  </w:r>
                </w:p>
                <w:p w14:paraId="0A76633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(mg/m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w:t>
                  </w:r>
                </w:p>
              </w:tc>
              <w:tc>
                <w:tcPr>
                  <w:tcW w:w="498" w:type="pct"/>
                  <w:tcBorders>
                    <w:tl2br w:val="nil"/>
                    <w:tr2bl w:val="nil"/>
                  </w:tcBorders>
                  <w:vAlign w:val="center"/>
                </w:tcPr>
                <w:p w14:paraId="242E0CE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速率</w:t>
                  </w:r>
                </w:p>
                <w:p w14:paraId="232402E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(kg/h)</w:t>
                  </w:r>
                </w:p>
              </w:tc>
              <w:tc>
                <w:tcPr>
                  <w:tcW w:w="506" w:type="pct"/>
                  <w:tcBorders>
                    <w:tl2br w:val="nil"/>
                    <w:tr2bl w:val="nil"/>
                  </w:tcBorders>
                  <w:vAlign w:val="center"/>
                </w:tcPr>
                <w:p w14:paraId="6EBF1EE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频次及</w:t>
                  </w:r>
                </w:p>
                <w:p w14:paraId="19A5064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持续时</w:t>
                  </w:r>
                </w:p>
                <w:p w14:paraId="5817BD3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间</w:t>
                  </w:r>
                </w:p>
              </w:tc>
              <w:tc>
                <w:tcPr>
                  <w:tcW w:w="491" w:type="pct"/>
                  <w:tcBorders>
                    <w:tl2br w:val="nil"/>
                    <w:tr2bl w:val="nil"/>
                  </w:tcBorders>
                  <w:vAlign w:val="center"/>
                </w:tcPr>
                <w:p w14:paraId="6C8E824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排放量</w:t>
                  </w:r>
                </w:p>
                <w:p w14:paraId="54AC27A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(kg/a)</w:t>
                  </w:r>
                </w:p>
              </w:tc>
              <w:tc>
                <w:tcPr>
                  <w:tcW w:w="473" w:type="pct"/>
                  <w:tcBorders>
                    <w:tl2br w:val="nil"/>
                    <w:tr2bl w:val="nil"/>
                  </w:tcBorders>
                  <w:vAlign w:val="center"/>
                </w:tcPr>
                <w:p w14:paraId="4AE93A0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浓度</w:t>
                  </w:r>
                </w:p>
                <w:p w14:paraId="2653957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(mg/m</w:t>
                  </w:r>
                  <w:r>
                    <w:rPr>
                      <w:rFonts w:hint="eastAsia" w:ascii="Times New Roman" w:hAnsi="Times New Roman" w:eastAsia="宋体" w:cs="Times New Roman"/>
                      <w:color w:val="auto"/>
                      <w:sz w:val="21"/>
                      <w:szCs w:val="21"/>
                      <w:highlight w:val="none"/>
                      <w:vertAlign w:val="superscript"/>
                    </w:rPr>
                    <w:t>3</w:t>
                  </w:r>
                </w:p>
                <w:p w14:paraId="4E58967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66" w:type="pct"/>
                  <w:tcBorders>
                    <w:tl2br w:val="nil"/>
                    <w:tr2bl w:val="nil"/>
                  </w:tcBorders>
                  <w:vAlign w:val="center"/>
                </w:tcPr>
                <w:p w14:paraId="5A065E6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速率</w:t>
                  </w:r>
                  <w:r>
                    <w:rPr>
                      <w:rFonts w:hint="eastAsia"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kg/h</w:t>
                  </w:r>
                </w:p>
                <w:p w14:paraId="1B2A5D5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52" w:type="pct"/>
                  <w:vMerge w:val="continue"/>
                  <w:tcBorders>
                    <w:tl2br w:val="nil"/>
                    <w:tr2bl w:val="nil"/>
                  </w:tcBorders>
                  <w:vAlign w:val="center"/>
                </w:tcPr>
                <w:p w14:paraId="4FAC9A3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3F8D4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restart"/>
                  <w:tcBorders>
                    <w:tl2br w:val="nil"/>
                    <w:tr2bl w:val="nil"/>
                  </w:tcBorders>
                  <w:vAlign w:val="center"/>
                </w:tcPr>
                <w:p w14:paraId="5DCB602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p>
              </w:tc>
              <w:tc>
                <w:tcPr>
                  <w:tcW w:w="483" w:type="pct"/>
                  <w:vMerge w:val="restart"/>
                  <w:tcBorders>
                    <w:tl2br w:val="nil"/>
                    <w:tr2bl w:val="nil"/>
                  </w:tcBorders>
                  <w:vAlign w:val="center"/>
                </w:tcPr>
                <w:p w14:paraId="4388C30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rPr>
                  </w:pPr>
                  <w:r>
                    <w:rPr>
                      <w:color w:val="auto"/>
                      <w:spacing w:val="8"/>
                    </w:rPr>
                    <w:t>电泳、电泳固</w:t>
                  </w:r>
                  <w:r>
                    <w:rPr>
                      <w:color w:val="auto"/>
                      <w:spacing w:val="-1"/>
                    </w:rPr>
                    <w:t>化废气、</w:t>
                  </w:r>
                  <w:r>
                    <w:rPr>
                      <w:rFonts w:hint="eastAsia"/>
                      <w:color w:val="auto"/>
                      <w:spacing w:val="-1"/>
                      <w:lang w:val="en-US" w:eastAsia="zh-CN"/>
                    </w:rPr>
                    <w:t>天然气</w:t>
                  </w:r>
                  <w:r>
                    <w:rPr>
                      <w:color w:val="auto"/>
                      <w:spacing w:val="-1"/>
                    </w:rPr>
                    <w:t>燃烧</w:t>
                  </w:r>
                  <w:r>
                    <w:rPr>
                      <w:rFonts w:hint="eastAsia"/>
                      <w:color w:val="auto"/>
                      <w:spacing w:val="-1"/>
                      <w:lang w:val="en-US" w:eastAsia="zh-CN"/>
                    </w:rPr>
                    <w:t>废</w:t>
                  </w:r>
                  <w:r>
                    <w:rPr>
                      <w:color w:val="auto"/>
                      <w:spacing w:val="-1"/>
                    </w:rPr>
                    <w:t>气</w:t>
                  </w:r>
                  <w:r>
                    <w:rPr>
                      <w:rFonts w:hint="eastAsia"/>
                      <w:color w:val="auto"/>
                      <w:spacing w:val="-1"/>
                      <w:lang w:eastAsia="zh-CN"/>
                    </w:rPr>
                    <w:t>（</w:t>
                  </w:r>
                  <w:r>
                    <w:rPr>
                      <w:rFonts w:hint="eastAsia"/>
                      <w:color w:val="auto"/>
                      <w:spacing w:val="-1"/>
                      <w:lang w:val="en-US" w:eastAsia="zh-CN"/>
                    </w:rPr>
                    <w:t>电泳）</w:t>
                  </w:r>
                </w:p>
              </w:tc>
              <w:tc>
                <w:tcPr>
                  <w:tcW w:w="664" w:type="pct"/>
                  <w:vMerge w:val="restart"/>
                  <w:tcBorders>
                    <w:tl2br w:val="nil"/>
                    <w:tr2bl w:val="nil"/>
                  </w:tcBorders>
                  <w:vAlign w:val="center"/>
                </w:tcPr>
                <w:p w14:paraId="589599D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废气处理设施或风机故障</w:t>
                  </w:r>
                </w:p>
              </w:tc>
              <w:tc>
                <w:tcPr>
                  <w:tcW w:w="430" w:type="pct"/>
                  <w:tcBorders>
                    <w:tl2br w:val="nil"/>
                    <w:tr2bl w:val="nil"/>
                  </w:tcBorders>
                  <w:vAlign w:val="center"/>
                </w:tcPr>
                <w:p w14:paraId="38C2AE1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非甲烷总烃</w:t>
                  </w:r>
                </w:p>
              </w:tc>
              <w:tc>
                <w:tcPr>
                  <w:tcW w:w="523" w:type="pct"/>
                  <w:tcBorders>
                    <w:tl2br w:val="nil"/>
                    <w:tr2bl w:val="nil"/>
                  </w:tcBorders>
                  <w:vAlign w:val="center"/>
                </w:tcPr>
                <w:p w14:paraId="1B4A378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35.30</w:t>
                  </w:r>
                </w:p>
              </w:tc>
              <w:tc>
                <w:tcPr>
                  <w:tcW w:w="498" w:type="pct"/>
                  <w:tcBorders>
                    <w:tl2br w:val="nil"/>
                    <w:tr2bl w:val="nil"/>
                  </w:tcBorders>
                  <w:vAlign w:val="center"/>
                </w:tcPr>
                <w:p w14:paraId="5D2035E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0.3530</w:t>
                  </w:r>
                </w:p>
              </w:tc>
              <w:tc>
                <w:tcPr>
                  <w:tcW w:w="506" w:type="pct"/>
                  <w:vMerge w:val="restart"/>
                  <w:tcBorders>
                    <w:tl2br w:val="nil"/>
                    <w:tr2bl w:val="nil"/>
                  </w:tcBorders>
                  <w:vAlign w:val="center"/>
                </w:tcPr>
                <w:p w14:paraId="297052A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1次/a，30min/次</w:t>
                  </w:r>
                </w:p>
              </w:tc>
              <w:tc>
                <w:tcPr>
                  <w:tcW w:w="491" w:type="pct"/>
                  <w:tcBorders>
                    <w:tl2br w:val="nil"/>
                    <w:tr2bl w:val="nil"/>
                  </w:tcBorders>
                  <w:vAlign w:val="center"/>
                </w:tcPr>
                <w:p w14:paraId="739D0F5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0.84726</w:t>
                  </w:r>
                </w:p>
              </w:tc>
              <w:tc>
                <w:tcPr>
                  <w:tcW w:w="473" w:type="pct"/>
                  <w:tcBorders>
                    <w:tl2br w:val="nil"/>
                    <w:tr2bl w:val="nil"/>
                  </w:tcBorders>
                  <w:vAlign w:val="center"/>
                </w:tcPr>
                <w:p w14:paraId="5A84940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366" w:type="pct"/>
                  <w:tcBorders>
                    <w:tl2br w:val="nil"/>
                    <w:tr2bl w:val="nil"/>
                  </w:tcBorders>
                  <w:vAlign w:val="center"/>
                </w:tcPr>
                <w:p w14:paraId="36BC116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352" w:type="pct"/>
                  <w:vMerge w:val="restart"/>
                  <w:tcBorders>
                    <w:tl2br w:val="nil"/>
                    <w:tr2bl w:val="nil"/>
                  </w:tcBorders>
                  <w:vAlign w:val="center"/>
                </w:tcPr>
                <w:p w14:paraId="3919736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5A5225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continue"/>
                  <w:tcBorders>
                    <w:tl2br w:val="nil"/>
                    <w:tr2bl w:val="nil"/>
                  </w:tcBorders>
                  <w:vAlign w:val="center"/>
                </w:tcPr>
                <w:p w14:paraId="24EB65A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83" w:type="pct"/>
                  <w:vMerge w:val="continue"/>
                  <w:tcBorders>
                    <w:tl2br w:val="nil"/>
                    <w:tr2bl w:val="nil"/>
                  </w:tcBorders>
                  <w:vAlign w:val="center"/>
                </w:tcPr>
                <w:p w14:paraId="37EA343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664" w:type="pct"/>
                  <w:vMerge w:val="continue"/>
                  <w:tcBorders>
                    <w:tl2br w:val="nil"/>
                    <w:tr2bl w:val="nil"/>
                  </w:tcBorders>
                  <w:vAlign w:val="center"/>
                </w:tcPr>
                <w:p w14:paraId="2CF1681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30" w:type="pct"/>
                  <w:tcBorders>
                    <w:tl2br w:val="nil"/>
                    <w:tr2bl w:val="nil"/>
                  </w:tcBorders>
                  <w:vAlign w:val="center"/>
                </w:tcPr>
                <w:p w14:paraId="257A682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颗粒物</w:t>
                  </w:r>
                </w:p>
              </w:tc>
              <w:tc>
                <w:tcPr>
                  <w:tcW w:w="523" w:type="pct"/>
                  <w:tcBorders>
                    <w:tl2br w:val="nil"/>
                    <w:tr2bl w:val="nil"/>
                  </w:tcBorders>
                  <w:vAlign w:val="center"/>
                </w:tcPr>
                <w:p w14:paraId="42D46D1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0.43</w:t>
                  </w:r>
                </w:p>
              </w:tc>
              <w:tc>
                <w:tcPr>
                  <w:tcW w:w="498" w:type="pct"/>
                  <w:tcBorders>
                    <w:tl2br w:val="nil"/>
                    <w:tr2bl w:val="nil"/>
                  </w:tcBorders>
                  <w:vAlign w:val="center"/>
                </w:tcPr>
                <w:p w14:paraId="5D13381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0.0043</w:t>
                  </w:r>
                </w:p>
              </w:tc>
              <w:tc>
                <w:tcPr>
                  <w:tcW w:w="506" w:type="pct"/>
                  <w:vMerge w:val="continue"/>
                  <w:tcBorders>
                    <w:tl2br w:val="nil"/>
                    <w:tr2bl w:val="nil"/>
                  </w:tcBorders>
                  <w:vAlign w:val="center"/>
                </w:tcPr>
                <w:p w14:paraId="423F66E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91" w:type="pct"/>
                  <w:tcBorders>
                    <w:tl2br w:val="nil"/>
                    <w:tr2bl w:val="nil"/>
                  </w:tcBorders>
                  <w:vAlign w:val="center"/>
                </w:tcPr>
                <w:p w14:paraId="44C781E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0.010</w:t>
                  </w:r>
                  <w:r>
                    <w:rPr>
                      <w:rFonts w:hint="eastAsia" w:ascii="Times New Roman" w:hAnsi="Times New Roman" w:cs="Times New Roman"/>
                      <w:color w:val="auto"/>
                      <w:sz w:val="21"/>
                      <w:szCs w:val="21"/>
                      <w:highlight w:val="none"/>
                      <w:lang w:val="en-US" w:eastAsia="zh-CN"/>
                    </w:rPr>
                    <w:t>3</w:t>
                  </w:r>
                </w:p>
              </w:tc>
              <w:tc>
                <w:tcPr>
                  <w:tcW w:w="473" w:type="pct"/>
                  <w:tcBorders>
                    <w:tl2br w:val="nil"/>
                    <w:tr2bl w:val="nil"/>
                  </w:tcBorders>
                  <w:vAlign w:val="center"/>
                </w:tcPr>
                <w:p w14:paraId="3389A3D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30</w:t>
                  </w:r>
                </w:p>
              </w:tc>
              <w:tc>
                <w:tcPr>
                  <w:tcW w:w="366" w:type="pct"/>
                  <w:tcBorders>
                    <w:tl2br w:val="nil"/>
                    <w:tr2bl w:val="nil"/>
                  </w:tcBorders>
                  <w:vAlign w:val="center"/>
                </w:tcPr>
                <w:p w14:paraId="6A41945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52" w:type="pct"/>
                  <w:vMerge w:val="continue"/>
                  <w:tcBorders>
                    <w:tl2br w:val="nil"/>
                    <w:tr2bl w:val="nil"/>
                  </w:tcBorders>
                  <w:vAlign w:val="center"/>
                </w:tcPr>
                <w:p w14:paraId="5D1D56F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4E38CE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continue"/>
                  <w:tcBorders>
                    <w:tl2br w:val="nil"/>
                    <w:tr2bl w:val="nil"/>
                  </w:tcBorders>
                  <w:vAlign w:val="center"/>
                </w:tcPr>
                <w:p w14:paraId="653CED3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83" w:type="pct"/>
                  <w:vMerge w:val="continue"/>
                  <w:tcBorders>
                    <w:tl2br w:val="nil"/>
                    <w:tr2bl w:val="nil"/>
                  </w:tcBorders>
                  <w:vAlign w:val="center"/>
                </w:tcPr>
                <w:p w14:paraId="70D46D6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664" w:type="pct"/>
                  <w:vMerge w:val="continue"/>
                  <w:tcBorders>
                    <w:tl2br w:val="nil"/>
                    <w:tr2bl w:val="nil"/>
                  </w:tcBorders>
                  <w:vAlign w:val="center"/>
                </w:tcPr>
                <w:p w14:paraId="2024A7D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30" w:type="pct"/>
                  <w:tcBorders>
                    <w:tl2br w:val="nil"/>
                    <w:tr2bl w:val="nil"/>
                  </w:tcBorders>
                  <w:vAlign w:val="center"/>
                </w:tcPr>
                <w:p w14:paraId="2D09F84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SO</w:t>
                  </w:r>
                  <w:r>
                    <w:rPr>
                      <w:rFonts w:hint="eastAsia" w:ascii="Times New Roman" w:hAnsi="Times New Roman" w:eastAsia="宋体" w:cs="Times New Roman"/>
                      <w:color w:val="auto"/>
                      <w:sz w:val="21"/>
                      <w:szCs w:val="21"/>
                      <w:highlight w:val="none"/>
                      <w:vertAlign w:val="subscript"/>
                    </w:rPr>
                    <w:t>2</w:t>
                  </w:r>
                </w:p>
              </w:tc>
              <w:tc>
                <w:tcPr>
                  <w:tcW w:w="523" w:type="pct"/>
                  <w:tcBorders>
                    <w:tl2br w:val="nil"/>
                    <w:tr2bl w:val="nil"/>
                  </w:tcBorders>
                  <w:vAlign w:val="center"/>
                </w:tcPr>
                <w:p w14:paraId="3C3C700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0.30</w:t>
                  </w:r>
                </w:p>
              </w:tc>
              <w:tc>
                <w:tcPr>
                  <w:tcW w:w="498" w:type="pct"/>
                  <w:tcBorders>
                    <w:tl2br w:val="nil"/>
                    <w:tr2bl w:val="nil"/>
                  </w:tcBorders>
                  <w:vAlign w:val="center"/>
                </w:tcPr>
                <w:p w14:paraId="1F65A7B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0.0030</w:t>
                  </w:r>
                </w:p>
              </w:tc>
              <w:tc>
                <w:tcPr>
                  <w:tcW w:w="506" w:type="pct"/>
                  <w:vMerge w:val="continue"/>
                  <w:tcBorders>
                    <w:tl2br w:val="nil"/>
                    <w:tr2bl w:val="nil"/>
                  </w:tcBorders>
                  <w:vAlign w:val="center"/>
                </w:tcPr>
                <w:p w14:paraId="7C542B1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91" w:type="pct"/>
                  <w:tcBorders>
                    <w:tl2br w:val="nil"/>
                    <w:tr2bl w:val="nil"/>
                  </w:tcBorders>
                  <w:vAlign w:val="center"/>
                </w:tcPr>
                <w:p w14:paraId="17048E9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0.0072</w:t>
                  </w:r>
                </w:p>
              </w:tc>
              <w:tc>
                <w:tcPr>
                  <w:tcW w:w="473" w:type="pct"/>
                  <w:tcBorders>
                    <w:tl2br w:val="nil"/>
                    <w:tr2bl w:val="nil"/>
                  </w:tcBorders>
                  <w:vAlign w:val="center"/>
                </w:tcPr>
                <w:p w14:paraId="23AF8B4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200</w:t>
                  </w:r>
                </w:p>
              </w:tc>
              <w:tc>
                <w:tcPr>
                  <w:tcW w:w="366" w:type="pct"/>
                  <w:tcBorders>
                    <w:tl2br w:val="nil"/>
                    <w:tr2bl w:val="nil"/>
                  </w:tcBorders>
                  <w:vAlign w:val="center"/>
                </w:tcPr>
                <w:p w14:paraId="4798E0A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52" w:type="pct"/>
                  <w:vMerge w:val="continue"/>
                  <w:tcBorders>
                    <w:tl2br w:val="nil"/>
                    <w:tr2bl w:val="nil"/>
                  </w:tcBorders>
                  <w:vAlign w:val="center"/>
                </w:tcPr>
                <w:p w14:paraId="427EE17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4E25A8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continue"/>
                  <w:tcBorders>
                    <w:tl2br w:val="nil"/>
                    <w:tr2bl w:val="nil"/>
                  </w:tcBorders>
                  <w:vAlign w:val="center"/>
                </w:tcPr>
                <w:p w14:paraId="6BFE389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83" w:type="pct"/>
                  <w:vMerge w:val="continue"/>
                  <w:tcBorders>
                    <w:tl2br w:val="nil"/>
                    <w:tr2bl w:val="nil"/>
                  </w:tcBorders>
                  <w:vAlign w:val="center"/>
                </w:tcPr>
                <w:p w14:paraId="069AB3E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664" w:type="pct"/>
                  <w:vMerge w:val="continue"/>
                  <w:tcBorders>
                    <w:tl2br w:val="nil"/>
                    <w:tr2bl w:val="nil"/>
                  </w:tcBorders>
                  <w:vAlign w:val="center"/>
                </w:tcPr>
                <w:p w14:paraId="42A3FB5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30" w:type="pct"/>
                  <w:tcBorders>
                    <w:tl2br w:val="nil"/>
                    <w:tr2bl w:val="nil"/>
                  </w:tcBorders>
                  <w:vAlign w:val="center"/>
                </w:tcPr>
                <w:p w14:paraId="4CA5532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NOx</w:t>
                  </w:r>
                </w:p>
              </w:tc>
              <w:tc>
                <w:tcPr>
                  <w:tcW w:w="523" w:type="pct"/>
                  <w:tcBorders>
                    <w:tl2br w:val="nil"/>
                    <w:tr2bl w:val="nil"/>
                  </w:tcBorders>
                  <w:vAlign w:val="center"/>
                </w:tcPr>
                <w:p w14:paraId="3466641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2.38</w:t>
                  </w:r>
                </w:p>
              </w:tc>
              <w:tc>
                <w:tcPr>
                  <w:tcW w:w="498" w:type="pct"/>
                  <w:tcBorders>
                    <w:tl2br w:val="nil"/>
                    <w:tr2bl w:val="nil"/>
                  </w:tcBorders>
                  <w:vAlign w:val="center"/>
                </w:tcPr>
                <w:p w14:paraId="197FE91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0.0238</w:t>
                  </w:r>
                </w:p>
              </w:tc>
              <w:tc>
                <w:tcPr>
                  <w:tcW w:w="506" w:type="pct"/>
                  <w:vMerge w:val="continue"/>
                  <w:tcBorders>
                    <w:tl2br w:val="nil"/>
                    <w:tr2bl w:val="nil"/>
                  </w:tcBorders>
                  <w:vAlign w:val="center"/>
                </w:tcPr>
                <w:p w14:paraId="6690155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c>
                <w:tcPr>
                  <w:tcW w:w="491" w:type="pct"/>
                  <w:tcBorders>
                    <w:tl2br w:val="nil"/>
                    <w:tr2bl w:val="nil"/>
                  </w:tcBorders>
                  <w:vAlign w:val="center"/>
                </w:tcPr>
                <w:p w14:paraId="04F6B9B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0.05713</w:t>
                  </w:r>
                </w:p>
              </w:tc>
              <w:tc>
                <w:tcPr>
                  <w:tcW w:w="473" w:type="pct"/>
                  <w:tcBorders>
                    <w:tl2br w:val="nil"/>
                    <w:tr2bl w:val="nil"/>
                  </w:tcBorders>
                  <w:vAlign w:val="center"/>
                </w:tcPr>
                <w:p w14:paraId="46DC4C0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300</w:t>
                  </w:r>
                </w:p>
              </w:tc>
              <w:tc>
                <w:tcPr>
                  <w:tcW w:w="366" w:type="pct"/>
                  <w:tcBorders>
                    <w:tl2br w:val="nil"/>
                    <w:tr2bl w:val="nil"/>
                  </w:tcBorders>
                  <w:vAlign w:val="center"/>
                </w:tcPr>
                <w:p w14:paraId="7CBD510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52" w:type="pct"/>
                  <w:vMerge w:val="continue"/>
                  <w:tcBorders>
                    <w:tl2br w:val="nil"/>
                    <w:tr2bl w:val="nil"/>
                  </w:tcBorders>
                  <w:vAlign w:val="center"/>
                </w:tcPr>
                <w:p w14:paraId="25DFDB7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3D3C3B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tcBorders>
                    <w:tl2br w:val="nil"/>
                    <w:tr2bl w:val="nil"/>
                  </w:tcBorders>
                  <w:vAlign w:val="center"/>
                </w:tcPr>
                <w:p w14:paraId="225886C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w:t>
                  </w:r>
                </w:p>
              </w:tc>
              <w:tc>
                <w:tcPr>
                  <w:tcW w:w="483" w:type="pct"/>
                  <w:tcBorders>
                    <w:tl2br w:val="nil"/>
                    <w:tr2bl w:val="nil"/>
                  </w:tcBorders>
                  <w:vAlign w:val="center"/>
                </w:tcPr>
                <w:p w14:paraId="0230148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焊接废气</w:t>
                  </w:r>
                </w:p>
              </w:tc>
              <w:tc>
                <w:tcPr>
                  <w:tcW w:w="664" w:type="pct"/>
                  <w:tcBorders>
                    <w:tl2br w:val="nil"/>
                    <w:tr2bl w:val="nil"/>
                  </w:tcBorders>
                  <w:vAlign w:val="center"/>
                </w:tcPr>
                <w:p w14:paraId="63FC18F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废气处理设施或风机故障</w:t>
                  </w:r>
                </w:p>
              </w:tc>
              <w:tc>
                <w:tcPr>
                  <w:tcW w:w="430" w:type="pct"/>
                  <w:tcBorders>
                    <w:tl2br w:val="nil"/>
                    <w:tr2bl w:val="nil"/>
                  </w:tcBorders>
                  <w:vAlign w:val="center"/>
                </w:tcPr>
                <w:p w14:paraId="282C0A1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颗粒物</w:t>
                  </w:r>
                </w:p>
              </w:tc>
              <w:tc>
                <w:tcPr>
                  <w:tcW w:w="523" w:type="pct"/>
                  <w:tcBorders>
                    <w:tl2br w:val="nil"/>
                    <w:tr2bl w:val="nil"/>
                  </w:tcBorders>
                  <w:vAlign w:val="center"/>
                </w:tcPr>
                <w:p w14:paraId="744D14F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15.38</w:t>
                  </w:r>
                </w:p>
              </w:tc>
              <w:tc>
                <w:tcPr>
                  <w:tcW w:w="498" w:type="pct"/>
                  <w:tcBorders>
                    <w:tl2br w:val="nil"/>
                    <w:tr2bl w:val="nil"/>
                  </w:tcBorders>
                  <w:vAlign w:val="center"/>
                </w:tcPr>
                <w:p w14:paraId="517C267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0.1538</w:t>
                  </w:r>
                </w:p>
              </w:tc>
              <w:tc>
                <w:tcPr>
                  <w:tcW w:w="506" w:type="pct"/>
                  <w:tcBorders>
                    <w:tl2br w:val="nil"/>
                    <w:tr2bl w:val="nil"/>
                  </w:tcBorders>
                  <w:vAlign w:val="center"/>
                </w:tcPr>
                <w:p w14:paraId="7D1ADE5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1次/a，30min/次</w:t>
                  </w:r>
                </w:p>
              </w:tc>
              <w:tc>
                <w:tcPr>
                  <w:tcW w:w="491" w:type="pct"/>
                  <w:tcBorders>
                    <w:tl2br w:val="nil"/>
                    <w:tr2bl w:val="nil"/>
                  </w:tcBorders>
                  <w:vAlign w:val="center"/>
                </w:tcPr>
                <w:p w14:paraId="225A442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0.0384</w:t>
                  </w:r>
                </w:p>
              </w:tc>
              <w:tc>
                <w:tcPr>
                  <w:tcW w:w="473" w:type="pct"/>
                  <w:tcBorders>
                    <w:tl2br w:val="nil"/>
                    <w:tr2bl w:val="nil"/>
                  </w:tcBorders>
                  <w:vAlign w:val="center"/>
                </w:tcPr>
                <w:p w14:paraId="33FDD08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120</w:t>
                  </w:r>
                </w:p>
              </w:tc>
              <w:tc>
                <w:tcPr>
                  <w:tcW w:w="366" w:type="pct"/>
                  <w:tcBorders>
                    <w:tl2br w:val="nil"/>
                    <w:tr2bl w:val="nil"/>
                  </w:tcBorders>
                  <w:vAlign w:val="center"/>
                </w:tcPr>
                <w:p w14:paraId="6645064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2.95</w:t>
                  </w:r>
                </w:p>
              </w:tc>
              <w:tc>
                <w:tcPr>
                  <w:tcW w:w="352" w:type="pct"/>
                  <w:tcBorders>
                    <w:tl2br w:val="nil"/>
                    <w:tr2bl w:val="nil"/>
                  </w:tcBorders>
                  <w:vAlign w:val="center"/>
                </w:tcPr>
                <w:p w14:paraId="785FA46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32E4C1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tcBorders>
                    <w:tl2br w:val="nil"/>
                    <w:tr2bl w:val="nil"/>
                  </w:tcBorders>
                  <w:vAlign w:val="center"/>
                </w:tcPr>
                <w:p w14:paraId="4861122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483" w:type="pct"/>
                  <w:tcBorders>
                    <w:tl2br w:val="nil"/>
                    <w:tr2bl w:val="nil"/>
                  </w:tcBorders>
                  <w:vAlign w:val="center"/>
                </w:tcPr>
                <w:p w14:paraId="180B4F0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喷粉</w:t>
                  </w:r>
                  <w:r>
                    <w:rPr>
                      <w:rFonts w:hint="default" w:ascii="Times New Roman" w:hAnsi="Times New Roman" w:eastAsia="宋体" w:cs="Times New Roman"/>
                      <w:color w:val="auto"/>
                      <w:sz w:val="21"/>
                      <w:szCs w:val="21"/>
                      <w:highlight w:val="none"/>
                      <w:lang w:val="en-US" w:eastAsia="zh-CN"/>
                    </w:rPr>
                    <w:t>废气</w:t>
                  </w:r>
                </w:p>
              </w:tc>
              <w:tc>
                <w:tcPr>
                  <w:tcW w:w="664" w:type="pct"/>
                  <w:tcBorders>
                    <w:tl2br w:val="nil"/>
                    <w:tr2bl w:val="nil"/>
                  </w:tcBorders>
                  <w:vAlign w:val="center"/>
                </w:tcPr>
                <w:p w14:paraId="6C5C909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废气处理设施或风机故障</w:t>
                  </w:r>
                </w:p>
              </w:tc>
              <w:tc>
                <w:tcPr>
                  <w:tcW w:w="430" w:type="pct"/>
                  <w:tcBorders>
                    <w:tl2br w:val="nil"/>
                    <w:tr2bl w:val="nil"/>
                  </w:tcBorders>
                  <w:vAlign w:val="center"/>
                </w:tcPr>
                <w:p w14:paraId="5A613CD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523" w:type="pct"/>
                  <w:tcBorders>
                    <w:tl2br w:val="nil"/>
                    <w:tr2bl w:val="nil"/>
                  </w:tcBorders>
                  <w:vAlign w:val="center"/>
                </w:tcPr>
                <w:p w14:paraId="212B106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93.75</w:t>
                  </w:r>
                </w:p>
              </w:tc>
              <w:tc>
                <w:tcPr>
                  <w:tcW w:w="498" w:type="pct"/>
                  <w:tcBorders>
                    <w:tl2br w:val="nil"/>
                    <w:tr2bl w:val="nil"/>
                  </w:tcBorders>
                  <w:vAlign w:val="center"/>
                </w:tcPr>
                <w:p w14:paraId="632B99C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0.5625</w:t>
                  </w:r>
                </w:p>
              </w:tc>
              <w:tc>
                <w:tcPr>
                  <w:tcW w:w="506" w:type="pct"/>
                  <w:tcBorders>
                    <w:tl2br w:val="nil"/>
                    <w:tr2bl w:val="nil"/>
                  </w:tcBorders>
                  <w:vAlign w:val="center"/>
                </w:tcPr>
                <w:p w14:paraId="2A1DC8B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1次/a，30min/次</w:t>
                  </w:r>
                </w:p>
              </w:tc>
              <w:tc>
                <w:tcPr>
                  <w:tcW w:w="491" w:type="pct"/>
                  <w:tcBorders>
                    <w:tl2br w:val="nil"/>
                    <w:tr2bl w:val="nil"/>
                  </w:tcBorders>
                  <w:vAlign w:val="center"/>
                </w:tcPr>
                <w:p w14:paraId="1671FC4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1.35</w:t>
                  </w:r>
                </w:p>
              </w:tc>
              <w:tc>
                <w:tcPr>
                  <w:tcW w:w="473" w:type="pct"/>
                  <w:tcBorders>
                    <w:tl2br w:val="nil"/>
                    <w:tr2bl w:val="nil"/>
                  </w:tcBorders>
                  <w:vAlign w:val="center"/>
                </w:tcPr>
                <w:p w14:paraId="6E0D670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w:t>
                  </w:r>
                </w:p>
              </w:tc>
              <w:tc>
                <w:tcPr>
                  <w:tcW w:w="366" w:type="pct"/>
                  <w:tcBorders>
                    <w:tl2br w:val="nil"/>
                    <w:tr2bl w:val="nil"/>
                  </w:tcBorders>
                  <w:vAlign w:val="center"/>
                </w:tcPr>
                <w:p w14:paraId="3562E7F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1.75</w:t>
                  </w:r>
                </w:p>
              </w:tc>
              <w:tc>
                <w:tcPr>
                  <w:tcW w:w="352" w:type="pct"/>
                  <w:tcBorders>
                    <w:tl2br w:val="nil"/>
                    <w:tr2bl w:val="nil"/>
                  </w:tcBorders>
                  <w:vAlign w:val="center"/>
                </w:tcPr>
                <w:p w14:paraId="1914D1A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5EA4E4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restart"/>
                  <w:tcBorders>
                    <w:tl2br w:val="nil"/>
                    <w:tr2bl w:val="nil"/>
                  </w:tcBorders>
                  <w:vAlign w:val="center"/>
                </w:tcPr>
                <w:p w14:paraId="32A8F33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483" w:type="pct"/>
                  <w:vMerge w:val="restart"/>
                  <w:tcBorders>
                    <w:tl2br w:val="nil"/>
                    <w:tr2bl w:val="nil"/>
                  </w:tcBorders>
                  <w:vAlign w:val="center"/>
                </w:tcPr>
                <w:p w14:paraId="61DCB33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cs="Times New Roman"/>
                      <w:color w:val="auto"/>
                      <w:sz w:val="21"/>
                      <w:szCs w:val="21"/>
                      <w:highlight w:val="none"/>
                      <w:lang w:val="en-US" w:eastAsia="zh-CN"/>
                    </w:rPr>
                    <w:t>喷粉固化废气</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调漆、喷漆、喷漆固化废气</w:t>
                  </w:r>
                </w:p>
              </w:tc>
              <w:tc>
                <w:tcPr>
                  <w:tcW w:w="664" w:type="pct"/>
                  <w:vMerge w:val="restart"/>
                  <w:tcBorders>
                    <w:tl2br w:val="nil"/>
                    <w:tr2bl w:val="nil"/>
                  </w:tcBorders>
                  <w:vAlign w:val="center"/>
                </w:tcPr>
                <w:p w14:paraId="0620769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废气处理设施或风机故障</w:t>
                  </w:r>
                </w:p>
              </w:tc>
              <w:tc>
                <w:tcPr>
                  <w:tcW w:w="430" w:type="pct"/>
                  <w:tcBorders>
                    <w:tl2br w:val="nil"/>
                    <w:tr2bl w:val="nil"/>
                  </w:tcBorders>
                  <w:vAlign w:val="center"/>
                </w:tcPr>
                <w:p w14:paraId="40D5CED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非甲烷总烃</w:t>
                  </w:r>
                </w:p>
              </w:tc>
              <w:tc>
                <w:tcPr>
                  <w:tcW w:w="523" w:type="pct"/>
                  <w:tcBorders>
                    <w:tl2br w:val="nil"/>
                    <w:tr2bl w:val="nil"/>
                  </w:tcBorders>
                  <w:vAlign w:val="center"/>
                </w:tcPr>
                <w:p w14:paraId="25EC8206">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37.08</w:t>
                  </w:r>
                </w:p>
              </w:tc>
              <w:tc>
                <w:tcPr>
                  <w:tcW w:w="498" w:type="pct"/>
                  <w:tcBorders>
                    <w:tl2br w:val="nil"/>
                    <w:tr2bl w:val="nil"/>
                  </w:tcBorders>
                  <w:vAlign w:val="center"/>
                </w:tcPr>
                <w:p w14:paraId="07666B2D">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0.6675</w:t>
                  </w:r>
                </w:p>
              </w:tc>
              <w:tc>
                <w:tcPr>
                  <w:tcW w:w="506" w:type="pct"/>
                  <w:vMerge w:val="restart"/>
                  <w:tcBorders>
                    <w:tl2br w:val="nil"/>
                    <w:tr2bl w:val="nil"/>
                  </w:tcBorders>
                  <w:vAlign w:val="center"/>
                </w:tcPr>
                <w:p w14:paraId="6CAFEE39">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1次/a，30min/次</w:t>
                  </w:r>
                </w:p>
              </w:tc>
              <w:tc>
                <w:tcPr>
                  <w:tcW w:w="491" w:type="pct"/>
                  <w:tcBorders>
                    <w:tl2br w:val="nil"/>
                    <w:tr2bl w:val="nil"/>
                  </w:tcBorders>
                  <w:vAlign w:val="center"/>
                </w:tcPr>
                <w:p w14:paraId="167B4AE5">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1.602</w:t>
                  </w:r>
                </w:p>
              </w:tc>
              <w:tc>
                <w:tcPr>
                  <w:tcW w:w="473" w:type="pct"/>
                  <w:tcBorders>
                    <w:tl2br w:val="nil"/>
                    <w:tr2bl w:val="nil"/>
                  </w:tcBorders>
                  <w:vAlign w:val="center"/>
                </w:tcPr>
                <w:p w14:paraId="46F37DF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366" w:type="pct"/>
                  <w:tcBorders>
                    <w:tl2br w:val="nil"/>
                    <w:tr2bl w:val="nil"/>
                  </w:tcBorders>
                  <w:vAlign w:val="center"/>
                </w:tcPr>
                <w:p w14:paraId="57A9E7C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2" w:type="pct"/>
                  <w:vMerge w:val="restart"/>
                  <w:tcBorders>
                    <w:tl2br w:val="nil"/>
                    <w:tr2bl w:val="nil"/>
                  </w:tcBorders>
                  <w:vAlign w:val="center"/>
                </w:tcPr>
                <w:p w14:paraId="1EAF8EA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2D472C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continue"/>
                  <w:tcBorders>
                    <w:tl2br w:val="nil"/>
                    <w:tr2bl w:val="nil"/>
                  </w:tcBorders>
                  <w:vAlign w:val="center"/>
                </w:tcPr>
                <w:p w14:paraId="59CDB85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highlight w:val="none"/>
                      <w:lang w:val="en-US" w:eastAsia="zh-CN"/>
                    </w:rPr>
                  </w:pPr>
                </w:p>
              </w:tc>
              <w:tc>
                <w:tcPr>
                  <w:tcW w:w="483" w:type="pct"/>
                  <w:vMerge w:val="continue"/>
                  <w:tcBorders>
                    <w:tl2br w:val="nil"/>
                    <w:tr2bl w:val="nil"/>
                  </w:tcBorders>
                  <w:vAlign w:val="center"/>
                </w:tcPr>
                <w:p w14:paraId="419EE75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664" w:type="pct"/>
                  <w:vMerge w:val="continue"/>
                  <w:tcBorders>
                    <w:tl2br w:val="nil"/>
                    <w:tr2bl w:val="nil"/>
                  </w:tcBorders>
                  <w:vAlign w:val="center"/>
                </w:tcPr>
                <w:p w14:paraId="3C1B6B4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430" w:type="pct"/>
                  <w:tcBorders>
                    <w:tl2br w:val="nil"/>
                    <w:tr2bl w:val="nil"/>
                  </w:tcBorders>
                  <w:vAlign w:val="center"/>
                </w:tcPr>
                <w:p w14:paraId="413359BE">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颗粒物</w:t>
                  </w:r>
                </w:p>
              </w:tc>
              <w:tc>
                <w:tcPr>
                  <w:tcW w:w="523" w:type="pct"/>
                  <w:tcBorders>
                    <w:tl2br w:val="nil"/>
                    <w:tr2bl w:val="nil"/>
                  </w:tcBorders>
                  <w:shd w:val="clear" w:color="auto" w:fill="auto"/>
                  <w:vAlign w:val="center"/>
                </w:tcPr>
                <w:p w14:paraId="1499D019">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45.00</w:t>
                  </w:r>
                </w:p>
              </w:tc>
              <w:tc>
                <w:tcPr>
                  <w:tcW w:w="498" w:type="pct"/>
                  <w:tcBorders>
                    <w:tl2br w:val="nil"/>
                    <w:tr2bl w:val="nil"/>
                  </w:tcBorders>
                  <w:shd w:val="clear" w:color="auto" w:fill="auto"/>
                  <w:vAlign w:val="center"/>
                </w:tcPr>
                <w:p w14:paraId="6E4CCE44">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0.81</w:t>
                  </w:r>
                </w:p>
              </w:tc>
              <w:tc>
                <w:tcPr>
                  <w:tcW w:w="506" w:type="pct"/>
                  <w:vMerge w:val="continue"/>
                  <w:tcBorders>
                    <w:tl2br w:val="nil"/>
                    <w:tr2bl w:val="nil"/>
                  </w:tcBorders>
                  <w:shd w:val="clear" w:color="auto" w:fill="auto"/>
                  <w:vAlign w:val="center"/>
                </w:tcPr>
                <w:p w14:paraId="583FD9C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491" w:type="pct"/>
                  <w:tcBorders>
                    <w:tl2br w:val="nil"/>
                    <w:tr2bl w:val="nil"/>
                  </w:tcBorders>
                  <w:vAlign w:val="center"/>
                </w:tcPr>
                <w:p w14:paraId="1A6F1E4E">
                  <w:pPr>
                    <w:keepNext w:val="0"/>
                    <w:keepLines w:val="0"/>
                    <w:pageBreakBefore w:val="0"/>
                    <w:widowControl w:val="0"/>
                    <w:kinsoku/>
                    <w:wordWrap/>
                    <w:overflowPunct/>
                    <w:topLinePunct w:val="0"/>
                    <w:autoSpaceDE/>
                    <w:autoSpaceDN/>
                    <w:bidi w:val="0"/>
                    <w:spacing w:line="240" w:lineRule="auto"/>
                    <w:ind w:left="0" w:leftChars="0"/>
                    <w:jc w:val="center"/>
                    <w:rPr>
                      <w:rFonts w:hint="default" w:ascii="Times New Roman" w:hAnsi="Times New Roman" w:eastAsia="Times New Roman" w:cs="Times New Roman"/>
                      <w:color w:val="auto"/>
                      <w:spacing w:val="3"/>
                      <w:position w:val="2"/>
                      <w:sz w:val="21"/>
                      <w:szCs w:val="21"/>
                      <w:lang w:val="en-US" w:eastAsia="zh-CN"/>
                    </w:rPr>
                  </w:pPr>
                  <w:r>
                    <w:rPr>
                      <w:rFonts w:hint="default" w:ascii="Times New Roman" w:hAnsi="Times New Roman" w:eastAsia="Times New Roman" w:cs="Times New Roman"/>
                      <w:color w:val="auto"/>
                      <w:spacing w:val="3"/>
                      <w:position w:val="2"/>
                      <w:sz w:val="21"/>
                      <w:szCs w:val="21"/>
                      <w:lang w:val="en-US" w:eastAsia="zh-CN"/>
                    </w:rPr>
                    <w:t>1.944</w:t>
                  </w:r>
                </w:p>
              </w:tc>
              <w:tc>
                <w:tcPr>
                  <w:tcW w:w="473" w:type="pct"/>
                  <w:tcBorders>
                    <w:tl2br w:val="nil"/>
                    <w:tr2bl w:val="nil"/>
                  </w:tcBorders>
                  <w:vAlign w:val="center"/>
                </w:tcPr>
                <w:p w14:paraId="4767D8B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w:t>
                  </w:r>
                </w:p>
              </w:tc>
              <w:tc>
                <w:tcPr>
                  <w:tcW w:w="366" w:type="pct"/>
                  <w:tcBorders>
                    <w:tl2br w:val="nil"/>
                    <w:tr2bl w:val="nil"/>
                  </w:tcBorders>
                  <w:vAlign w:val="center"/>
                </w:tcPr>
                <w:p w14:paraId="0D196E8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352" w:type="pct"/>
                  <w:vMerge w:val="continue"/>
                  <w:tcBorders>
                    <w:tl2br w:val="nil"/>
                    <w:tr2bl w:val="nil"/>
                  </w:tcBorders>
                  <w:vAlign w:val="center"/>
                </w:tcPr>
                <w:p w14:paraId="47A07FA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5B3BC0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restart"/>
                  <w:tcBorders>
                    <w:tl2br w:val="nil"/>
                    <w:tr2bl w:val="nil"/>
                  </w:tcBorders>
                  <w:vAlign w:val="center"/>
                </w:tcPr>
                <w:p w14:paraId="247E35D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483" w:type="pct"/>
                  <w:vMerge w:val="restart"/>
                  <w:tcBorders>
                    <w:tl2br w:val="nil"/>
                    <w:tr2bl w:val="nil"/>
                  </w:tcBorders>
                  <w:vAlign w:val="center"/>
                </w:tcPr>
                <w:p w14:paraId="53A2292B">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天然气</w:t>
                  </w:r>
                </w:p>
                <w:p w14:paraId="0A38D39C">
                  <w:pPr>
                    <w:pStyle w:val="98"/>
                    <w:keepNext w:val="0"/>
                    <w:keepLines w:val="0"/>
                    <w:pageBreakBefore w:val="0"/>
                    <w:widowControl w:val="0"/>
                    <w:kinsoku/>
                    <w:wordWrap/>
                    <w:overflowPunct/>
                    <w:topLinePunct w:val="0"/>
                    <w:autoSpaceDE/>
                    <w:autoSpaceDN/>
                    <w:bidi w:val="0"/>
                    <w:spacing w:line="240" w:lineRule="auto"/>
                    <w:ind w:lef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燃烧废</w:t>
                  </w:r>
                </w:p>
                <w:p w14:paraId="0611561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宋体" w:cs="Times New Roman"/>
                      <w:color w:val="auto"/>
                      <w:sz w:val="21"/>
                      <w:szCs w:val="21"/>
                      <w:highlight w:val="none"/>
                    </w:rPr>
                    <w:t>气</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喷粉、喷漆）</w:t>
                  </w:r>
                </w:p>
              </w:tc>
              <w:tc>
                <w:tcPr>
                  <w:tcW w:w="664" w:type="pct"/>
                  <w:vMerge w:val="restart"/>
                  <w:tcBorders>
                    <w:tl2br w:val="nil"/>
                    <w:tr2bl w:val="nil"/>
                  </w:tcBorders>
                  <w:vAlign w:val="center"/>
                </w:tcPr>
                <w:p w14:paraId="14BCA61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废气处理设施或风机故障</w:t>
                  </w:r>
                </w:p>
              </w:tc>
              <w:tc>
                <w:tcPr>
                  <w:tcW w:w="430" w:type="pct"/>
                  <w:tcBorders>
                    <w:tl2br w:val="nil"/>
                    <w:tr2bl w:val="nil"/>
                  </w:tcBorders>
                  <w:vAlign w:val="center"/>
                </w:tcPr>
                <w:p w14:paraId="42E9DAF6">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颗粒物</w:t>
                  </w:r>
                </w:p>
              </w:tc>
              <w:tc>
                <w:tcPr>
                  <w:tcW w:w="523" w:type="pct"/>
                  <w:tcBorders>
                    <w:tl2br w:val="nil"/>
                    <w:tr2bl w:val="nil"/>
                  </w:tcBorders>
                  <w:shd w:val="clear" w:color="auto" w:fill="auto"/>
                  <w:vAlign w:val="center"/>
                </w:tcPr>
                <w:p w14:paraId="1A2684A8">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0.36</w:t>
                  </w:r>
                </w:p>
              </w:tc>
              <w:tc>
                <w:tcPr>
                  <w:tcW w:w="498" w:type="pct"/>
                  <w:tcBorders>
                    <w:tl2br w:val="nil"/>
                    <w:tr2bl w:val="nil"/>
                  </w:tcBorders>
                  <w:shd w:val="clear" w:color="auto" w:fill="auto"/>
                  <w:vAlign w:val="center"/>
                </w:tcPr>
                <w:p w14:paraId="02BAE0A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0.0011</w:t>
                  </w:r>
                </w:p>
              </w:tc>
              <w:tc>
                <w:tcPr>
                  <w:tcW w:w="506" w:type="pct"/>
                  <w:vMerge w:val="restart"/>
                  <w:tcBorders>
                    <w:tl2br w:val="nil"/>
                    <w:tr2bl w:val="nil"/>
                  </w:tcBorders>
                  <w:vAlign w:val="center"/>
                </w:tcPr>
                <w:p w14:paraId="73E08F5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1次/a，30min/次</w:t>
                  </w:r>
                </w:p>
              </w:tc>
              <w:tc>
                <w:tcPr>
                  <w:tcW w:w="491" w:type="pct"/>
                  <w:tcBorders>
                    <w:tl2br w:val="nil"/>
                    <w:tr2bl w:val="nil"/>
                  </w:tcBorders>
                  <w:vAlign w:val="center"/>
                </w:tcPr>
                <w:p w14:paraId="0CFF2220">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0.0026</w:t>
                  </w:r>
                </w:p>
              </w:tc>
              <w:tc>
                <w:tcPr>
                  <w:tcW w:w="473" w:type="pct"/>
                  <w:tcBorders>
                    <w:tl2br w:val="nil"/>
                    <w:tr2bl w:val="nil"/>
                  </w:tcBorders>
                  <w:shd w:val="clear" w:color="auto" w:fill="auto"/>
                  <w:vAlign w:val="center"/>
                </w:tcPr>
                <w:p w14:paraId="61F64C1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w:t>
                  </w:r>
                </w:p>
              </w:tc>
              <w:tc>
                <w:tcPr>
                  <w:tcW w:w="366" w:type="pct"/>
                  <w:tcBorders>
                    <w:tl2br w:val="nil"/>
                    <w:tr2bl w:val="nil"/>
                  </w:tcBorders>
                  <w:shd w:val="clear" w:color="auto" w:fill="auto"/>
                  <w:vAlign w:val="center"/>
                </w:tcPr>
                <w:p w14:paraId="200F3A5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52" w:type="pct"/>
                  <w:vMerge w:val="restart"/>
                  <w:tcBorders>
                    <w:tl2br w:val="nil"/>
                    <w:tr2bl w:val="nil"/>
                  </w:tcBorders>
                  <w:vAlign w:val="center"/>
                </w:tcPr>
                <w:p w14:paraId="394664A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达标</w:t>
                  </w:r>
                </w:p>
              </w:tc>
            </w:tr>
            <w:tr w14:paraId="156D2B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continue"/>
                  <w:tcBorders>
                    <w:tl2br w:val="nil"/>
                    <w:tr2bl w:val="nil"/>
                  </w:tcBorders>
                  <w:vAlign w:val="center"/>
                </w:tcPr>
                <w:p w14:paraId="7730303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highlight w:val="none"/>
                      <w:lang w:val="en-US" w:eastAsia="zh-CN"/>
                    </w:rPr>
                  </w:pPr>
                </w:p>
              </w:tc>
              <w:tc>
                <w:tcPr>
                  <w:tcW w:w="483" w:type="pct"/>
                  <w:vMerge w:val="continue"/>
                  <w:tcBorders>
                    <w:tl2br w:val="nil"/>
                    <w:tr2bl w:val="nil"/>
                  </w:tcBorders>
                  <w:vAlign w:val="center"/>
                </w:tcPr>
                <w:p w14:paraId="5F5C860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664" w:type="pct"/>
                  <w:vMerge w:val="continue"/>
                  <w:tcBorders>
                    <w:tl2br w:val="nil"/>
                    <w:tr2bl w:val="nil"/>
                  </w:tcBorders>
                  <w:vAlign w:val="center"/>
                </w:tcPr>
                <w:p w14:paraId="4376832F">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430" w:type="pct"/>
                  <w:tcBorders>
                    <w:tl2br w:val="nil"/>
                    <w:tr2bl w:val="nil"/>
                  </w:tcBorders>
                  <w:vAlign w:val="center"/>
                </w:tcPr>
                <w:p w14:paraId="0483C6DA">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SO2</w:t>
                  </w:r>
                </w:p>
              </w:tc>
              <w:tc>
                <w:tcPr>
                  <w:tcW w:w="523" w:type="pct"/>
                  <w:tcBorders>
                    <w:tl2br w:val="nil"/>
                    <w:tr2bl w:val="nil"/>
                  </w:tcBorders>
                  <w:shd w:val="clear" w:color="auto" w:fill="auto"/>
                  <w:vAlign w:val="center"/>
                </w:tcPr>
                <w:p w14:paraId="325093B4">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0.25</w:t>
                  </w:r>
                </w:p>
              </w:tc>
              <w:tc>
                <w:tcPr>
                  <w:tcW w:w="498" w:type="pct"/>
                  <w:tcBorders>
                    <w:tl2br w:val="nil"/>
                    <w:tr2bl w:val="nil"/>
                  </w:tcBorders>
                  <w:shd w:val="clear" w:color="auto" w:fill="auto"/>
                  <w:vAlign w:val="center"/>
                </w:tcPr>
                <w:p w14:paraId="40D635E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0.0008</w:t>
                  </w:r>
                </w:p>
              </w:tc>
              <w:tc>
                <w:tcPr>
                  <w:tcW w:w="506" w:type="pct"/>
                  <w:vMerge w:val="continue"/>
                  <w:tcBorders>
                    <w:tl2br w:val="nil"/>
                    <w:tr2bl w:val="nil"/>
                  </w:tcBorders>
                  <w:vAlign w:val="center"/>
                </w:tcPr>
                <w:p w14:paraId="10742DA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491" w:type="pct"/>
                  <w:tcBorders>
                    <w:tl2br w:val="nil"/>
                    <w:tr2bl w:val="nil"/>
                  </w:tcBorders>
                  <w:vAlign w:val="center"/>
                </w:tcPr>
                <w:p w14:paraId="72162A43">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0.0018</w:t>
                  </w:r>
                </w:p>
              </w:tc>
              <w:tc>
                <w:tcPr>
                  <w:tcW w:w="473" w:type="pct"/>
                  <w:tcBorders>
                    <w:tl2br w:val="nil"/>
                    <w:tr2bl w:val="nil"/>
                  </w:tcBorders>
                  <w:shd w:val="clear" w:color="auto" w:fill="auto"/>
                  <w:vAlign w:val="center"/>
                </w:tcPr>
                <w:p w14:paraId="6455D59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200</w:t>
                  </w:r>
                </w:p>
              </w:tc>
              <w:tc>
                <w:tcPr>
                  <w:tcW w:w="366" w:type="pct"/>
                  <w:tcBorders>
                    <w:tl2br w:val="nil"/>
                    <w:tr2bl w:val="nil"/>
                  </w:tcBorders>
                  <w:shd w:val="clear" w:color="auto" w:fill="auto"/>
                  <w:vAlign w:val="center"/>
                </w:tcPr>
                <w:p w14:paraId="341C3AF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52" w:type="pct"/>
                  <w:vMerge w:val="continue"/>
                  <w:tcBorders>
                    <w:tl2br w:val="nil"/>
                    <w:tr2bl w:val="nil"/>
                  </w:tcBorders>
                  <w:vAlign w:val="center"/>
                </w:tcPr>
                <w:p w14:paraId="1394C39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r w14:paraId="6FBE6A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 w:type="pct"/>
                  <w:vMerge w:val="continue"/>
                  <w:tcBorders>
                    <w:tl2br w:val="nil"/>
                    <w:tr2bl w:val="nil"/>
                  </w:tcBorders>
                  <w:vAlign w:val="center"/>
                </w:tcPr>
                <w:p w14:paraId="6785B1D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cs="Times New Roman"/>
                      <w:color w:val="auto"/>
                      <w:sz w:val="21"/>
                      <w:szCs w:val="21"/>
                      <w:highlight w:val="none"/>
                      <w:lang w:val="en-US" w:eastAsia="zh-CN"/>
                    </w:rPr>
                  </w:pPr>
                </w:p>
              </w:tc>
              <w:tc>
                <w:tcPr>
                  <w:tcW w:w="483" w:type="pct"/>
                  <w:vMerge w:val="continue"/>
                  <w:tcBorders>
                    <w:tl2br w:val="nil"/>
                    <w:tr2bl w:val="nil"/>
                  </w:tcBorders>
                  <w:vAlign w:val="center"/>
                </w:tcPr>
                <w:p w14:paraId="67D31E75">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664" w:type="pct"/>
                  <w:vMerge w:val="continue"/>
                  <w:tcBorders>
                    <w:tl2br w:val="nil"/>
                    <w:tr2bl w:val="nil"/>
                  </w:tcBorders>
                  <w:vAlign w:val="center"/>
                </w:tcPr>
                <w:p w14:paraId="48C09731">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430" w:type="pct"/>
                  <w:tcBorders>
                    <w:tl2br w:val="nil"/>
                    <w:tr2bl w:val="nil"/>
                  </w:tcBorders>
                  <w:vAlign w:val="center"/>
                </w:tcPr>
                <w:p w14:paraId="262D9F0D">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NOx</w:t>
                  </w:r>
                </w:p>
              </w:tc>
              <w:tc>
                <w:tcPr>
                  <w:tcW w:w="523" w:type="pct"/>
                  <w:tcBorders>
                    <w:tl2br w:val="nil"/>
                    <w:tr2bl w:val="nil"/>
                  </w:tcBorders>
                  <w:shd w:val="clear" w:color="auto" w:fill="auto"/>
                  <w:vAlign w:val="center"/>
                </w:tcPr>
                <w:p w14:paraId="64B491BC">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2.34</w:t>
                  </w:r>
                </w:p>
              </w:tc>
              <w:tc>
                <w:tcPr>
                  <w:tcW w:w="498" w:type="pct"/>
                  <w:tcBorders>
                    <w:tl2br w:val="nil"/>
                    <w:tr2bl w:val="nil"/>
                  </w:tcBorders>
                  <w:shd w:val="clear" w:color="auto" w:fill="auto"/>
                  <w:vAlign w:val="center"/>
                </w:tcPr>
                <w:p w14:paraId="78A91792">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0.0070</w:t>
                  </w:r>
                </w:p>
              </w:tc>
              <w:tc>
                <w:tcPr>
                  <w:tcW w:w="506" w:type="pct"/>
                  <w:vMerge w:val="continue"/>
                  <w:tcBorders>
                    <w:tl2br w:val="nil"/>
                    <w:tr2bl w:val="nil"/>
                  </w:tcBorders>
                  <w:vAlign w:val="center"/>
                </w:tcPr>
                <w:p w14:paraId="03E137BB">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p>
              </w:tc>
              <w:tc>
                <w:tcPr>
                  <w:tcW w:w="491" w:type="pct"/>
                  <w:tcBorders>
                    <w:tl2br w:val="nil"/>
                    <w:tr2bl w:val="nil"/>
                  </w:tcBorders>
                  <w:vAlign w:val="center"/>
                </w:tcPr>
                <w:p w14:paraId="48C34187">
                  <w:pPr>
                    <w:keepNext w:val="0"/>
                    <w:keepLines w:val="0"/>
                    <w:pageBreakBefore w:val="0"/>
                    <w:widowControl w:val="0"/>
                    <w:kinsoku/>
                    <w:wordWrap/>
                    <w:overflowPunct/>
                    <w:topLinePunct w:val="0"/>
                    <w:autoSpaceDE/>
                    <w:autoSpaceDN/>
                    <w:bidi w:val="0"/>
                    <w:spacing w:line="240" w:lineRule="auto"/>
                    <w:ind w:left="0" w:leftChars="0"/>
                    <w:jc w:val="center"/>
                    <w:rPr>
                      <w:rFonts w:hint="eastAsia" w:ascii="Times New Roman" w:hAnsi="Times New Roman" w:eastAsia="Times New Roman" w:cs="Times New Roman"/>
                      <w:color w:val="auto"/>
                      <w:spacing w:val="3"/>
                      <w:position w:val="2"/>
                      <w:sz w:val="21"/>
                      <w:szCs w:val="21"/>
                      <w:lang w:val="en-US" w:eastAsia="zh-CN"/>
                    </w:rPr>
                  </w:pPr>
                  <w:r>
                    <w:rPr>
                      <w:rFonts w:hint="eastAsia" w:ascii="Times New Roman" w:hAnsi="Times New Roman" w:eastAsia="Times New Roman" w:cs="Times New Roman"/>
                      <w:color w:val="auto"/>
                      <w:spacing w:val="3"/>
                      <w:position w:val="2"/>
                      <w:sz w:val="21"/>
                      <w:szCs w:val="21"/>
                      <w:lang w:val="en-US" w:eastAsia="zh-CN"/>
                    </w:rPr>
                    <w:t>0.0168</w:t>
                  </w:r>
                </w:p>
              </w:tc>
              <w:tc>
                <w:tcPr>
                  <w:tcW w:w="473" w:type="pct"/>
                  <w:tcBorders>
                    <w:tl2br w:val="nil"/>
                    <w:tr2bl w:val="nil"/>
                  </w:tcBorders>
                  <w:shd w:val="clear" w:color="auto" w:fill="auto"/>
                  <w:vAlign w:val="center"/>
                </w:tcPr>
                <w:p w14:paraId="5262506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300</w:t>
                  </w:r>
                </w:p>
              </w:tc>
              <w:tc>
                <w:tcPr>
                  <w:tcW w:w="366" w:type="pct"/>
                  <w:tcBorders>
                    <w:tl2br w:val="nil"/>
                    <w:tr2bl w:val="nil"/>
                  </w:tcBorders>
                  <w:shd w:val="clear" w:color="auto" w:fill="auto"/>
                  <w:vAlign w:val="center"/>
                </w:tcPr>
                <w:p w14:paraId="3E76738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eastAsia="宋体" w:cs="Times New Roman"/>
                      <w:color w:val="auto"/>
                      <w:sz w:val="21"/>
                      <w:szCs w:val="21"/>
                      <w:highlight w:val="none"/>
                    </w:rPr>
                    <w:t>/</w:t>
                  </w:r>
                </w:p>
              </w:tc>
              <w:tc>
                <w:tcPr>
                  <w:tcW w:w="352" w:type="pct"/>
                  <w:vMerge w:val="continue"/>
                  <w:tcBorders>
                    <w:tl2br w:val="nil"/>
                    <w:tr2bl w:val="nil"/>
                  </w:tcBorders>
                  <w:vAlign w:val="center"/>
                </w:tcPr>
                <w:p w14:paraId="32D70F1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szCs w:val="21"/>
                      <w:highlight w:val="none"/>
                    </w:rPr>
                  </w:pPr>
                </w:p>
              </w:tc>
            </w:tr>
          </w:tbl>
          <w:p w14:paraId="471B47ED">
            <w:pPr>
              <w:pStyle w:val="46"/>
              <w:keepNext w:val="0"/>
              <w:keepLines w:val="0"/>
              <w:pageBreakBefore w:val="0"/>
              <w:widowControl w:val="0"/>
              <w:kinsoku/>
              <w:wordWrap/>
              <w:overflowPunct/>
              <w:topLinePunct w:val="0"/>
              <w:autoSpaceDE w:val="0"/>
              <w:autoSpaceDN w:val="0"/>
              <w:bidi w:val="0"/>
              <w:adjustRightInd/>
              <w:snapToGrid/>
              <w:spacing w:before="157" w:beforeLines="50"/>
              <w:textAlignment w:val="auto"/>
              <w:rPr>
                <w:rFonts w:hint="eastAsia"/>
                <w:color w:val="auto"/>
                <w:highlight w:val="none"/>
              </w:rPr>
            </w:pPr>
            <w:r>
              <w:rPr>
                <w:rFonts w:hint="eastAsia"/>
                <w:color w:val="auto"/>
                <w:highlight w:val="none"/>
              </w:rPr>
              <w:t>由上表可知，非正常工况下，污染物排放浓度、排放速率均达标。为防止生产废气非正常工况排放，企业必须加强废气处理设施的管理，定期检修，确保废气处理设施正常运行，在废气处理设备停止运行或出现故障时，产生废气的各工序也必须相应停止生产。</w:t>
            </w:r>
          </w:p>
          <w:p w14:paraId="76089BBF">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有组织废气防治措施</w:t>
            </w:r>
          </w:p>
          <w:p w14:paraId="4F60C899">
            <w:pPr>
              <w:pStyle w:val="11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default" w:ascii="Times New Roman" w:hAnsi="Times New Roman" w:eastAsia="宋体" w:cs="宋体"/>
                <w:color w:val="auto"/>
                <w:spacing w:val="-1"/>
                <w:sz w:val="24"/>
                <w:szCs w:val="24"/>
                <w:highlight w:val="none"/>
                <w:lang w:val="en-US" w:eastAsia="zh-CN"/>
              </w:rPr>
            </w:pPr>
            <w:r>
              <w:rPr>
                <w:rFonts w:hint="eastAsia" w:ascii="Times New Roman" w:hAnsi="Times New Roman" w:cs="宋体"/>
                <w:color w:val="auto"/>
                <w:spacing w:val="-1"/>
                <w:sz w:val="24"/>
                <w:szCs w:val="24"/>
                <w:highlight w:val="none"/>
                <w:lang w:val="en-US" w:eastAsia="zh-CN"/>
              </w:rPr>
              <w:t>（1）</w:t>
            </w:r>
            <w:r>
              <w:rPr>
                <w:rFonts w:hint="eastAsia" w:ascii="Times New Roman" w:hAnsi="Times New Roman" w:eastAsia="宋体" w:cs="宋体"/>
                <w:color w:val="auto"/>
                <w:spacing w:val="-1"/>
                <w:sz w:val="24"/>
                <w:szCs w:val="24"/>
                <w:highlight w:val="none"/>
                <w:lang w:val="en-US" w:eastAsia="zh-CN"/>
              </w:rPr>
              <w:t>治理措施</w:t>
            </w:r>
          </w:p>
          <w:p w14:paraId="61EB1C4D">
            <w:pPr>
              <w:pStyle w:val="115"/>
              <w:spacing w:before="142" w:line="219" w:lineRule="auto"/>
              <w:ind w:left="591"/>
              <w:rPr>
                <w:rFonts w:hint="default"/>
                <w:color w:val="auto"/>
                <w:spacing w:val="-1"/>
                <w:sz w:val="24"/>
                <w:szCs w:val="24"/>
                <w:highlight w:val="none"/>
                <w:lang w:val="en-US" w:eastAsia="zh-CN"/>
              </w:rPr>
            </w:pPr>
            <w:r>
              <w:rPr>
                <w:rFonts w:hint="eastAsia"/>
                <w:color w:val="auto"/>
                <w:highlight w:val="none"/>
                <w:lang w:val="en-US" w:eastAsia="zh-CN"/>
              </w:rPr>
              <w:t>项目有组织废气防治措施详见下表。</w:t>
            </w:r>
          </w:p>
          <w:p w14:paraId="0ACD7DEC">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项目有组织废气防治措施一览表</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4"/>
              <w:gridCol w:w="1388"/>
              <w:gridCol w:w="2032"/>
              <w:gridCol w:w="987"/>
            </w:tblGrid>
            <w:tr w14:paraId="164A2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4" w:type="dxa"/>
                  <w:tcBorders>
                    <w:bottom w:val="single" w:color="000000" w:sz="12" w:space="0"/>
                    <w:tl2br w:val="nil"/>
                    <w:tr2bl w:val="nil"/>
                  </w:tcBorders>
                  <w:vAlign w:val="center"/>
                </w:tcPr>
                <w:p w14:paraId="41DFBEB1">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产污环节</w:t>
                  </w:r>
                </w:p>
              </w:tc>
              <w:tc>
                <w:tcPr>
                  <w:tcW w:w="1388" w:type="dxa"/>
                  <w:tcBorders>
                    <w:bottom w:val="single" w:color="000000" w:sz="12" w:space="0"/>
                    <w:tl2br w:val="nil"/>
                    <w:tr2bl w:val="nil"/>
                  </w:tcBorders>
                  <w:vAlign w:val="center"/>
                </w:tcPr>
                <w:p w14:paraId="033CF7D8">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污染源</w:t>
                  </w:r>
                </w:p>
              </w:tc>
              <w:tc>
                <w:tcPr>
                  <w:tcW w:w="0" w:type="auto"/>
                  <w:tcBorders>
                    <w:bottom w:val="single" w:color="000000" w:sz="12" w:space="0"/>
                    <w:tl2br w:val="nil"/>
                    <w:tr2bl w:val="nil"/>
                  </w:tcBorders>
                  <w:vAlign w:val="center"/>
                </w:tcPr>
                <w:p w14:paraId="3778415F">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防治措施</w:t>
                  </w:r>
                </w:p>
              </w:tc>
              <w:tc>
                <w:tcPr>
                  <w:tcW w:w="0" w:type="auto"/>
                  <w:tcBorders>
                    <w:bottom w:val="single" w:color="000000" w:sz="12" w:space="0"/>
                    <w:tl2br w:val="nil"/>
                    <w:tr2bl w:val="nil"/>
                  </w:tcBorders>
                  <w:vAlign w:val="center"/>
                </w:tcPr>
                <w:p w14:paraId="34ECD533">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排气筒编号</w:t>
                  </w:r>
                </w:p>
              </w:tc>
            </w:tr>
            <w:tr w14:paraId="13E73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4" w:type="dxa"/>
                  <w:tcBorders>
                    <w:top w:val="single" w:color="000000" w:sz="12" w:space="0"/>
                    <w:tl2br w:val="nil"/>
                    <w:tr2bl w:val="nil"/>
                  </w:tcBorders>
                  <w:vAlign w:val="center"/>
                </w:tcPr>
                <w:p w14:paraId="556ADEDC">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pacing w:val="-1"/>
                      <w:sz w:val="21"/>
                      <w:szCs w:val="24"/>
                      <w:highlight w:val="none"/>
                      <w:vertAlign w:val="baseline"/>
                      <w:lang w:val="en-US" w:eastAsia="zh-CN"/>
                    </w:rPr>
                  </w:pPr>
                  <w:r>
                    <w:rPr>
                      <w:rFonts w:hint="default" w:ascii="Times New Roman" w:hAnsi="Times New Roman" w:eastAsia="宋体"/>
                      <w:color w:val="auto"/>
                      <w:spacing w:val="-1"/>
                      <w:sz w:val="21"/>
                      <w:szCs w:val="24"/>
                      <w:highlight w:val="none"/>
                      <w:vertAlign w:val="baseline"/>
                      <w:lang w:val="en-US" w:eastAsia="zh-CN"/>
                    </w:rPr>
                    <w:t>电泳、</w:t>
                  </w:r>
                  <w:r>
                    <w:rPr>
                      <w:rFonts w:hint="eastAsia" w:ascii="Times New Roman" w:hAnsi="Times New Roman" w:eastAsia="宋体"/>
                      <w:color w:val="auto"/>
                      <w:spacing w:val="-1"/>
                      <w:sz w:val="21"/>
                      <w:szCs w:val="24"/>
                      <w:highlight w:val="none"/>
                      <w:vertAlign w:val="baseline"/>
                      <w:lang w:val="en-US" w:eastAsia="zh-CN"/>
                    </w:rPr>
                    <w:t>电泳</w:t>
                  </w:r>
                  <w:r>
                    <w:rPr>
                      <w:rFonts w:hint="default" w:ascii="Times New Roman" w:hAnsi="Times New Roman" w:eastAsia="宋体"/>
                      <w:color w:val="auto"/>
                      <w:spacing w:val="-1"/>
                      <w:sz w:val="21"/>
                      <w:szCs w:val="24"/>
                      <w:highlight w:val="none"/>
                      <w:vertAlign w:val="baseline"/>
                      <w:lang w:val="en-US" w:eastAsia="zh-CN"/>
                    </w:rPr>
                    <w:t>固化废气</w:t>
                  </w:r>
                  <w:r>
                    <w:rPr>
                      <w:rFonts w:hint="eastAsia" w:ascii="Times New Roman" w:hAnsi="Times New Roman" w:eastAsia="宋体"/>
                      <w:color w:val="auto"/>
                      <w:spacing w:val="-1"/>
                      <w:sz w:val="21"/>
                      <w:szCs w:val="24"/>
                      <w:highlight w:val="none"/>
                      <w:vertAlign w:val="baseline"/>
                      <w:lang w:val="en-US" w:eastAsia="zh-CN"/>
                    </w:rPr>
                    <w:t>、天然气</w:t>
                  </w:r>
                </w:p>
                <w:p w14:paraId="7DC604A0">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燃烧</w:t>
                  </w:r>
                  <w:r>
                    <w:rPr>
                      <w:rFonts w:hint="eastAsia" w:ascii="Times New Roman" w:hAnsi="Times New Roman"/>
                      <w:color w:val="auto"/>
                      <w:spacing w:val="-1"/>
                      <w:sz w:val="21"/>
                      <w:szCs w:val="24"/>
                      <w:highlight w:val="none"/>
                      <w:vertAlign w:val="baseline"/>
                      <w:lang w:val="en-US" w:eastAsia="zh-CN"/>
                    </w:rPr>
                    <w:t>废气</w:t>
                  </w:r>
                  <w:r>
                    <w:rPr>
                      <w:rFonts w:hint="eastAsia" w:ascii="Times New Roman" w:hAnsi="Times New Roman" w:eastAsia="宋体"/>
                      <w:color w:val="auto"/>
                      <w:spacing w:val="-1"/>
                      <w:sz w:val="21"/>
                      <w:szCs w:val="24"/>
                      <w:highlight w:val="none"/>
                      <w:vertAlign w:val="baseline"/>
                      <w:lang w:val="en-US" w:eastAsia="zh-CN"/>
                    </w:rPr>
                    <w:t>（电泳）</w:t>
                  </w:r>
                </w:p>
              </w:tc>
              <w:tc>
                <w:tcPr>
                  <w:tcW w:w="1388" w:type="dxa"/>
                  <w:tcBorders>
                    <w:top w:val="single" w:color="000000" w:sz="12" w:space="0"/>
                    <w:tl2br w:val="nil"/>
                    <w:tr2bl w:val="nil"/>
                  </w:tcBorders>
                  <w:vAlign w:val="center"/>
                </w:tcPr>
                <w:p w14:paraId="6328D294">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电泳</w:t>
                  </w:r>
                </w:p>
              </w:tc>
              <w:tc>
                <w:tcPr>
                  <w:tcW w:w="0" w:type="auto"/>
                  <w:tcBorders>
                    <w:top w:val="single" w:color="000000" w:sz="12" w:space="0"/>
                    <w:tl2br w:val="nil"/>
                    <w:tr2bl w:val="nil"/>
                  </w:tcBorders>
                  <w:vAlign w:val="center"/>
                </w:tcPr>
                <w:p w14:paraId="6862A340">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color w:val="auto"/>
                      <w:spacing w:val="-1"/>
                      <w:sz w:val="21"/>
                      <w:szCs w:val="24"/>
                      <w:highlight w:val="none"/>
                      <w:vertAlign w:val="baseline"/>
                      <w:lang w:val="en-US" w:eastAsia="zh-CN"/>
                    </w:rPr>
                    <w:t>喷淋塔+过滤棉+</w:t>
                  </w:r>
                  <w:r>
                    <w:rPr>
                      <w:rFonts w:hint="eastAsia" w:ascii="Times New Roman" w:hAnsi="Times New Roman" w:eastAsia="宋体"/>
                      <w:color w:val="auto"/>
                      <w:spacing w:val="-1"/>
                      <w:sz w:val="21"/>
                      <w:szCs w:val="24"/>
                      <w:highlight w:val="none"/>
                      <w:vertAlign w:val="baseline"/>
                      <w:lang w:val="en-US" w:eastAsia="zh-CN"/>
                    </w:rPr>
                    <w:t>二级活性炭吸附+15m排气筒</w:t>
                  </w:r>
                </w:p>
              </w:tc>
              <w:tc>
                <w:tcPr>
                  <w:tcW w:w="0" w:type="auto"/>
                  <w:tcBorders>
                    <w:top w:val="single" w:color="000000" w:sz="12" w:space="0"/>
                    <w:tl2br w:val="nil"/>
                    <w:tr2bl w:val="nil"/>
                  </w:tcBorders>
                  <w:vAlign w:val="center"/>
                </w:tcPr>
                <w:p w14:paraId="73B45F0C">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DA001</w:t>
                  </w:r>
                </w:p>
              </w:tc>
            </w:tr>
            <w:tr w14:paraId="61380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4" w:type="dxa"/>
                  <w:tcBorders>
                    <w:tl2br w:val="nil"/>
                    <w:tr2bl w:val="nil"/>
                  </w:tcBorders>
                  <w:vAlign w:val="center"/>
                </w:tcPr>
                <w:p w14:paraId="5B19DC29">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焊接废气</w:t>
                  </w:r>
                </w:p>
              </w:tc>
              <w:tc>
                <w:tcPr>
                  <w:tcW w:w="1388" w:type="dxa"/>
                  <w:tcBorders>
                    <w:tl2br w:val="nil"/>
                    <w:tr2bl w:val="nil"/>
                  </w:tcBorders>
                  <w:vAlign w:val="center"/>
                </w:tcPr>
                <w:p w14:paraId="07BF4BFC">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焊接</w:t>
                  </w:r>
                </w:p>
              </w:tc>
              <w:tc>
                <w:tcPr>
                  <w:tcW w:w="0" w:type="auto"/>
                  <w:tcBorders>
                    <w:tl2br w:val="nil"/>
                    <w:tr2bl w:val="nil"/>
                  </w:tcBorders>
                  <w:vAlign w:val="center"/>
                </w:tcPr>
                <w:p w14:paraId="0704ACB9">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布袋除尘器+15m排气筒</w:t>
                  </w:r>
                </w:p>
              </w:tc>
              <w:tc>
                <w:tcPr>
                  <w:tcW w:w="987" w:type="dxa"/>
                  <w:vMerge w:val="restart"/>
                  <w:tcBorders>
                    <w:tl2br w:val="nil"/>
                    <w:tr2bl w:val="nil"/>
                  </w:tcBorders>
                  <w:vAlign w:val="center"/>
                </w:tcPr>
                <w:p w14:paraId="39C594B0">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DA002</w:t>
                  </w:r>
                </w:p>
                <w:p w14:paraId="0C2C327D">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p>
              </w:tc>
            </w:tr>
            <w:tr w14:paraId="5EBBB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4" w:type="dxa"/>
                  <w:tcBorders>
                    <w:tl2br w:val="nil"/>
                    <w:tr2bl w:val="nil"/>
                  </w:tcBorders>
                  <w:vAlign w:val="center"/>
                </w:tcPr>
                <w:p w14:paraId="7228D18D">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喷粉废气</w:t>
                  </w:r>
                </w:p>
              </w:tc>
              <w:tc>
                <w:tcPr>
                  <w:tcW w:w="1388" w:type="dxa"/>
                  <w:tcBorders>
                    <w:tl2br w:val="nil"/>
                    <w:tr2bl w:val="nil"/>
                  </w:tcBorders>
                  <w:vAlign w:val="center"/>
                </w:tcPr>
                <w:p w14:paraId="012EB8E6">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喷粉</w:t>
                  </w:r>
                </w:p>
              </w:tc>
              <w:tc>
                <w:tcPr>
                  <w:tcW w:w="0" w:type="auto"/>
                  <w:tcBorders>
                    <w:tl2br w:val="nil"/>
                    <w:tr2bl w:val="nil"/>
                  </w:tcBorders>
                  <w:vAlign w:val="center"/>
                </w:tcPr>
                <w:p w14:paraId="27F3F4D9">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滤芯除尘+15m排气筒</w:t>
                  </w:r>
                </w:p>
              </w:tc>
              <w:tc>
                <w:tcPr>
                  <w:tcW w:w="987" w:type="dxa"/>
                  <w:vMerge w:val="continue"/>
                  <w:tcBorders>
                    <w:tl2br w:val="nil"/>
                    <w:tr2bl w:val="nil"/>
                  </w:tcBorders>
                  <w:vAlign w:val="center"/>
                </w:tcPr>
                <w:p w14:paraId="2B483EB0">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p>
              </w:tc>
            </w:tr>
            <w:tr w14:paraId="32586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4" w:type="dxa"/>
                  <w:tcBorders>
                    <w:tl2br w:val="nil"/>
                    <w:tr2bl w:val="nil"/>
                  </w:tcBorders>
                  <w:vAlign w:val="center"/>
                </w:tcPr>
                <w:p w14:paraId="5E15A62D">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喷粉固化废气、调漆、喷漆、喷漆固化废气</w:t>
                  </w:r>
                </w:p>
              </w:tc>
              <w:tc>
                <w:tcPr>
                  <w:tcW w:w="1388" w:type="dxa"/>
                  <w:tcBorders>
                    <w:tl2br w:val="nil"/>
                    <w:tr2bl w:val="nil"/>
                  </w:tcBorders>
                  <w:vAlign w:val="center"/>
                </w:tcPr>
                <w:p w14:paraId="71D6EA59">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喷粉固化、喷漆</w:t>
                  </w:r>
                </w:p>
              </w:tc>
              <w:tc>
                <w:tcPr>
                  <w:tcW w:w="0" w:type="auto"/>
                  <w:tcBorders>
                    <w:tl2br w:val="nil"/>
                    <w:tr2bl w:val="nil"/>
                  </w:tcBorders>
                  <w:vAlign w:val="center"/>
                </w:tcPr>
                <w:p w14:paraId="515E9E49">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color w:val="auto"/>
                      <w:spacing w:val="-1"/>
                      <w:sz w:val="21"/>
                      <w:szCs w:val="24"/>
                      <w:highlight w:val="none"/>
                      <w:vertAlign w:val="baseline"/>
                      <w:lang w:val="en-US" w:eastAsia="zh-CN"/>
                    </w:rPr>
                    <w:t>喷淋塔+过滤棉+</w:t>
                  </w:r>
                  <w:r>
                    <w:rPr>
                      <w:rFonts w:hint="eastAsia" w:ascii="Times New Roman" w:hAnsi="Times New Roman" w:eastAsia="宋体"/>
                      <w:color w:val="auto"/>
                      <w:spacing w:val="-1"/>
                      <w:sz w:val="21"/>
                      <w:szCs w:val="24"/>
                      <w:highlight w:val="none"/>
                      <w:vertAlign w:val="baseline"/>
                      <w:lang w:val="en-US" w:eastAsia="zh-CN"/>
                    </w:rPr>
                    <w:t>二级活性炭吸附+15m排气筒</w:t>
                  </w:r>
                </w:p>
              </w:tc>
              <w:tc>
                <w:tcPr>
                  <w:tcW w:w="987" w:type="dxa"/>
                  <w:vMerge w:val="continue"/>
                  <w:tcBorders>
                    <w:tl2br w:val="nil"/>
                    <w:tr2bl w:val="nil"/>
                  </w:tcBorders>
                  <w:vAlign w:val="center"/>
                </w:tcPr>
                <w:p w14:paraId="49EC41F9">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p>
              </w:tc>
            </w:tr>
            <w:tr w14:paraId="69C78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4" w:type="dxa"/>
                  <w:tcBorders>
                    <w:tl2br w:val="nil"/>
                    <w:tr2bl w:val="nil"/>
                  </w:tcBorders>
                  <w:vAlign w:val="center"/>
                </w:tcPr>
                <w:p w14:paraId="13A6AB25">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天然气燃烧废气（喷粉、喷漆）</w:t>
                  </w:r>
                </w:p>
              </w:tc>
              <w:tc>
                <w:tcPr>
                  <w:tcW w:w="1388" w:type="dxa"/>
                  <w:tcBorders>
                    <w:tl2br w:val="nil"/>
                    <w:tr2bl w:val="nil"/>
                  </w:tcBorders>
                  <w:vAlign w:val="center"/>
                </w:tcPr>
                <w:p w14:paraId="603EF304">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pacing w:val="-1"/>
                      <w:sz w:val="21"/>
                      <w:szCs w:val="24"/>
                      <w:highlight w:val="none"/>
                      <w:vertAlign w:val="baseline"/>
                      <w:lang w:val="en-US" w:eastAsia="zh-CN"/>
                    </w:rPr>
                  </w:pPr>
                  <w:r>
                    <w:rPr>
                      <w:rFonts w:hint="eastAsia" w:ascii="Times New Roman" w:hAnsi="Times New Roman" w:eastAsia="宋体"/>
                      <w:color w:val="auto"/>
                      <w:spacing w:val="-1"/>
                      <w:sz w:val="21"/>
                      <w:szCs w:val="24"/>
                      <w:highlight w:val="none"/>
                      <w:vertAlign w:val="baseline"/>
                      <w:lang w:val="en-US" w:eastAsia="zh-CN"/>
                    </w:rPr>
                    <w:t>喷粉固化、喷漆</w:t>
                  </w:r>
                </w:p>
              </w:tc>
              <w:tc>
                <w:tcPr>
                  <w:tcW w:w="0" w:type="auto"/>
                  <w:tcBorders>
                    <w:tl2br w:val="nil"/>
                    <w:tr2bl w:val="nil"/>
                  </w:tcBorders>
                  <w:vAlign w:val="center"/>
                </w:tcPr>
                <w:p w14:paraId="6A0B1EB0">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color w:val="auto"/>
                      <w:spacing w:val="-1"/>
                      <w:sz w:val="21"/>
                      <w:szCs w:val="24"/>
                      <w:highlight w:val="none"/>
                      <w:vertAlign w:val="baseline"/>
                      <w:lang w:val="en-US" w:eastAsia="zh-CN"/>
                    </w:rPr>
                    <w:t>15m排气筒</w:t>
                  </w:r>
                </w:p>
              </w:tc>
              <w:tc>
                <w:tcPr>
                  <w:tcW w:w="0" w:type="auto"/>
                  <w:tcBorders>
                    <w:tl2br w:val="nil"/>
                    <w:tr2bl w:val="nil"/>
                  </w:tcBorders>
                  <w:vAlign w:val="center"/>
                </w:tcPr>
                <w:p w14:paraId="1429C849">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pacing w:val="-1"/>
                      <w:sz w:val="21"/>
                      <w:szCs w:val="24"/>
                      <w:highlight w:val="none"/>
                      <w:vertAlign w:val="baseline"/>
                      <w:lang w:val="en-US" w:eastAsia="zh-CN"/>
                    </w:rPr>
                  </w:pPr>
                  <w:r>
                    <w:rPr>
                      <w:rFonts w:hint="eastAsia" w:ascii="Times New Roman" w:hAnsi="Times New Roman"/>
                      <w:color w:val="auto"/>
                      <w:spacing w:val="-1"/>
                      <w:sz w:val="21"/>
                      <w:szCs w:val="24"/>
                      <w:highlight w:val="none"/>
                      <w:vertAlign w:val="baseline"/>
                      <w:lang w:val="en-US" w:eastAsia="zh-CN"/>
                    </w:rPr>
                    <w:t>DA003</w:t>
                  </w:r>
                </w:p>
              </w:tc>
            </w:tr>
          </w:tbl>
          <w:p w14:paraId="1E433584">
            <w:pPr>
              <w:pStyle w:val="11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default" w:ascii="Times New Roman" w:hAnsi="Times New Roman" w:eastAsia="宋体" w:cs="宋体"/>
                <w:color w:val="auto"/>
                <w:spacing w:val="-1"/>
                <w:sz w:val="24"/>
                <w:szCs w:val="24"/>
                <w:highlight w:val="none"/>
                <w:lang w:val="en-US" w:eastAsia="zh-CN"/>
              </w:rPr>
            </w:pPr>
            <w:r>
              <w:rPr>
                <w:rFonts w:hint="eastAsia" w:ascii="Times New Roman" w:hAnsi="Times New Roman" w:cs="宋体"/>
                <w:color w:val="auto"/>
                <w:spacing w:val="-1"/>
                <w:sz w:val="24"/>
                <w:szCs w:val="24"/>
                <w:highlight w:val="none"/>
                <w:lang w:val="en-US" w:eastAsia="zh-CN"/>
              </w:rPr>
              <w:t>（2）</w:t>
            </w:r>
            <w:r>
              <w:rPr>
                <w:rFonts w:hint="eastAsia" w:ascii="Times New Roman" w:hAnsi="Times New Roman" w:eastAsia="宋体" w:cs="宋体"/>
                <w:color w:val="auto"/>
                <w:spacing w:val="-1"/>
                <w:sz w:val="24"/>
                <w:szCs w:val="24"/>
                <w:highlight w:val="none"/>
                <w:lang w:val="en-US" w:eastAsia="zh-CN"/>
              </w:rPr>
              <w:t>工艺原理</w:t>
            </w:r>
          </w:p>
          <w:p w14:paraId="4BE26606">
            <w:pPr>
              <w:pStyle w:val="115"/>
              <w:keepNext w:val="0"/>
              <w:keepLines w:val="0"/>
              <w:pageBreakBefore w:val="0"/>
              <w:widowControl w:val="0"/>
              <w:kinsoku/>
              <w:wordWrap/>
              <w:overflowPunct/>
              <w:topLinePunct w:val="0"/>
              <w:autoSpaceDE/>
              <w:autoSpaceDN/>
              <w:bidi w:val="0"/>
              <w:adjustRightInd/>
              <w:snapToGrid/>
              <w:spacing w:line="360" w:lineRule="auto"/>
              <w:ind w:left="0" w:firstLine="478" w:firstLineChars="200"/>
              <w:textAlignment w:val="auto"/>
              <w:rPr>
                <w:rFonts w:hint="eastAsia" w:ascii="宋体" w:hAnsi="宋体" w:eastAsia="宋体" w:cs="宋体"/>
                <w:b/>
                <w:bCs/>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lang w:val="en-US" w:eastAsia="zh-CN"/>
              </w:rPr>
              <w:t>袋式除尘器处理原理：</w:t>
            </w:r>
          </w:p>
          <w:p w14:paraId="2CC99577">
            <w:pPr>
              <w:pStyle w:val="11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Times New Roman" w:hAnsi="Times New Roman" w:eastAsia="宋体" w:cs="宋体"/>
                <w:color w:val="auto"/>
                <w:spacing w:val="-1"/>
                <w:sz w:val="24"/>
                <w:szCs w:val="24"/>
                <w:highlight w:val="none"/>
                <w:lang w:val="en-US" w:eastAsia="zh-CN"/>
              </w:rPr>
            </w:pPr>
            <w:r>
              <w:rPr>
                <w:rFonts w:hint="eastAsia" w:ascii="Times New Roman" w:hAnsi="Times New Roman" w:eastAsia="宋体" w:cs="宋体"/>
                <w:color w:val="auto"/>
                <w:spacing w:val="-1"/>
                <w:sz w:val="24"/>
                <w:szCs w:val="24"/>
                <w:highlight w:val="none"/>
                <w:lang w:val="en-US" w:eastAsia="zh-CN"/>
              </w:rPr>
              <w:t>袋式除尘器由灰斗、上箱体、中箱体、下箱体等部分组成，上、中、下箱体为分室结构。其工作原理为：在风机动力的牵引下，除尘器内部、除尘管道及除尘罩口处形成负压环境，使扬尘点的粉尘在压差作用下进入除尘器，气流通过除尘滤袋过滤，粉尘被截留在布袋表面，通过PLC控制仪有规律地向脉冲阀输入脉冲信号，压缩气体的高压风将粘附在滤袋表面的粉尘喷吹下来收集到积灰斗内，从而达到回收粉尘的目的，处理后的干净气体经除尘风机从排气筒排出。工作时，含尘气体由进风道进入灰斗，粗尘粒直接落入灰斗底部，细尘粒随气流转折向上进入中、下箱体，粉尘积附在滤袋外表面，过滤后的气体进入上箱体至净气集合管排风道，经排风机排出除尘器。清灰过程是先切断该室的净气出口风道，使该室的布袋处于无气流通过的状态。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布袋除尘器对于粉尘的处理效率通常可达到99%以上，本项目取95%可行。</w:t>
            </w:r>
          </w:p>
          <w:p w14:paraId="496728A5">
            <w:pPr>
              <w:pStyle w:val="115"/>
              <w:keepNext w:val="0"/>
              <w:keepLines w:val="0"/>
              <w:pageBreakBefore w:val="0"/>
              <w:widowControl w:val="0"/>
              <w:kinsoku/>
              <w:wordWrap/>
              <w:overflowPunct/>
              <w:topLinePunct w:val="0"/>
              <w:autoSpaceDE/>
              <w:autoSpaceDN/>
              <w:bidi w:val="0"/>
              <w:adjustRightInd/>
              <w:snapToGrid/>
              <w:spacing w:line="360" w:lineRule="auto"/>
              <w:ind w:left="0" w:firstLine="478" w:firstLineChars="200"/>
              <w:textAlignment w:val="auto"/>
              <w:rPr>
                <w:rFonts w:hint="eastAsia" w:ascii="宋体" w:hAnsi="宋体" w:eastAsia="宋体" w:cs="宋体"/>
                <w:b/>
                <w:bCs/>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lang w:val="en-US" w:eastAsia="zh-CN"/>
              </w:rPr>
              <w:t>滤芯除尘器处理原理：</w:t>
            </w:r>
          </w:p>
          <w:p w14:paraId="3BEAA4CE">
            <w:pPr>
              <w:pStyle w:val="11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滤芯除尘器主要由上箱体、中箱体、灰斗、卸灰系统、喷吹系统和控制系统等几部分组成，可采用多种进气分室结构。含尘烟气由进风口经中箱体下部进入灰斗；部分较大的尘粒由于惯性碰撞、自然沉降等作用直接落入灰斗，其它尘粒随气流上升进入各个袋室。经滤芯过滤后，尘粒被阻留在滤芯外侧，净化后的气体由滤芯内部进入箱体，再通过提升阀、出风口排入大气。灰斗中的粉尘定时或连续由</w:t>
            </w:r>
            <w:r>
              <w:rPr>
                <w:rFonts w:hint="eastAsia" w:ascii="宋体" w:hAnsi="宋体" w:eastAsia="宋体" w:cs="宋体"/>
                <w:color w:val="auto"/>
                <w:spacing w:val="-1"/>
                <w:sz w:val="24"/>
                <w:szCs w:val="24"/>
                <w:highlight w:val="none"/>
                <w:lang w:val="en-US" w:eastAsia="zh-CN"/>
              </w:rPr>
              <w:fldChar w:fldCharType="begin"/>
            </w:r>
            <w:r>
              <w:rPr>
                <w:rFonts w:hint="eastAsia" w:ascii="宋体" w:hAnsi="宋体" w:eastAsia="宋体" w:cs="宋体"/>
                <w:color w:val="auto"/>
                <w:spacing w:val="-1"/>
                <w:sz w:val="24"/>
                <w:szCs w:val="24"/>
                <w:highlight w:val="none"/>
                <w:lang w:val="en-US" w:eastAsia="zh-CN"/>
              </w:rPr>
              <w:instrText xml:space="preserve"> HYPERLINK "https://baike.so.com/doc/2558471-2702075.html" \t "https://baike.so.com/doc/_blank" </w:instrText>
            </w:r>
            <w:r>
              <w:rPr>
                <w:rFonts w:hint="eastAsia" w:ascii="宋体" w:hAnsi="宋体" w:eastAsia="宋体" w:cs="宋体"/>
                <w:color w:val="auto"/>
                <w:spacing w:val="-1"/>
                <w:sz w:val="24"/>
                <w:szCs w:val="24"/>
                <w:highlight w:val="none"/>
                <w:lang w:val="en-US" w:eastAsia="zh-CN"/>
              </w:rPr>
              <w:fldChar w:fldCharType="separate"/>
            </w:r>
            <w:r>
              <w:rPr>
                <w:rFonts w:hint="eastAsia" w:ascii="宋体" w:hAnsi="宋体" w:eastAsia="宋体" w:cs="宋体"/>
                <w:color w:val="auto"/>
                <w:spacing w:val="-1"/>
                <w:sz w:val="24"/>
                <w:szCs w:val="24"/>
                <w:highlight w:val="none"/>
                <w:lang w:val="en-US" w:eastAsia="zh-CN"/>
              </w:rPr>
              <w:t>螺旋输送机</w:t>
            </w:r>
            <w:r>
              <w:rPr>
                <w:rFonts w:hint="eastAsia" w:ascii="宋体" w:hAnsi="宋体" w:eastAsia="宋体" w:cs="宋体"/>
                <w:color w:val="auto"/>
                <w:spacing w:val="-1"/>
                <w:sz w:val="24"/>
                <w:szCs w:val="24"/>
                <w:highlight w:val="none"/>
                <w:lang w:val="en-US" w:eastAsia="zh-CN"/>
              </w:rPr>
              <w:fldChar w:fldCharType="end"/>
            </w:r>
            <w:r>
              <w:rPr>
                <w:rFonts w:hint="eastAsia" w:ascii="宋体" w:hAnsi="宋体" w:eastAsia="宋体" w:cs="宋体"/>
                <w:color w:val="auto"/>
                <w:spacing w:val="-1"/>
                <w:sz w:val="24"/>
                <w:szCs w:val="24"/>
                <w:highlight w:val="none"/>
                <w:lang w:val="en-US" w:eastAsia="zh-CN"/>
              </w:rPr>
              <w:t>及刚性叶轮卸料器卸出。随着过滤过程的不断进行，滤芯外侧所附积的粉尘不断增加，从而导致袋除尘器本身的阻力也逐渐升高。当阻力达到预先设定值时，清灰控制器发出信号，首先令</w:t>
            </w:r>
            <w:r>
              <w:rPr>
                <w:rFonts w:hint="eastAsia" w:ascii="Times New Roman" w:hAnsi="Times New Roman" w:eastAsia="宋体" w:cs="宋体"/>
                <w:color w:val="auto"/>
                <w:spacing w:val="-1"/>
                <w:sz w:val="24"/>
                <w:szCs w:val="24"/>
                <w:highlight w:val="none"/>
                <w:lang w:val="en-US" w:eastAsia="zh-CN"/>
              </w:rPr>
              <w:t>一个过滤室的提升阀关闭以切断该室的过滤气流，然后打开电磁脉冲阀，压缩空气由气源顺序经气包、脉冲阀、喷吹管上的喷嘴以极短的时间</w:t>
            </w:r>
            <w:r>
              <w:rPr>
                <w:rFonts w:hint="eastAsia" w:ascii="Times New Roman" w:hAnsi="Times New Roman" w:cs="宋体"/>
                <w:color w:val="auto"/>
                <w:spacing w:val="-1"/>
                <w:sz w:val="24"/>
                <w:szCs w:val="24"/>
                <w:highlight w:val="none"/>
                <w:lang w:val="en-US" w:eastAsia="zh-CN"/>
              </w:rPr>
              <w:t>（</w:t>
            </w:r>
            <w:r>
              <w:rPr>
                <w:rFonts w:hint="eastAsia" w:ascii="Times New Roman" w:hAnsi="Times New Roman" w:eastAsia="宋体" w:cs="宋体"/>
                <w:color w:val="auto"/>
                <w:spacing w:val="-1"/>
                <w:sz w:val="24"/>
                <w:szCs w:val="24"/>
                <w:highlight w:val="none"/>
                <w:lang w:val="en-US" w:eastAsia="zh-CN"/>
              </w:rPr>
              <w:t>0.065</w:t>
            </w:r>
            <w:r>
              <w:rPr>
                <w:rFonts w:hint="eastAsia" w:ascii="Times New Roman" w:hAnsi="Times New Roman" w:cs="宋体"/>
                <w:color w:val="auto"/>
                <w:spacing w:val="-1"/>
                <w:sz w:val="24"/>
                <w:szCs w:val="24"/>
                <w:highlight w:val="none"/>
                <w:lang w:val="en-US" w:eastAsia="zh-CN"/>
              </w:rPr>
              <w:t>～</w:t>
            </w:r>
            <w:r>
              <w:rPr>
                <w:rFonts w:hint="eastAsia" w:ascii="Times New Roman" w:hAnsi="Times New Roman" w:eastAsia="宋体" w:cs="宋体"/>
                <w:color w:val="auto"/>
                <w:spacing w:val="-1"/>
                <w:sz w:val="24"/>
                <w:szCs w:val="24"/>
                <w:highlight w:val="none"/>
                <w:lang w:val="en-US" w:eastAsia="zh-CN"/>
              </w:rPr>
              <w:t>0.085秒</w:t>
            </w:r>
            <w:r>
              <w:rPr>
                <w:rFonts w:hint="eastAsia" w:ascii="Times New Roman" w:hAnsi="Times New Roman" w:cs="宋体"/>
                <w:color w:val="auto"/>
                <w:spacing w:val="-1"/>
                <w:sz w:val="24"/>
                <w:szCs w:val="24"/>
                <w:highlight w:val="none"/>
                <w:lang w:val="en-US" w:eastAsia="zh-CN"/>
              </w:rPr>
              <w:t>）</w:t>
            </w:r>
            <w:r>
              <w:rPr>
                <w:rFonts w:hint="eastAsia" w:ascii="Times New Roman" w:hAnsi="Times New Roman" w:eastAsia="宋体" w:cs="宋体"/>
                <w:color w:val="auto"/>
                <w:spacing w:val="-1"/>
                <w:sz w:val="24"/>
                <w:szCs w:val="24"/>
                <w:highlight w:val="none"/>
                <w:lang w:val="en-US" w:eastAsia="zh-CN"/>
              </w:rPr>
              <w:t>向滤芯喷射。压缩空气在箱内高速膨胀，使滤芯产生高频振动变形，再加上逆气流的作用，使滤袋外侧所附尘饼变形脱落。在充分考虑了粉尘的沉降时间</w:t>
            </w:r>
            <w:r>
              <w:rPr>
                <w:rFonts w:hint="eastAsia" w:ascii="Times New Roman" w:hAnsi="Times New Roman" w:cs="宋体"/>
                <w:color w:val="auto"/>
                <w:spacing w:val="-1"/>
                <w:sz w:val="24"/>
                <w:szCs w:val="24"/>
                <w:highlight w:val="none"/>
                <w:lang w:val="en-US" w:eastAsia="zh-CN"/>
              </w:rPr>
              <w:t>（</w:t>
            </w:r>
            <w:r>
              <w:rPr>
                <w:rFonts w:hint="eastAsia" w:ascii="Times New Roman" w:hAnsi="Times New Roman" w:eastAsia="宋体" w:cs="宋体"/>
                <w:color w:val="auto"/>
                <w:spacing w:val="-1"/>
                <w:sz w:val="24"/>
                <w:szCs w:val="24"/>
                <w:highlight w:val="none"/>
                <w:lang w:val="en-US" w:eastAsia="zh-CN"/>
              </w:rPr>
              <w:t>保证所脱落的粉尘能够有效落入灰斗</w:t>
            </w:r>
            <w:r>
              <w:rPr>
                <w:rFonts w:hint="eastAsia" w:ascii="Times New Roman" w:hAnsi="Times New Roman" w:cs="宋体"/>
                <w:color w:val="auto"/>
                <w:spacing w:val="-1"/>
                <w:sz w:val="24"/>
                <w:szCs w:val="24"/>
                <w:highlight w:val="none"/>
                <w:lang w:val="en-US" w:eastAsia="zh-CN"/>
              </w:rPr>
              <w:t>）</w:t>
            </w:r>
            <w:r>
              <w:rPr>
                <w:rFonts w:hint="eastAsia" w:ascii="Times New Roman" w:hAnsi="Times New Roman" w:eastAsia="宋体" w:cs="宋体"/>
                <w:color w:val="auto"/>
                <w:spacing w:val="-1"/>
                <w:sz w:val="24"/>
                <w:szCs w:val="24"/>
                <w:highlight w:val="none"/>
                <w:lang w:val="en-US" w:eastAsia="zh-CN"/>
              </w:rPr>
              <w:t>后，提升阀打开，此袋室滤袋恢复到过滤状态，而下一袋室则进入清灰状态，如此直到最后一袋室清灰完毕为一个周期。滤芯除尘器不但具有喷吹脉冲除尘器的清灰能力强、除尘效率高、排放浓度低等特点，还具有稳定可靠、能耗低、占地面积小的特点，特别适合处理大风量的烟气。</w:t>
            </w:r>
          </w:p>
          <w:p w14:paraId="4F8BAA7D">
            <w:pPr>
              <w:pStyle w:val="115"/>
              <w:keepNext w:val="0"/>
              <w:keepLines w:val="0"/>
              <w:pageBreakBefore w:val="0"/>
              <w:widowControl w:val="0"/>
              <w:kinsoku/>
              <w:wordWrap/>
              <w:overflowPunct/>
              <w:topLinePunct w:val="0"/>
              <w:autoSpaceDE/>
              <w:autoSpaceDN/>
              <w:bidi w:val="0"/>
              <w:adjustRightInd/>
              <w:snapToGrid/>
              <w:spacing w:line="360" w:lineRule="auto"/>
              <w:ind w:left="0" w:firstLine="478" w:firstLineChars="200"/>
              <w:textAlignment w:val="auto"/>
              <w:rPr>
                <w:rFonts w:hint="eastAsia" w:ascii="宋体" w:hAnsi="宋体" w:eastAsia="宋体" w:cs="宋体"/>
                <w:b/>
                <w:bCs/>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lang w:val="en-US" w:eastAsia="zh-CN"/>
              </w:rPr>
              <w:t>活性炭吸附处理原理：</w:t>
            </w:r>
          </w:p>
          <w:p w14:paraId="40533216">
            <w:pPr>
              <w:pStyle w:val="11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活性炭是一种具有多孔结构和大的内部比表面积的材料，由于其大的比表面积、微孔结构、高的吸附能力</w:t>
            </w:r>
            <w:r>
              <w:rPr>
                <w:rFonts w:hint="eastAsia"/>
                <w:color w:val="auto"/>
                <w:spacing w:val="-1"/>
                <w:sz w:val="24"/>
                <w:szCs w:val="24"/>
                <w:highlight w:val="none"/>
                <w:lang w:val="en-US" w:eastAsia="zh-CN"/>
              </w:rPr>
              <w:t>和很高</w:t>
            </w:r>
            <w:r>
              <w:rPr>
                <w:rFonts w:hint="eastAsia" w:ascii="宋体" w:hAnsi="宋体" w:eastAsia="宋体" w:cs="宋体"/>
                <w:color w:val="auto"/>
                <w:spacing w:val="-1"/>
                <w:sz w:val="24"/>
                <w:szCs w:val="24"/>
                <w:highlight w:val="none"/>
                <w:lang w:val="en-US" w:eastAsia="zh-CN"/>
              </w:rPr>
              <w:t>的表面活性而成为独特的多功能吸附剂</w:t>
            </w:r>
            <w:r>
              <w:rPr>
                <w:rFonts w:hint="eastAsia" w:cs="宋体"/>
                <w:color w:val="auto"/>
                <w:spacing w:val="-1"/>
                <w:sz w:val="24"/>
                <w:szCs w:val="24"/>
                <w:highlight w:val="none"/>
                <w:lang w:val="en-US" w:eastAsia="zh-CN"/>
              </w:rPr>
              <w:t>且</w:t>
            </w:r>
            <w:r>
              <w:rPr>
                <w:rFonts w:hint="eastAsia" w:ascii="宋体" w:hAnsi="宋体" w:eastAsia="宋体" w:cs="宋体"/>
                <w:color w:val="auto"/>
                <w:spacing w:val="-1"/>
                <w:sz w:val="24"/>
                <w:szCs w:val="24"/>
                <w:highlight w:val="none"/>
                <w:lang w:val="en-US" w:eastAsia="zh-CN"/>
              </w:rPr>
              <w:t>其价廉易得，可再生化，同时它可有效去除废水、废气中的大部分有机物和某些无机物，所以它被世界各国广泛地应用于污水及废气的处理、空气净化、回收溶剂等环境保护和资源回收等领域。</w:t>
            </w:r>
          </w:p>
          <w:p w14:paraId="200475E6">
            <w:pPr>
              <w:pStyle w:val="11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项目活性炭吸附装置理论计算更换周期见下表。</w:t>
            </w:r>
          </w:p>
          <w:p w14:paraId="59CB6467">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活性炭装置更换周期计算表</w:t>
            </w:r>
          </w:p>
          <w:p w14:paraId="0B9D2601">
            <w:pPr>
              <w:spacing w:line="144" w:lineRule="exact"/>
              <w:rPr>
                <w:color w:val="auto"/>
                <w:highlight w:val="none"/>
              </w:rPr>
            </w:pPr>
          </w:p>
          <w:tbl>
            <w:tblPr>
              <w:tblStyle w:val="86"/>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75"/>
              <w:gridCol w:w="703"/>
              <w:gridCol w:w="1329"/>
              <w:gridCol w:w="1546"/>
              <w:gridCol w:w="1265"/>
              <w:gridCol w:w="1473"/>
              <w:gridCol w:w="1155"/>
            </w:tblGrid>
            <w:tr w14:paraId="70B53B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729" w:type="pct"/>
                  <w:tcBorders>
                    <w:bottom w:val="single" w:color="000000" w:sz="12" w:space="0"/>
                  </w:tcBorders>
                  <w:vAlign w:val="center"/>
                </w:tcPr>
                <w:p w14:paraId="74FEA64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排气筒</w:t>
                  </w:r>
                </w:p>
              </w:tc>
              <w:tc>
                <w:tcPr>
                  <w:tcW w:w="402" w:type="pct"/>
                  <w:tcBorders>
                    <w:bottom w:val="single" w:color="000000" w:sz="12" w:space="0"/>
                  </w:tcBorders>
                  <w:vAlign w:val="center"/>
                </w:tcPr>
                <w:p w14:paraId="7F546CA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数量</w:t>
                  </w:r>
                </w:p>
                <w:p w14:paraId="3D10D7B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hint="eastAsia" w:ascii="Times New Roman" w:hAnsi="Times New Roman" w:cs="Times New Roman"/>
                      <w:b/>
                      <w:bCs/>
                      <w:color w:val="auto"/>
                      <w:spacing w:val="2"/>
                      <w:sz w:val="21"/>
                      <w:highlight w:val="none"/>
                      <w:lang w:eastAsia="zh-CN"/>
                    </w:rPr>
                    <w:t>（</w:t>
                  </w:r>
                  <w:r>
                    <w:rPr>
                      <w:rFonts w:ascii="Times New Roman" w:hAnsi="Times New Roman" w:eastAsia="宋体"/>
                      <w:b/>
                      <w:bCs/>
                      <w:color w:val="auto"/>
                      <w:spacing w:val="2"/>
                      <w:sz w:val="21"/>
                      <w:highlight w:val="none"/>
                    </w:rPr>
                    <w:t>套</w:t>
                  </w:r>
                  <w:r>
                    <w:rPr>
                      <w:rFonts w:hint="eastAsia" w:ascii="Times New Roman" w:hAnsi="Times New Roman"/>
                      <w:b/>
                      <w:bCs/>
                      <w:color w:val="auto"/>
                      <w:spacing w:val="2"/>
                      <w:sz w:val="21"/>
                      <w:highlight w:val="none"/>
                      <w:lang w:eastAsia="zh-CN"/>
                    </w:rPr>
                    <w:t>）</w:t>
                  </w:r>
                </w:p>
              </w:tc>
              <w:tc>
                <w:tcPr>
                  <w:tcW w:w="760" w:type="pct"/>
                  <w:tcBorders>
                    <w:bottom w:val="single" w:color="000000" w:sz="12" w:space="0"/>
                  </w:tcBorders>
                  <w:vAlign w:val="center"/>
                </w:tcPr>
                <w:p w14:paraId="33FEDB3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活性炭</w:t>
                  </w:r>
                </w:p>
                <w:p w14:paraId="41A044C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装填量</w:t>
                  </w:r>
                </w:p>
                <w:p w14:paraId="494B462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z w:val="21"/>
                      <w:szCs w:val="20"/>
                      <w:highlight w:val="none"/>
                    </w:rPr>
                    <w:t>(t)</w:t>
                  </w:r>
                </w:p>
              </w:tc>
              <w:tc>
                <w:tcPr>
                  <w:tcW w:w="884" w:type="pct"/>
                  <w:tcBorders>
                    <w:bottom w:val="single" w:color="000000" w:sz="12" w:space="0"/>
                  </w:tcBorders>
                  <w:vAlign w:val="center"/>
                </w:tcPr>
                <w:p w14:paraId="15F31FD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废气理论吸</w:t>
                  </w:r>
                </w:p>
                <w:p w14:paraId="4CE2337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附量</w:t>
                  </w:r>
                </w:p>
                <w:p w14:paraId="201C8DE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pacing w:val="1"/>
                      <w:sz w:val="21"/>
                      <w:szCs w:val="20"/>
                      <w:highlight w:val="none"/>
                    </w:rPr>
                    <w:t>(t/a)</w:t>
                  </w:r>
                </w:p>
              </w:tc>
              <w:tc>
                <w:tcPr>
                  <w:tcW w:w="723" w:type="pct"/>
                  <w:tcBorders>
                    <w:bottom w:val="single" w:color="000000" w:sz="12" w:space="0"/>
                  </w:tcBorders>
                  <w:vAlign w:val="center"/>
                </w:tcPr>
                <w:p w14:paraId="2EA26C8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position w:val="-1"/>
                      <w:sz w:val="21"/>
                      <w:highlight w:val="none"/>
                    </w:rPr>
                    <w:t>活性炭</w:t>
                  </w:r>
                  <w:r>
                    <w:rPr>
                      <w:rFonts w:ascii="Times New Roman" w:hAnsi="Times New Roman" w:eastAsia="宋体" w:cs="Times New Roman"/>
                      <w:b/>
                      <w:bCs/>
                      <w:color w:val="auto"/>
                      <w:spacing w:val="3"/>
                      <w:position w:val="5"/>
                      <w:sz w:val="21"/>
                      <w:szCs w:val="13"/>
                      <w:highlight w:val="none"/>
                      <w:vertAlign w:val="superscript"/>
                    </w:rPr>
                    <w:t>[1]</w:t>
                  </w:r>
                  <w:r>
                    <w:rPr>
                      <w:rFonts w:ascii="Times New Roman" w:hAnsi="Times New Roman" w:eastAsia="宋体"/>
                      <w:b/>
                      <w:bCs/>
                      <w:color w:val="auto"/>
                      <w:spacing w:val="5"/>
                      <w:sz w:val="21"/>
                      <w:highlight w:val="none"/>
                    </w:rPr>
                    <w:t>理论更换</w:t>
                  </w:r>
                  <w:r>
                    <w:rPr>
                      <w:rFonts w:ascii="Times New Roman" w:hAnsi="Times New Roman" w:eastAsia="宋体"/>
                      <w:b/>
                      <w:bCs/>
                      <w:color w:val="auto"/>
                      <w:spacing w:val="-2"/>
                      <w:sz w:val="21"/>
                      <w:highlight w:val="none"/>
                    </w:rPr>
                    <w:t>量</w:t>
                  </w:r>
                </w:p>
                <w:p w14:paraId="57B6FBF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pacing w:val="1"/>
                      <w:sz w:val="21"/>
                      <w:szCs w:val="20"/>
                      <w:highlight w:val="none"/>
                    </w:rPr>
                    <w:t>(t/a)</w:t>
                  </w:r>
                </w:p>
              </w:tc>
              <w:tc>
                <w:tcPr>
                  <w:tcW w:w="842" w:type="pct"/>
                  <w:tcBorders>
                    <w:bottom w:val="single" w:color="000000" w:sz="12" w:space="0"/>
                  </w:tcBorders>
                  <w:vAlign w:val="center"/>
                </w:tcPr>
                <w:p w14:paraId="75B62F6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position w:val="-1"/>
                      <w:sz w:val="21"/>
                      <w:highlight w:val="none"/>
                    </w:rPr>
                    <w:t>废活性炭</w:t>
                  </w:r>
                  <w:r>
                    <w:rPr>
                      <w:rFonts w:ascii="Times New Roman" w:hAnsi="Times New Roman" w:eastAsia="宋体" w:cs="Times New Roman"/>
                      <w:b/>
                      <w:bCs/>
                      <w:color w:val="auto"/>
                      <w:spacing w:val="5"/>
                      <w:position w:val="5"/>
                      <w:sz w:val="21"/>
                      <w:szCs w:val="13"/>
                      <w:highlight w:val="none"/>
                      <w:vertAlign w:val="superscript"/>
                    </w:rPr>
                    <w:t>[2]</w:t>
                  </w:r>
                  <w:r>
                    <w:rPr>
                      <w:rFonts w:ascii="Times New Roman" w:hAnsi="Times New Roman" w:eastAsia="宋体"/>
                      <w:b/>
                      <w:bCs/>
                      <w:color w:val="auto"/>
                      <w:spacing w:val="6"/>
                      <w:sz w:val="21"/>
                      <w:highlight w:val="none"/>
                    </w:rPr>
                    <w:t>理论产生量</w:t>
                  </w:r>
                </w:p>
                <w:p w14:paraId="313A1A2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pacing w:val="1"/>
                      <w:sz w:val="21"/>
                      <w:szCs w:val="20"/>
                      <w:highlight w:val="none"/>
                    </w:rPr>
                    <w:t>(t/a)</w:t>
                  </w:r>
                </w:p>
              </w:tc>
              <w:tc>
                <w:tcPr>
                  <w:tcW w:w="657" w:type="pct"/>
                  <w:tcBorders>
                    <w:bottom w:val="single" w:color="000000" w:sz="12" w:space="0"/>
                  </w:tcBorders>
                  <w:vAlign w:val="center"/>
                </w:tcPr>
                <w:p w14:paraId="3DE2C16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活性炭</w:t>
                  </w:r>
                </w:p>
                <w:p w14:paraId="27DDEFD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建议更</w:t>
                  </w:r>
                </w:p>
                <w:p w14:paraId="6E24B8E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z w:val="21"/>
                      <w:highlight w:val="none"/>
                      <w:lang w:val="en-US" w:eastAsia="zh-CN"/>
                    </w:rPr>
                  </w:pPr>
                  <w:r>
                    <w:rPr>
                      <w:rFonts w:ascii="Times New Roman" w:hAnsi="Times New Roman" w:eastAsia="宋体"/>
                      <w:b/>
                      <w:bCs/>
                      <w:color w:val="auto"/>
                      <w:spacing w:val="5"/>
                      <w:sz w:val="21"/>
                      <w:highlight w:val="none"/>
                    </w:rPr>
                    <w:t>换周期</w:t>
                  </w:r>
                  <w:r>
                    <w:rPr>
                      <w:rFonts w:hint="eastAsia" w:ascii="Times New Roman" w:hAnsi="Times New Roman"/>
                      <w:b/>
                      <w:bCs/>
                      <w:color w:val="auto"/>
                      <w:spacing w:val="5"/>
                      <w:sz w:val="21"/>
                      <w:highlight w:val="none"/>
                      <w:lang w:val="en-US" w:eastAsia="zh-CN"/>
                    </w:rPr>
                    <w:t>*</w:t>
                  </w:r>
                </w:p>
              </w:tc>
            </w:tr>
            <w:tr w14:paraId="279D96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29" w:type="pct"/>
                  <w:tcBorders>
                    <w:top w:val="single" w:color="000000" w:sz="12" w:space="0"/>
                    <w:bottom w:val="single" w:color="000000" w:sz="6" w:space="0"/>
                  </w:tcBorders>
                  <w:vAlign w:val="center"/>
                </w:tcPr>
                <w:p w14:paraId="5E5DCAA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z w:val="21"/>
                      <w:highlight w:val="none"/>
                    </w:rPr>
                    <w:t>DA</w:t>
                  </w:r>
                  <w:r>
                    <w:rPr>
                      <w:rFonts w:ascii="Times New Roman" w:hAnsi="Times New Roman" w:eastAsia="宋体" w:cs="Times New Roman"/>
                      <w:color w:val="auto"/>
                      <w:spacing w:val="6"/>
                      <w:sz w:val="21"/>
                      <w:highlight w:val="none"/>
                    </w:rPr>
                    <w:t>001</w:t>
                  </w:r>
                  <w:r>
                    <w:rPr>
                      <w:rFonts w:ascii="Times New Roman" w:hAnsi="Times New Roman" w:eastAsia="宋体"/>
                      <w:color w:val="auto"/>
                      <w:spacing w:val="6"/>
                      <w:sz w:val="21"/>
                      <w:highlight w:val="none"/>
                    </w:rPr>
                    <w:t>排</w:t>
                  </w:r>
                  <w:r>
                    <w:rPr>
                      <w:rFonts w:ascii="Times New Roman" w:hAnsi="Times New Roman" w:eastAsia="宋体"/>
                      <w:color w:val="auto"/>
                      <w:spacing w:val="7"/>
                      <w:sz w:val="21"/>
                      <w:highlight w:val="none"/>
                    </w:rPr>
                    <w:t>气筒配套</w:t>
                  </w:r>
                  <w:r>
                    <w:rPr>
                      <w:rFonts w:ascii="Times New Roman" w:hAnsi="Times New Roman" w:eastAsia="宋体"/>
                      <w:color w:val="auto"/>
                      <w:spacing w:val="6"/>
                      <w:sz w:val="21"/>
                      <w:highlight w:val="none"/>
                    </w:rPr>
                    <w:t>活性炭装</w:t>
                  </w:r>
                  <w:r>
                    <w:rPr>
                      <w:rFonts w:ascii="Times New Roman" w:hAnsi="Times New Roman" w:eastAsia="宋体"/>
                      <w:color w:val="auto"/>
                      <w:spacing w:val="2"/>
                      <w:sz w:val="21"/>
                      <w:highlight w:val="none"/>
                    </w:rPr>
                    <w:t>置</w:t>
                  </w:r>
                </w:p>
              </w:tc>
              <w:tc>
                <w:tcPr>
                  <w:tcW w:w="402" w:type="pct"/>
                  <w:tcBorders>
                    <w:top w:val="single" w:color="000000" w:sz="12" w:space="0"/>
                    <w:bottom w:val="single" w:color="000000" w:sz="6" w:space="0"/>
                  </w:tcBorders>
                  <w:vAlign w:val="center"/>
                </w:tcPr>
                <w:p w14:paraId="585E7C5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1</w:t>
                  </w:r>
                </w:p>
              </w:tc>
              <w:tc>
                <w:tcPr>
                  <w:tcW w:w="760" w:type="pct"/>
                  <w:tcBorders>
                    <w:top w:val="single" w:color="000000" w:sz="12" w:space="0"/>
                    <w:bottom w:val="single" w:color="000000" w:sz="6" w:space="0"/>
                  </w:tcBorders>
                  <w:vAlign w:val="center"/>
                </w:tcPr>
                <w:p w14:paraId="78A1224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0.5</w:t>
                  </w:r>
                </w:p>
              </w:tc>
              <w:tc>
                <w:tcPr>
                  <w:tcW w:w="884" w:type="pct"/>
                  <w:tcBorders>
                    <w:top w:val="single" w:color="000000" w:sz="12" w:space="0"/>
                    <w:bottom w:val="single" w:color="000000" w:sz="6" w:space="0"/>
                  </w:tcBorders>
                  <w:shd w:val="clear" w:color="auto" w:fill="auto"/>
                  <w:vAlign w:val="center"/>
                </w:tcPr>
                <w:p w14:paraId="2D5D774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color w:val="auto"/>
                      <w:position w:val="1"/>
                      <w:sz w:val="21"/>
                      <w:szCs w:val="20"/>
                      <w:highlight w:val="none"/>
                      <w:lang w:val="en-US" w:eastAsia="zh-CN"/>
                    </w:rPr>
                    <w:t>0.6354</w:t>
                  </w:r>
                </w:p>
              </w:tc>
              <w:tc>
                <w:tcPr>
                  <w:tcW w:w="723" w:type="pct"/>
                  <w:tcBorders>
                    <w:top w:val="single" w:color="000000" w:sz="12" w:space="0"/>
                    <w:bottom w:val="single" w:color="000000" w:sz="6" w:space="0"/>
                  </w:tcBorders>
                  <w:vAlign w:val="center"/>
                </w:tcPr>
                <w:p w14:paraId="2A69B5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2.118</w:t>
                  </w:r>
                </w:p>
              </w:tc>
              <w:tc>
                <w:tcPr>
                  <w:tcW w:w="842" w:type="pct"/>
                  <w:tcBorders>
                    <w:top w:val="single" w:color="000000" w:sz="12" w:space="0"/>
                    <w:bottom w:val="single" w:color="000000" w:sz="6" w:space="0"/>
                  </w:tcBorders>
                  <w:vAlign w:val="center"/>
                </w:tcPr>
                <w:p w14:paraId="21E2BF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2.7534</w:t>
                  </w:r>
                </w:p>
              </w:tc>
              <w:tc>
                <w:tcPr>
                  <w:tcW w:w="657" w:type="pct"/>
                  <w:tcBorders>
                    <w:top w:val="single" w:color="000000" w:sz="12" w:space="0"/>
                    <w:bottom w:val="single" w:color="000000" w:sz="6" w:space="0"/>
                  </w:tcBorders>
                  <w:vAlign w:val="center"/>
                </w:tcPr>
                <w:p w14:paraId="063A2B1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每</w:t>
                  </w:r>
                  <w:r>
                    <w:rPr>
                      <w:rFonts w:hint="eastAsia" w:ascii="Times New Roman" w:hAnsi="Times New Roman"/>
                      <w:color w:val="auto"/>
                      <w:spacing w:val="6"/>
                      <w:sz w:val="21"/>
                      <w:highlight w:val="none"/>
                      <w:lang w:val="en-US" w:eastAsia="zh-CN"/>
                    </w:rPr>
                    <w:t>1个月</w:t>
                  </w:r>
                  <w:r>
                    <w:rPr>
                      <w:rFonts w:ascii="Times New Roman" w:hAnsi="Times New Roman" w:eastAsia="宋体"/>
                      <w:color w:val="auto"/>
                      <w:spacing w:val="6"/>
                      <w:sz w:val="21"/>
                      <w:highlight w:val="none"/>
                    </w:rPr>
                    <w:t>更</w:t>
                  </w:r>
                </w:p>
                <w:p w14:paraId="1876B21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position w:val="1"/>
                      <w:sz w:val="21"/>
                      <w:highlight w:val="none"/>
                    </w:rPr>
                    <w:t>换</w:t>
                  </w:r>
                  <w:r>
                    <w:rPr>
                      <w:rFonts w:ascii="Times New Roman" w:hAnsi="Times New Roman" w:eastAsia="宋体" w:cs="Times New Roman"/>
                      <w:color w:val="auto"/>
                      <w:spacing w:val="-7"/>
                      <w:position w:val="1"/>
                      <w:sz w:val="21"/>
                      <w:highlight w:val="none"/>
                    </w:rPr>
                    <w:t>1</w:t>
                  </w:r>
                  <w:r>
                    <w:rPr>
                      <w:rFonts w:ascii="Times New Roman" w:hAnsi="Times New Roman" w:eastAsia="宋体"/>
                      <w:color w:val="auto"/>
                      <w:spacing w:val="-7"/>
                      <w:position w:val="1"/>
                      <w:sz w:val="21"/>
                      <w:highlight w:val="none"/>
                    </w:rPr>
                    <w:t>次</w:t>
                  </w:r>
                </w:p>
              </w:tc>
            </w:tr>
            <w:tr w14:paraId="249D5C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29" w:type="pct"/>
                  <w:tcBorders>
                    <w:top w:val="single" w:color="000000" w:sz="6" w:space="0"/>
                    <w:tl2br w:val="nil"/>
                    <w:tr2bl w:val="nil"/>
                  </w:tcBorders>
                  <w:vAlign w:val="center"/>
                </w:tcPr>
                <w:p w14:paraId="4C79400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hint="eastAsia" w:ascii="Times New Roman" w:hAnsi="Times New Roman" w:cs="Times New Roman"/>
                      <w:color w:val="auto"/>
                      <w:sz w:val="21"/>
                      <w:highlight w:val="none"/>
                      <w:lang w:eastAsia="zh-CN"/>
                    </w:rPr>
                    <w:t>DA002</w:t>
                  </w:r>
                  <w:r>
                    <w:rPr>
                      <w:rFonts w:ascii="Times New Roman" w:hAnsi="Times New Roman" w:eastAsia="宋体"/>
                      <w:color w:val="auto"/>
                      <w:spacing w:val="6"/>
                      <w:sz w:val="21"/>
                      <w:highlight w:val="none"/>
                    </w:rPr>
                    <w:t>排</w:t>
                  </w:r>
                  <w:r>
                    <w:rPr>
                      <w:rFonts w:ascii="Times New Roman" w:hAnsi="Times New Roman" w:eastAsia="宋体"/>
                      <w:color w:val="auto"/>
                      <w:spacing w:val="7"/>
                      <w:sz w:val="21"/>
                      <w:highlight w:val="none"/>
                    </w:rPr>
                    <w:t>气筒配套</w:t>
                  </w:r>
                  <w:r>
                    <w:rPr>
                      <w:rFonts w:ascii="Times New Roman" w:hAnsi="Times New Roman" w:eastAsia="宋体"/>
                      <w:color w:val="auto"/>
                      <w:spacing w:val="6"/>
                      <w:sz w:val="21"/>
                      <w:highlight w:val="none"/>
                    </w:rPr>
                    <w:t>活性炭装</w:t>
                  </w:r>
                  <w:r>
                    <w:rPr>
                      <w:rFonts w:ascii="Times New Roman" w:hAnsi="Times New Roman" w:eastAsia="宋体"/>
                      <w:color w:val="auto"/>
                      <w:spacing w:val="2"/>
                      <w:sz w:val="21"/>
                      <w:highlight w:val="none"/>
                    </w:rPr>
                    <w:t>置</w:t>
                  </w:r>
                </w:p>
              </w:tc>
              <w:tc>
                <w:tcPr>
                  <w:tcW w:w="402" w:type="pct"/>
                  <w:tcBorders>
                    <w:top w:val="single" w:color="000000" w:sz="6" w:space="0"/>
                    <w:tl2br w:val="nil"/>
                    <w:tr2bl w:val="nil"/>
                  </w:tcBorders>
                  <w:vAlign w:val="center"/>
                </w:tcPr>
                <w:p w14:paraId="684A6E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w:t>
                  </w:r>
                </w:p>
              </w:tc>
              <w:tc>
                <w:tcPr>
                  <w:tcW w:w="760" w:type="pct"/>
                  <w:tcBorders>
                    <w:top w:val="single" w:color="000000" w:sz="6" w:space="0"/>
                    <w:tl2br w:val="nil"/>
                    <w:tr2bl w:val="nil"/>
                  </w:tcBorders>
                  <w:vAlign w:val="center"/>
                </w:tcPr>
                <w:p w14:paraId="461280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spacing w:val="1"/>
                      <w:position w:val="2"/>
                      <w:sz w:val="21"/>
                      <w:szCs w:val="20"/>
                      <w:highlight w:val="none"/>
                      <w:lang w:val="en-US" w:eastAsia="zh-CN"/>
                    </w:rPr>
                  </w:pPr>
                  <w:r>
                    <w:rPr>
                      <w:rFonts w:hint="eastAsia" w:cs="Times New Roman"/>
                      <w:color w:val="auto"/>
                      <w:spacing w:val="1"/>
                      <w:position w:val="2"/>
                      <w:sz w:val="21"/>
                      <w:szCs w:val="20"/>
                      <w:highlight w:val="none"/>
                      <w:lang w:val="en-US" w:eastAsia="zh-CN"/>
                    </w:rPr>
                    <w:t>1.0</w:t>
                  </w:r>
                </w:p>
              </w:tc>
              <w:tc>
                <w:tcPr>
                  <w:tcW w:w="884" w:type="pct"/>
                  <w:tcBorders>
                    <w:top w:val="single" w:color="000000" w:sz="6" w:space="0"/>
                    <w:tl2br w:val="nil"/>
                    <w:tr2bl w:val="nil"/>
                  </w:tcBorders>
                  <w:shd w:val="clear" w:color="auto" w:fill="auto"/>
                  <w:vAlign w:val="center"/>
                </w:tcPr>
                <w:p w14:paraId="2FEBBD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position w:val="1"/>
                      <w:sz w:val="21"/>
                      <w:szCs w:val="20"/>
                      <w:highlight w:val="none"/>
                      <w:lang w:val="en-US" w:eastAsia="zh-CN"/>
                    </w:rPr>
                  </w:pPr>
                  <w:r>
                    <w:rPr>
                      <w:rFonts w:hint="eastAsia" w:ascii="Times New Roman" w:hAnsi="Times New Roman" w:eastAsia="宋体" w:cs="Times New Roman"/>
                      <w:color w:val="auto"/>
                      <w:position w:val="1"/>
                      <w:sz w:val="21"/>
                      <w:szCs w:val="20"/>
                      <w:highlight w:val="none"/>
                      <w:lang w:val="en-US" w:eastAsia="zh-CN"/>
                    </w:rPr>
                    <w:t>1.2015</w:t>
                  </w:r>
                </w:p>
              </w:tc>
              <w:tc>
                <w:tcPr>
                  <w:tcW w:w="723" w:type="pct"/>
                  <w:tcBorders>
                    <w:top w:val="single" w:color="000000" w:sz="6" w:space="0"/>
                    <w:tl2br w:val="nil"/>
                    <w:tr2bl w:val="nil"/>
                  </w:tcBorders>
                  <w:vAlign w:val="center"/>
                </w:tcPr>
                <w:p w14:paraId="37946F6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4.005</w:t>
                  </w:r>
                </w:p>
              </w:tc>
              <w:tc>
                <w:tcPr>
                  <w:tcW w:w="842" w:type="pct"/>
                  <w:tcBorders>
                    <w:top w:val="single" w:color="000000" w:sz="6" w:space="0"/>
                    <w:tl2br w:val="nil"/>
                    <w:tr2bl w:val="nil"/>
                  </w:tcBorders>
                  <w:vAlign w:val="center"/>
                </w:tcPr>
                <w:p w14:paraId="12CAA4D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spacing w:val="3"/>
                      <w:position w:val="2"/>
                      <w:sz w:val="21"/>
                      <w:szCs w:val="20"/>
                      <w:highlight w:val="none"/>
                      <w:lang w:val="en-US" w:eastAsia="zh-CN"/>
                    </w:rPr>
                  </w:pPr>
                  <w:r>
                    <w:rPr>
                      <w:rFonts w:hint="eastAsia" w:cs="Times New Roman"/>
                      <w:color w:val="auto"/>
                      <w:spacing w:val="3"/>
                      <w:position w:val="2"/>
                      <w:sz w:val="21"/>
                      <w:szCs w:val="20"/>
                      <w:highlight w:val="none"/>
                      <w:lang w:val="en-US" w:eastAsia="zh-CN"/>
                    </w:rPr>
                    <w:t>5.2065</w:t>
                  </w:r>
                </w:p>
              </w:tc>
              <w:tc>
                <w:tcPr>
                  <w:tcW w:w="657" w:type="pct"/>
                  <w:tcBorders>
                    <w:top w:val="single" w:color="000000" w:sz="6" w:space="0"/>
                    <w:tl2br w:val="nil"/>
                    <w:tr2bl w:val="nil"/>
                  </w:tcBorders>
                  <w:vAlign w:val="center"/>
                </w:tcPr>
                <w:p w14:paraId="42C0A4D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每</w:t>
                  </w:r>
                  <w:r>
                    <w:rPr>
                      <w:rFonts w:hint="eastAsia" w:ascii="Times New Roman" w:hAnsi="Times New Roman"/>
                      <w:color w:val="auto"/>
                      <w:spacing w:val="6"/>
                      <w:sz w:val="21"/>
                      <w:highlight w:val="none"/>
                      <w:lang w:val="en-US" w:eastAsia="zh-CN"/>
                    </w:rPr>
                    <w:t>1个月</w:t>
                  </w:r>
                  <w:r>
                    <w:rPr>
                      <w:rFonts w:ascii="Times New Roman" w:hAnsi="Times New Roman" w:eastAsia="宋体"/>
                      <w:color w:val="auto"/>
                      <w:spacing w:val="6"/>
                      <w:sz w:val="21"/>
                      <w:highlight w:val="none"/>
                    </w:rPr>
                    <w:t>更</w:t>
                  </w:r>
                </w:p>
                <w:p w14:paraId="0F8AAA1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pacing w:val="-7"/>
                      <w:position w:val="1"/>
                      <w:sz w:val="21"/>
                      <w:highlight w:val="none"/>
                    </w:rPr>
                  </w:pPr>
                  <w:r>
                    <w:rPr>
                      <w:rFonts w:ascii="Times New Roman" w:hAnsi="Times New Roman" w:eastAsia="宋体"/>
                      <w:color w:val="auto"/>
                      <w:spacing w:val="-7"/>
                      <w:position w:val="1"/>
                      <w:sz w:val="21"/>
                      <w:highlight w:val="none"/>
                    </w:rPr>
                    <w:t>换</w:t>
                  </w:r>
                  <w:r>
                    <w:rPr>
                      <w:rFonts w:ascii="Times New Roman" w:hAnsi="Times New Roman" w:eastAsia="宋体" w:cs="Times New Roman"/>
                      <w:color w:val="auto"/>
                      <w:spacing w:val="-7"/>
                      <w:position w:val="1"/>
                      <w:sz w:val="21"/>
                      <w:highlight w:val="none"/>
                    </w:rPr>
                    <w:t>1</w:t>
                  </w:r>
                  <w:r>
                    <w:rPr>
                      <w:rFonts w:ascii="Times New Roman" w:hAnsi="Times New Roman" w:eastAsia="宋体"/>
                      <w:color w:val="auto"/>
                      <w:spacing w:val="-7"/>
                      <w:position w:val="1"/>
                      <w:sz w:val="21"/>
                      <w:highlight w:val="none"/>
                    </w:rPr>
                    <w:t>次</w:t>
                  </w:r>
                </w:p>
              </w:tc>
            </w:tr>
            <w:tr w14:paraId="7CC563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5000" w:type="pct"/>
                  <w:gridSpan w:val="7"/>
                  <w:tcBorders>
                    <w:tl2br w:val="nil"/>
                    <w:tr2bl w:val="nil"/>
                  </w:tcBorders>
                  <w:vAlign w:val="center"/>
                </w:tcPr>
                <w:p w14:paraId="2ED19BC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ascii="Times New Roman" w:hAnsi="Times New Roman" w:eastAsia="宋体"/>
                      <w:color w:val="auto"/>
                      <w:sz w:val="21"/>
                      <w:highlight w:val="none"/>
                    </w:rPr>
                  </w:pPr>
                  <w:r>
                    <w:rPr>
                      <w:rFonts w:ascii="Times New Roman" w:hAnsi="Times New Roman" w:eastAsia="宋体"/>
                      <w:color w:val="auto"/>
                      <w:spacing w:val="10"/>
                      <w:sz w:val="21"/>
                      <w:highlight w:val="none"/>
                    </w:rPr>
                    <w:t>注：</w:t>
                  </w:r>
                  <w:r>
                    <w:rPr>
                      <w:rFonts w:ascii="Times New Roman" w:hAnsi="Times New Roman" w:eastAsia="宋体" w:cs="Times New Roman"/>
                      <w:color w:val="auto"/>
                      <w:spacing w:val="10"/>
                      <w:sz w:val="21"/>
                      <w:highlight w:val="none"/>
                    </w:rPr>
                    <w:t>[1]</w:t>
                  </w:r>
                  <w:r>
                    <w:rPr>
                      <w:rFonts w:ascii="Times New Roman" w:hAnsi="Times New Roman" w:eastAsia="宋体"/>
                      <w:color w:val="auto"/>
                      <w:spacing w:val="10"/>
                      <w:sz w:val="21"/>
                      <w:highlight w:val="none"/>
                    </w:rPr>
                    <w:t>活性炭对有机废气的吸附比例取</w:t>
                  </w:r>
                  <w:r>
                    <w:rPr>
                      <w:rFonts w:ascii="Times New Roman" w:hAnsi="Times New Roman" w:eastAsia="宋体" w:cs="Times New Roman"/>
                      <w:color w:val="auto"/>
                      <w:spacing w:val="10"/>
                      <w:sz w:val="21"/>
                      <w:highlight w:val="none"/>
                    </w:rPr>
                    <w:t>3</w:t>
                  </w:r>
                  <w:r>
                    <w:rPr>
                      <w:rFonts w:ascii="Times New Roman" w:hAnsi="Times New Roman" w:eastAsia="宋体" w:cs="Times New Roman"/>
                      <w:color w:val="auto"/>
                      <w:spacing w:val="9"/>
                      <w:sz w:val="21"/>
                      <w:highlight w:val="none"/>
                    </w:rPr>
                    <w:t>0%</w:t>
                  </w:r>
                  <w:r>
                    <w:rPr>
                      <w:rFonts w:ascii="Times New Roman" w:hAnsi="Times New Roman" w:eastAsia="宋体"/>
                      <w:color w:val="auto"/>
                      <w:spacing w:val="9"/>
                      <w:sz w:val="21"/>
                      <w:highlight w:val="none"/>
                    </w:rPr>
                    <w:t>，则活性炭理论更换量</w:t>
                  </w:r>
                  <w:r>
                    <w:rPr>
                      <w:rFonts w:ascii="Times New Roman" w:hAnsi="Times New Roman" w:eastAsia="宋体" w:cs="Times New Roman"/>
                      <w:color w:val="auto"/>
                      <w:spacing w:val="9"/>
                      <w:sz w:val="21"/>
                      <w:highlight w:val="none"/>
                    </w:rPr>
                    <w:t>=</w:t>
                  </w:r>
                  <w:r>
                    <w:rPr>
                      <w:rFonts w:ascii="Times New Roman" w:hAnsi="Times New Roman" w:eastAsia="宋体"/>
                      <w:color w:val="auto"/>
                      <w:spacing w:val="9"/>
                      <w:sz w:val="21"/>
                      <w:highlight w:val="none"/>
                    </w:rPr>
                    <w:t>废气理论吸附量</w:t>
                  </w:r>
                  <w:r>
                    <w:rPr>
                      <w:rFonts w:ascii="Times New Roman" w:hAnsi="Times New Roman" w:eastAsia="宋体" w:cs="Times New Roman"/>
                      <w:color w:val="auto"/>
                      <w:spacing w:val="2"/>
                      <w:sz w:val="21"/>
                      <w:highlight w:val="none"/>
                    </w:rPr>
                    <w:t>/0.3</w:t>
                  </w:r>
                  <w:r>
                    <w:rPr>
                      <w:rFonts w:ascii="Times New Roman" w:hAnsi="Times New Roman" w:eastAsia="宋体"/>
                      <w:color w:val="auto"/>
                      <w:spacing w:val="2"/>
                      <w:sz w:val="21"/>
                      <w:highlight w:val="none"/>
                    </w:rPr>
                    <w:t>。</w:t>
                  </w:r>
                </w:p>
                <w:p w14:paraId="09E48B3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ascii="Times New Roman" w:hAnsi="Times New Roman" w:eastAsia="宋体"/>
                      <w:color w:val="auto"/>
                      <w:sz w:val="21"/>
                      <w:highlight w:val="none"/>
                    </w:rPr>
                  </w:pPr>
                  <w:r>
                    <w:rPr>
                      <w:rFonts w:ascii="Times New Roman" w:hAnsi="Times New Roman" w:eastAsia="宋体" w:cs="Times New Roman"/>
                      <w:color w:val="auto"/>
                      <w:spacing w:val="8"/>
                      <w:position w:val="2"/>
                      <w:sz w:val="21"/>
                      <w:highlight w:val="none"/>
                    </w:rPr>
                    <w:t>[2]</w:t>
                  </w:r>
                  <w:r>
                    <w:rPr>
                      <w:rFonts w:ascii="Times New Roman" w:hAnsi="Times New Roman" w:eastAsia="宋体"/>
                      <w:color w:val="auto"/>
                      <w:spacing w:val="8"/>
                      <w:position w:val="2"/>
                      <w:sz w:val="21"/>
                      <w:highlight w:val="none"/>
                    </w:rPr>
                    <w:t>废活性炭理论产生量</w:t>
                  </w:r>
                  <w:r>
                    <w:rPr>
                      <w:rFonts w:ascii="Times New Roman" w:hAnsi="Times New Roman" w:eastAsia="宋体" w:cs="Times New Roman"/>
                      <w:color w:val="auto"/>
                      <w:spacing w:val="8"/>
                      <w:position w:val="2"/>
                      <w:sz w:val="21"/>
                      <w:highlight w:val="none"/>
                    </w:rPr>
                    <w:t>=</w:t>
                  </w:r>
                  <w:r>
                    <w:rPr>
                      <w:rFonts w:ascii="Times New Roman" w:hAnsi="Times New Roman" w:eastAsia="宋体"/>
                      <w:color w:val="auto"/>
                      <w:spacing w:val="8"/>
                      <w:position w:val="2"/>
                      <w:sz w:val="21"/>
                      <w:highlight w:val="none"/>
                    </w:rPr>
                    <w:t>有机废气理论吸附量</w:t>
                  </w:r>
                  <w:r>
                    <w:rPr>
                      <w:rFonts w:ascii="Times New Roman" w:hAnsi="Times New Roman" w:eastAsia="宋体" w:cs="Times New Roman"/>
                      <w:color w:val="auto"/>
                      <w:spacing w:val="8"/>
                      <w:position w:val="2"/>
                      <w:sz w:val="21"/>
                      <w:highlight w:val="none"/>
                    </w:rPr>
                    <w:t>+</w:t>
                  </w:r>
                  <w:r>
                    <w:rPr>
                      <w:rFonts w:ascii="Times New Roman" w:hAnsi="Times New Roman" w:eastAsia="宋体"/>
                      <w:color w:val="auto"/>
                      <w:spacing w:val="8"/>
                      <w:position w:val="2"/>
                      <w:sz w:val="21"/>
                      <w:highlight w:val="none"/>
                    </w:rPr>
                    <w:t>活性炭填充量</w:t>
                  </w:r>
                  <w:r>
                    <w:rPr>
                      <w:rFonts w:ascii="Times New Roman" w:hAnsi="Times New Roman" w:eastAsia="宋体" w:cs="Times New Roman"/>
                      <w:color w:val="auto"/>
                      <w:spacing w:val="8"/>
                      <w:position w:val="2"/>
                      <w:sz w:val="21"/>
                      <w:highlight w:val="none"/>
                    </w:rPr>
                    <w:t>*</w:t>
                  </w:r>
                  <w:r>
                    <w:rPr>
                      <w:rFonts w:ascii="Times New Roman" w:hAnsi="Times New Roman" w:eastAsia="宋体"/>
                      <w:color w:val="auto"/>
                      <w:spacing w:val="8"/>
                      <w:position w:val="2"/>
                      <w:sz w:val="21"/>
                      <w:highlight w:val="none"/>
                    </w:rPr>
                    <w:t>每年更换次数。</w:t>
                  </w:r>
                </w:p>
              </w:tc>
            </w:tr>
          </w:tbl>
          <w:p w14:paraId="6A3BE943">
            <w:pPr>
              <w:pStyle w:val="115"/>
              <w:spacing w:before="78" w:line="220" w:lineRule="auto"/>
              <w:rPr>
                <w:rFonts w:hint="default" w:ascii="Times New Roman" w:hAnsi="Times New Roman" w:eastAsia="宋体" w:cs="宋体"/>
                <w:color w:val="auto"/>
                <w:kern w:val="0"/>
                <w:sz w:val="24"/>
                <w:szCs w:val="20"/>
                <w:highlight w:val="none"/>
                <w:lang w:val="en-US" w:eastAsia="zh-CN" w:bidi="ar-SA"/>
              </w:rPr>
            </w:pPr>
            <w:r>
              <w:rPr>
                <w:rFonts w:hint="eastAsia" w:ascii="Times New Roman" w:hAnsi="Times New Roman"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zh-CN" w:eastAsia="zh-CN" w:bidi="ar-SA"/>
              </w:rPr>
              <w:t>活性炭的更换周期计算</w:t>
            </w:r>
            <w:r>
              <w:rPr>
                <w:rFonts w:hint="eastAsia" w:ascii="Times New Roman" w:hAnsi="Times New Roman" w:cs="宋体"/>
                <w:color w:val="auto"/>
                <w:kern w:val="0"/>
                <w:sz w:val="24"/>
                <w:szCs w:val="20"/>
                <w:highlight w:val="none"/>
                <w:lang w:val="en-US" w:eastAsia="zh-CN" w:bidi="ar-SA"/>
              </w:rPr>
              <w:t>如下：</w:t>
            </w:r>
          </w:p>
          <w:p w14:paraId="298DECC0">
            <w:pPr>
              <w:pStyle w:val="115"/>
              <w:spacing w:before="78" w:line="220" w:lineRule="auto"/>
              <w:ind w:left="1268"/>
              <w:rPr>
                <w:b/>
                <w:bCs/>
                <w:color w:val="auto"/>
                <w:spacing w:val="-1"/>
                <w:sz w:val="24"/>
                <w:szCs w:val="24"/>
                <w:highlight w:val="none"/>
              </w:rPr>
            </w:pPr>
            <w:r>
              <w:rPr>
                <w:color w:val="auto"/>
              </w:rPr>
              <w:drawing>
                <wp:inline distT="0" distB="0" distL="114300" distR="114300">
                  <wp:extent cx="1757680" cy="800100"/>
                  <wp:effectExtent l="0" t="0" r="13970" b="0"/>
                  <wp:docPr id="241" name="图片 241" descr="C:\Users\Administrator\Desktop\图\活性炭计算\微信图片_20201102093110.png微信图片_20201102093110"/>
                  <wp:cNvGraphicFramePr/>
                  <a:graphic xmlns:a="http://schemas.openxmlformats.org/drawingml/2006/main">
                    <a:graphicData uri="http://schemas.openxmlformats.org/drawingml/2006/picture">
                      <pic:pic xmlns:pic="http://schemas.openxmlformats.org/drawingml/2006/picture">
                        <pic:nvPicPr>
                          <pic:cNvPr id="241" name="图片 241" descr="C:\Users\Administrator\Desktop\图\活性炭计算\微信图片_20201102093110.png微信图片_20201102093110"/>
                          <pic:cNvPicPr/>
                        </pic:nvPicPr>
                        <pic:blipFill>
                          <a:blip r:embed="rId21"/>
                          <a:srcRect l="-314" t="-635" r="314" b="-4201"/>
                          <a:stretch>
                            <a:fillRect/>
                          </a:stretch>
                        </pic:blipFill>
                        <pic:spPr>
                          <a:xfrm>
                            <a:off x="0" y="0"/>
                            <a:ext cx="1757680" cy="800100"/>
                          </a:xfrm>
                          <a:prstGeom prst="rect">
                            <a:avLst/>
                          </a:prstGeom>
                          <a:noFill/>
                          <a:ln>
                            <a:noFill/>
                          </a:ln>
                          <a:effectLst/>
                        </pic:spPr>
                      </pic:pic>
                    </a:graphicData>
                  </a:graphic>
                </wp:inline>
              </w:drawing>
            </w:r>
          </w:p>
          <w:p w14:paraId="3CDEDB79">
            <w:pPr>
              <w:pStyle w:val="46"/>
              <w:bidi w:val="0"/>
              <w:rPr>
                <w:rFonts w:hint="eastAsia"/>
                <w:color w:val="auto"/>
                <w:highlight w:val="none"/>
              </w:rPr>
            </w:pPr>
            <w:r>
              <w:rPr>
                <w:rFonts w:hint="eastAsia"/>
                <w:color w:val="auto"/>
                <w:highlight w:val="none"/>
              </w:rPr>
              <w:t>公式中：T—更换周期，天；</w:t>
            </w:r>
          </w:p>
          <w:p w14:paraId="4BD89CEE">
            <w:pPr>
              <w:pStyle w:val="46"/>
              <w:bidi w:val="0"/>
              <w:rPr>
                <w:rFonts w:hint="eastAsia"/>
                <w:color w:val="auto"/>
                <w:highlight w:val="none"/>
              </w:rPr>
            </w:pPr>
            <w:r>
              <w:rPr>
                <w:rFonts w:hint="eastAsia"/>
                <w:color w:val="auto"/>
                <w:highlight w:val="none"/>
              </w:rPr>
              <w:t>m—活性炭的用量，kg；</w:t>
            </w:r>
          </w:p>
          <w:p w14:paraId="757D7BCB">
            <w:pPr>
              <w:pStyle w:val="46"/>
              <w:bidi w:val="0"/>
              <w:rPr>
                <w:rFonts w:hint="eastAsia"/>
                <w:color w:val="auto"/>
                <w:highlight w:val="none"/>
              </w:rPr>
            </w:pPr>
            <w:r>
              <w:rPr>
                <w:rFonts w:hint="eastAsia"/>
                <w:color w:val="auto"/>
                <w:highlight w:val="none"/>
              </w:rPr>
              <w:t>s—动态吸附量，%；（一般取值10%）</w:t>
            </w:r>
          </w:p>
          <w:p w14:paraId="64D4BF0A">
            <w:pPr>
              <w:pStyle w:val="46"/>
              <w:bidi w:val="0"/>
              <w:rPr>
                <w:rFonts w:hint="eastAsia"/>
                <w:color w:val="auto"/>
                <w:highlight w:val="none"/>
              </w:rPr>
            </w:pPr>
            <w:r>
              <w:rPr>
                <w:rFonts w:hint="eastAsia"/>
                <w:color w:val="auto"/>
                <w:highlight w:val="none"/>
              </w:rPr>
              <w:t>c—活性炭削减的VOCs浓度，mg/m</w:t>
            </w:r>
            <w:r>
              <w:rPr>
                <w:rFonts w:hint="eastAsia"/>
                <w:color w:val="auto"/>
                <w:highlight w:val="none"/>
                <w:vertAlign w:val="superscript"/>
              </w:rPr>
              <w:t>3</w:t>
            </w:r>
            <w:r>
              <w:rPr>
                <w:rFonts w:hint="eastAsia"/>
                <w:color w:val="auto"/>
                <w:highlight w:val="none"/>
              </w:rPr>
              <w:t>；</w:t>
            </w:r>
          </w:p>
          <w:p w14:paraId="62A51842">
            <w:pPr>
              <w:pStyle w:val="46"/>
              <w:bidi w:val="0"/>
              <w:rPr>
                <w:rFonts w:hint="eastAsia"/>
                <w:color w:val="auto"/>
                <w:highlight w:val="none"/>
              </w:rPr>
            </w:pPr>
            <w:r>
              <w:rPr>
                <w:rFonts w:hint="eastAsia"/>
                <w:color w:val="auto"/>
                <w:highlight w:val="none"/>
              </w:rPr>
              <w:t>Q—风量，单位m</w:t>
            </w:r>
            <w:r>
              <w:rPr>
                <w:rFonts w:hint="eastAsia"/>
                <w:color w:val="auto"/>
                <w:highlight w:val="none"/>
                <w:vertAlign w:val="superscript"/>
              </w:rPr>
              <w:t>3</w:t>
            </w:r>
            <w:r>
              <w:rPr>
                <w:rFonts w:hint="eastAsia"/>
                <w:color w:val="auto"/>
                <w:highlight w:val="none"/>
              </w:rPr>
              <w:t>/h；</w:t>
            </w:r>
          </w:p>
          <w:p w14:paraId="326D832A">
            <w:pPr>
              <w:pStyle w:val="46"/>
              <w:bidi w:val="0"/>
              <w:rPr>
                <w:rFonts w:hint="eastAsia"/>
                <w:color w:val="auto"/>
                <w:highlight w:val="none"/>
              </w:rPr>
            </w:pPr>
            <w:r>
              <w:rPr>
                <w:rFonts w:hint="eastAsia"/>
                <w:color w:val="auto"/>
                <w:highlight w:val="none"/>
              </w:rPr>
              <w:t>t—运行时间，单位h/d。</w:t>
            </w:r>
          </w:p>
          <w:p w14:paraId="36CAA508">
            <w:pPr>
              <w:pStyle w:val="46"/>
              <w:bidi w:val="0"/>
              <w:rPr>
                <w:rFonts w:hint="default" w:eastAsia="宋体"/>
                <w:color w:val="auto"/>
                <w:highlight w:val="none"/>
                <w:lang w:val="en-US" w:eastAsia="zh-CN"/>
              </w:rPr>
            </w:pPr>
            <w:r>
              <w:rPr>
                <w:rFonts w:hint="eastAsia"/>
                <w:color w:val="auto"/>
                <w:highlight w:val="none"/>
                <w:lang w:val="en-US" w:eastAsia="zh-CN"/>
              </w:rPr>
              <w:t>即本项目DA001排气筒</w:t>
            </w:r>
            <w:r>
              <w:rPr>
                <w:rFonts w:hint="eastAsia" w:ascii="Times New Roman" w:hAnsi="Times New Roman" w:eastAsia="宋体" w:cs="宋体"/>
                <w:color w:val="auto"/>
                <w:kern w:val="0"/>
                <w:sz w:val="24"/>
                <w:szCs w:val="20"/>
                <w:highlight w:val="none"/>
                <w:lang w:val="zh-CN" w:eastAsia="zh-CN" w:bidi="ar-SA"/>
              </w:rPr>
              <w:t>活性炭的更换周期</w:t>
            </w:r>
            <w:r>
              <w:rPr>
                <w:rFonts w:hint="eastAsia" w:cs="宋体"/>
                <w:color w:val="auto"/>
                <w:kern w:val="0"/>
                <w:sz w:val="24"/>
                <w:szCs w:val="20"/>
                <w:highlight w:val="none"/>
                <w:lang w:val="en-US" w:eastAsia="zh-CN" w:bidi="ar-SA"/>
              </w:rPr>
              <w:t>=500*0.1/（26.4769*10</w:t>
            </w:r>
            <w:r>
              <w:rPr>
                <w:rFonts w:hint="eastAsia" w:cs="宋体"/>
                <w:color w:val="auto"/>
                <w:kern w:val="0"/>
                <w:sz w:val="24"/>
                <w:szCs w:val="20"/>
                <w:highlight w:val="none"/>
                <w:vertAlign w:val="superscript"/>
                <w:lang w:val="en-US" w:eastAsia="zh-CN" w:bidi="ar-SA"/>
              </w:rPr>
              <w:t>-6</w:t>
            </w:r>
            <w:r>
              <w:rPr>
                <w:rFonts w:hint="eastAsia" w:cs="宋体"/>
                <w:color w:val="auto"/>
                <w:kern w:val="0"/>
                <w:sz w:val="24"/>
                <w:szCs w:val="20"/>
                <w:highlight w:val="none"/>
                <w:lang w:val="en-US" w:eastAsia="zh-CN" w:bidi="ar-SA"/>
              </w:rPr>
              <w:t>*10000*8）=23.6d；</w:t>
            </w:r>
            <w:r>
              <w:rPr>
                <w:rFonts w:hint="eastAsia"/>
                <w:color w:val="auto"/>
                <w:highlight w:val="none"/>
                <w:lang w:val="en-US" w:eastAsia="zh-CN"/>
              </w:rPr>
              <w:t>DA002排气筒</w:t>
            </w:r>
            <w:r>
              <w:rPr>
                <w:rFonts w:hint="eastAsia" w:ascii="Times New Roman" w:hAnsi="Times New Roman" w:eastAsia="宋体" w:cs="宋体"/>
                <w:color w:val="auto"/>
                <w:kern w:val="0"/>
                <w:sz w:val="24"/>
                <w:szCs w:val="20"/>
                <w:highlight w:val="none"/>
                <w:lang w:val="zh-CN" w:eastAsia="zh-CN" w:bidi="ar-SA"/>
              </w:rPr>
              <w:t>活性炭的更换周期</w:t>
            </w:r>
            <w:r>
              <w:rPr>
                <w:rFonts w:hint="eastAsia" w:cs="宋体"/>
                <w:color w:val="auto"/>
                <w:kern w:val="0"/>
                <w:sz w:val="24"/>
                <w:szCs w:val="20"/>
                <w:highlight w:val="none"/>
                <w:lang w:val="en-US" w:eastAsia="zh-CN" w:bidi="ar-SA"/>
              </w:rPr>
              <w:t>=1000*0.10/（27.5*10</w:t>
            </w:r>
            <w:r>
              <w:rPr>
                <w:rFonts w:hint="eastAsia" w:cs="宋体"/>
                <w:color w:val="auto"/>
                <w:kern w:val="0"/>
                <w:sz w:val="24"/>
                <w:szCs w:val="20"/>
                <w:highlight w:val="none"/>
                <w:vertAlign w:val="superscript"/>
                <w:lang w:val="en-US" w:eastAsia="zh-CN" w:bidi="ar-SA"/>
              </w:rPr>
              <w:t>-6</w:t>
            </w:r>
            <w:r>
              <w:rPr>
                <w:rFonts w:hint="eastAsia" w:cs="宋体"/>
                <w:color w:val="auto"/>
                <w:kern w:val="0"/>
                <w:sz w:val="24"/>
                <w:szCs w:val="20"/>
                <w:highlight w:val="none"/>
                <w:lang w:val="en-US" w:eastAsia="zh-CN" w:bidi="ar-SA"/>
              </w:rPr>
              <w:t>*18000*8）=25.3d；因此活性炭建议更换周期为每1个月更换1次。</w:t>
            </w:r>
          </w:p>
          <w:p w14:paraId="098198AC">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项目活性炭装置与HJ 2026-2013相符性分析</w:t>
            </w:r>
          </w:p>
          <w:p w14:paraId="631819E1">
            <w:pPr>
              <w:spacing w:line="146" w:lineRule="exact"/>
              <w:rPr>
                <w:color w:val="auto"/>
                <w:highlight w:val="none"/>
              </w:rPr>
            </w:pPr>
          </w:p>
          <w:tbl>
            <w:tblPr>
              <w:tblStyle w:val="8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5"/>
              <w:gridCol w:w="3738"/>
              <w:gridCol w:w="2659"/>
              <w:gridCol w:w="1495"/>
            </w:tblGrid>
            <w:tr w14:paraId="6DA7B4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489" w:type="pct"/>
                  <w:tcBorders>
                    <w:bottom w:val="single" w:color="000000" w:sz="12" w:space="0"/>
                  </w:tcBorders>
                  <w:vAlign w:val="center"/>
                </w:tcPr>
                <w:p w14:paraId="5DBB4D1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序号</w:t>
                  </w:r>
                </w:p>
              </w:tc>
              <w:tc>
                <w:tcPr>
                  <w:tcW w:w="2136" w:type="pct"/>
                  <w:tcBorders>
                    <w:bottom w:val="single" w:color="000000" w:sz="12" w:space="0"/>
                  </w:tcBorders>
                  <w:vAlign w:val="center"/>
                </w:tcPr>
                <w:p w14:paraId="454E2CA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b/>
                      <w:bCs/>
                      <w:color w:val="auto"/>
                      <w:sz w:val="21"/>
                      <w:highlight w:val="none"/>
                    </w:rPr>
                    <w:t>HJ</w:t>
                  </w:r>
                  <w:r>
                    <w:rPr>
                      <w:rFonts w:ascii="Times New Roman" w:hAnsi="Times New Roman" w:eastAsia="宋体" w:cs="Times New Roman"/>
                      <w:b/>
                      <w:bCs/>
                      <w:color w:val="auto"/>
                      <w:spacing w:val="5"/>
                      <w:sz w:val="21"/>
                      <w:highlight w:val="none"/>
                    </w:rPr>
                    <w:t xml:space="preserve"> 2026-2013</w:t>
                  </w:r>
                  <w:r>
                    <w:rPr>
                      <w:rFonts w:ascii="Times New Roman" w:hAnsi="Times New Roman" w:eastAsia="宋体"/>
                      <w:b/>
                      <w:bCs/>
                      <w:color w:val="auto"/>
                      <w:spacing w:val="5"/>
                      <w:sz w:val="21"/>
                      <w:highlight w:val="none"/>
                    </w:rPr>
                    <w:t>要求</w:t>
                  </w:r>
                </w:p>
              </w:tc>
              <w:tc>
                <w:tcPr>
                  <w:tcW w:w="1519" w:type="pct"/>
                  <w:tcBorders>
                    <w:bottom w:val="single" w:color="000000" w:sz="12" w:space="0"/>
                  </w:tcBorders>
                  <w:vAlign w:val="center"/>
                </w:tcPr>
                <w:p w14:paraId="22FE1CB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本项目情况</w:t>
                  </w:r>
                </w:p>
              </w:tc>
              <w:tc>
                <w:tcPr>
                  <w:tcW w:w="854" w:type="pct"/>
                  <w:tcBorders>
                    <w:bottom w:val="single" w:color="000000" w:sz="12" w:space="0"/>
                  </w:tcBorders>
                  <w:vAlign w:val="center"/>
                </w:tcPr>
                <w:p w14:paraId="7ACC261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符合性分析</w:t>
                  </w:r>
                </w:p>
              </w:tc>
            </w:tr>
            <w:tr w14:paraId="0E710E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489" w:type="pct"/>
                  <w:tcBorders>
                    <w:top w:val="single" w:color="000000" w:sz="12" w:space="0"/>
                    <w:tl2br w:val="nil"/>
                    <w:tr2bl w:val="nil"/>
                  </w:tcBorders>
                  <w:vAlign w:val="center"/>
                </w:tcPr>
                <w:p w14:paraId="064F43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1</w:t>
                  </w:r>
                </w:p>
              </w:tc>
              <w:tc>
                <w:tcPr>
                  <w:tcW w:w="2136" w:type="pct"/>
                  <w:tcBorders>
                    <w:top w:val="single" w:color="000000" w:sz="12" w:space="0"/>
                    <w:tl2br w:val="nil"/>
                    <w:tr2bl w:val="nil"/>
                  </w:tcBorders>
                  <w:vAlign w:val="center"/>
                </w:tcPr>
                <w:p w14:paraId="292018A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13"/>
                      <w:highlight w:val="none"/>
                      <w:lang w:val="en-US" w:eastAsia="zh-CN"/>
                    </w:rPr>
                  </w:pPr>
                  <w:r>
                    <w:rPr>
                      <w:rFonts w:ascii="Times New Roman" w:hAnsi="Times New Roman" w:eastAsia="宋体"/>
                      <w:color w:val="auto"/>
                      <w:spacing w:val="9"/>
                      <w:sz w:val="21"/>
                      <w:highlight w:val="none"/>
                    </w:rPr>
                    <w:t>进入吸附装置的颗粒物含量宜低于</w:t>
                  </w:r>
                  <w:r>
                    <w:rPr>
                      <w:rFonts w:ascii="Times New Roman" w:hAnsi="Times New Roman" w:eastAsia="宋体" w:cs="Times New Roman"/>
                      <w:color w:val="auto"/>
                      <w:spacing w:val="1"/>
                      <w:position w:val="3"/>
                      <w:sz w:val="21"/>
                      <w:szCs w:val="20"/>
                      <w:highlight w:val="none"/>
                    </w:rPr>
                    <w:t>1</w:t>
                  </w:r>
                  <w:r>
                    <w:rPr>
                      <w:rFonts w:ascii="Times New Roman" w:hAnsi="Times New Roman" w:eastAsia="宋体" w:cs="Times New Roman"/>
                      <w:color w:val="auto"/>
                      <w:position w:val="3"/>
                      <w:sz w:val="21"/>
                      <w:szCs w:val="20"/>
                      <w:highlight w:val="none"/>
                    </w:rPr>
                    <w:t>mg</w:t>
                  </w:r>
                  <w:r>
                    <w:rPr>
                      <w:rFonts w:ascii="Times New Roman" w:hAnsi="Times New Roman" w:eastAsia="宋体" w:cs="Times New Roman"/>
                      <w:color w:val="auto"/>
                      <w:spacing w:val="1"/>
                      <w:position w:val="3"/>
                      <w:sz w:val="21"/>
                      <w:szCs w:val="20"/>
                      <w:highlight w:val="none"/>
                    </w:rPr>
                    <w:t>/m</w:t>
                  </w:r>
                  <w:r>
                    <w:rPr>
                      <w:rFonts w:hint="eastAsia" w:ascii="Times New Roman" w:hAnsi="Times New Roman" w:eastAsia="宋体" w:cs="Times New Roman"/>
                      <w:color w:val="auto"/>
                      <w:spacing w:val="1"/>
                      <w:position w:val="3"/>
                      <w:sz w:val="21"/>
                      <w:szCs w:val="20"/>
                      <w:highlight w:val="none"/>
                      <w:vertAlign w:val="superscript"/>
                      <w:lang w:val="en-US" w:eastAsia="zh-CN"/>
                    </w:rPr>
                    <w:t>3</w:t>
                  </w:r>
                </w:p>
              </w:tc>
              <w:tc>
                <w:tcPr>
                  <w:tcW w:w="1519" w:type="pct"/>
                  <w:tcBorders>
                    <w:top w:val="single" w:color="000000" w:sz="12" w:space="0"/>
                    <w:tl2br w:val="nil"/>
                    <w:tr2bl w:val="nil"/>
                  </w:tcBorders>
                  <w:vAlign w:val="center"/>
                </w:tcPr>
                <w:p w14:paraId="2E04964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9"/>
                      <w:sz w:val="21"/>
                      <w:highlight w:val="none"/>
                    </w:rPr>
                    <w:t>本项目进入活性炭装置的废气颗粒物浓度低于</w:t>
                  </w:r>
                </w:p>
                <w:p w14:paraId="6F8608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13"/>
                      <w:highlight w:val="none"/>
                    </w:rPr>
                  </w:pPr>
                  <w:r>
                    <w:rPr>
                      <w:rFonts w:ascii="Times New Roman" w:hAnsi="Times New Roman" w:eastAsia="宋体" w:cs="Times New Roman"/>
                      <w:color w:val="auto"/>
                      <w:spacing w:val="1"/>
                      <w:position w:val="3"/>
                      <w:sz w:val="21"/>
                      <w:szCs w:val="20"/>
                      <w:highlight w:val="none"/>
                    </w:rPr>
                    <w:t>1</w:t>
                  </w:r>
                  <w:r>
                    <w:rPr>
                      <w:rFonts w:ascii="Times New Roman" w:hAnsi="Times New Roman" w:eastAsia="宋体" w:cs="Times New Roman"/>
                      <w:color w:val="auto"/>
                      <w:position w:val="3"/>
                      <w:sz w:val="21"/>
                      <w:szCs w:val="20"/>
                      <w:highlight w:val="none"/>
                    </w:rPr>
                    <w:t>mg</w:t>
                  </w:r>
                  <w:r>
                    <w:rPr>
                      <w:rFonts w:ascii="Times New Roman" w:hAnsi="Times New Roman" w:eastAsia="宋体" w:cs="Times New Roman"/>
                      <w:color w:val="auto"/>
                      <w:spacing w:val="1"/>
                      <w:position w:val="3"/>
                      <w:sz w:val="21"/>
                      <w:szCs w:val="20"/>
                      <w:highlight w:val="none"/>
                    </w:rPr>
                    <w:t>/m</w:t>
                  </w:r>
                  <w:r>
                    <w:rPr>
                      <w:rFonts w:hint="eastAsia" w:ascii="Times New Roman" w:hAnsi="Times New Roman" w:eastAsia="宋体" w:cs="Times New Roman"/>
                      <w:color w:val="auto"/>
                      <w:spacing w:val="1"/>
                      <w:position w:val="3"/>
                      <w:sz w:val="21"/>
                      <w:szCs w:val="20"/>
                      <w:highlight w:val="none"/>
                      <w:vertAlign w:val="superscript"/>
                      <w:lang w:val="en-US" w:eastAsia="zh-CN"/>
                    </w:rPr>
                    <w:t>3</w:t>
                  </w:r>
                </w:p>
              </w:tc>
              <w:tc>
                <w:tcPr>
                  <w:tcW w:w="854" w:type="pct"/>
                  <w:tcBorders>
                    <w:top w:val="single" w:color="000000" w:sz="12" w:space="0"/>
                    <w:tl2br w:val="nil"/>
                    <w:tr2bl w:val="nil"/>
                  </w:tcBorders>
                  <w:vAlign w:val="center"/>
                </w:tcPr>
                <w:p w14:paraId="526DA99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符合</w:t>
                  </w:r>
                </w:p>
              </w:tc>
            </w:tr>
            <w:tr w14:paraId="17682C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89" w:type="pct"/>
                  <w:tcBorders>
                    <w:tl2br w:val="nil"/>
                    <w:tr2bl w:val="nil"/>
                  </w:tcBorders>
                  <w:vAlign w:val="center"/>
                </w:tcPr>
                <w:p w14:paraId="620F27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2</w:t>
                  </w:r>
                </w:p>
              </w:tc>
              <w:tc>
                <w:tcPr>
                  <w:tcW w:w="2136" w:type="pct"/>
                  <w:tcBorders>
                    <w:tl2br w:val="nil"/>
                    <w:tr2bl w:val="nil"/>
                  </w:tcBorders>
                  <w:vAlign w:val="center"/>
                </w:tcPr>
                <w:p w14:paraId="6AAE3CB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9"/>
                      <w:sz w:val="21"/>
                      <w:highlight w:val="none"/>
                    </w:rPr>
                    <w:t>进入吸附装置的废气温度宜低于</w:t>
                  </w:r>
                </w:p>
                <w:p w14:paraId="4FCB767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5"/>
                      <w:position w:val="1"/>
                      <w:sz w:val="21"/>
                      <w:highlight w:val="none"/>
                    </w:rPr>
                    <w:t>40</w:t>
                  </w:r>
                  <w:r>
                    <w:rPr>
                      <w:rFonts w:ascii="Times New Roman" w:hAnsi="Times New Roman" w:eastAsia="宋体"/>
                      <w:color w:val="auto"/>
                      <w:spacing w:val="5"/>
                      <w:position w:val="1"/>
                      <w:sz w:val="21"/>
                      <w:highlight w:val="none"/>
                    </w:rPr>
                    <w:t>℃</w:t>
                  </w:r>
                </w:p>
              </w:tc>
              <w:tc>
                <w:tcPr>
                  <w:tcW w:w="1519" w:type="pct"/>
                  <w:tcBorders>
                    <w:tl2br w:val="nil"/>
                    <w:tr2bl w:val="nil"/>
                  </w:tcBorders>
                  <w:vAlign w:val="center"/>
                </w:tcPr>
                <w:p w14:paraId="77281A1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9"/>
                      <w:sz w:val="21"/>
                      <w:highlight w:val="none"/>
                    </w:rPr>
                    <w:t>本项目进入活性炭装置的</w:t>
                  </w:r>
                  <w:r>
                    <w:rPr>
                      <w:rFonts w:ascii="Times New Roman" w:hAnsi="Times New Roman" w:eastAsia="宋体"/>
                      <w:color w:val="auto"/>
                      <w:spacing w:val="13"/>
                      <w:sz w:val="21"/>
                      <w:highlight w:val="none"/>
                    </w:rPr>
                    <w:t>废气温度均低于</w:t>
                  </w:r>
                  <w:r>
                    <w:rPr>
                      <w:rFonts w:ascii="Times New Roman" w:hAnsi="Times New Roman" w:eastAsia="宋体" w:cs="Times New Roman"/>
                      <w:color w:val="auto"/>
                      <w:spacing w:val="13"/>
                      <w:sz w:val="21"/>
                      <w:highlight w:val="none"/>
                    </w:rPr>
                    <w:t>40</w:t>
                  </w:r>
                  <w:r>
                    <w:rPr>
                      <w:rFonts w:ascii="Times New Roman" w:hAnsi="Times New Roman" w:eastAsia="宋体"/>
                      <w:color w:val="auto"/>
                      <w:spacing w:val="13"/>
                      <w:sz w:val="21"/>
                      <w:highlight w:val="none"/>
                    </w:rPr>
                    <w:t>℃</w:t>
                  </w:r>
                </w:p>
              </w:tc>
              <w:tc>
                <w:tcPr>
                  <w:tcW w:w="854" w:type="pct"/>
                  <w:tcBorders>
                    <w:tl2br w:val="nil"/>
                    <w:tr2bl w:val="nil"/>
                  </w:tcBorders>
                  <w:vAlign w:val="center"/>
                </w:tcPr>
                <w:p w14:paraId="5D39CBD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符合</w:t>
                  </w:r>
                </w:p>
              </w:tc>
            </w:tr>
            <w:tr w14:paraId="1996D3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489" w:type="pct"/>
                  <w:tcBorders>
                    <w:tl2br w:val="nil"/>
                    <w:tr2bl w:val="nil"/>
                  </w:tcBorders>
                  <w:vAlign w:val="center"/>
                </w:tcPr>
                <w:p w14:paraId="74B9070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3</w:t>
                  </w:r>
                </w:p>
              </w:tc>
              <w:tc>
                <w:tcPr>
                  <w:tcW w:w="2136" w:type="pct"/>
                  <w:tcBorders>
                    <w:tl2br w:val="nil"/>
                    <w:tr2bl w:val="nil"/>
                  </w:tcBorders>
                  <w:vAlign w:val="center"/>
                </w:tcPr>
                <w:p w14:paraId="31F322B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固定床吸附装置吸附层的气体流速</w:t>
                  </w:r>
                  <w:r>
                    <w:rPr>
                      <w:rFonts w:ascii="Times New Roman" w:hAnsi="Times New Roman" w:eastAsia="宋体"/>
                      <w:color w:val="auto"/>
                      <w:spacing w:val="5"/>
                      <w:sz w:val="21"/>
                      <w:highlight w:val="none"/>
                    </w:rPr>
                    <w:t>应根据吸附剂的形态确定。采用颗粒</w:t>
                  </w:r>
                  <w:r>
                    <w:rPr>
                      <w:rFonts w:ascii="Times New Roman" w:hAnsi="Times New Roman" w:eastAsia="宋体"/>
                      <w:color w:val="auto"/>
                      <w:spacing w:val="9"/>
                      <w:sz w:val="21"/>
                      <w:highlight w:val="none"/>
                    </w:rPr>
                    <w:t>状吸附剂时，气体流速宜低于</w:t>
                  </w:r>
                </w:p>
                <w:p w14:paraId="4ABBA65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0.6m/s</w:t>
                  </w:r>
                </w:p>
              </w:tc>
              <w:tc>
                <w:tcPr>
                  <w:tcW w:w="1519" w:type="pct"/>
                  <w:tcBorders>
                    <w:tl2br w:val="nil"/>
                    <w:tr2bl w:val="nil"/>
                  </w:tcBorders>
                  <w:vAlign w:val="center"/>
                </w:tcPr>
                <w:p w14:paraId="63B8ABB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olor w:val="auto"/>
                      <w:spacing w:val="9"/>
                      <w:sz w:val="21"/>
                      <w:highlight w:val="none"/>
                    </w:rPr>
                    <w:t>本项目活性炭装置气体流</w:t>
                  </w:r>
                  <w:r>
                    <w:rPr>
                      <w:rFonts w:ascii="Times New Roman" w:hAnsi="Times New Roman" w:eastAsia="宋体"/>
                      <w:color w:val="auto"/>
                      <w:spacing w:val="4"/>
                      <w:sz w:val="21"/>
                      <w:highlight w:val="none"/>
                    </w:rPr>
                    <w:t>速低于</w:t>
                  </w:r>
                  <w:r>
                    <w:rPr>
                      <w:rFonts w:ascii="Times New Roman" w:hAnsi="Times New Roman" w:eastAsia="宋体" w:cs="Times New Roman"/>
                      <w:color w:val="auto"/>
                      <w:spacing w:val="4"/>
                      <w:sz w:val="21"/>
                      <w:highlight w:val="none"/>
                    </w:rPr>
                    <w:t>0.6m/s</w:t>
                  </w:r>
                </w:p>
              </w:tc>
              <w:tc>
                <w:tcPr>
                  <w:tcW w:w="854" w:type="pct"/>
                  <w:tcBorders>
                    <w:tl2br w:val="nil"/>
                    <w:tr2bl w:val="nil"/>
                  </w:tcBorders>
                  <w:vAlign w:val="center"/>
                </w:tcPr>
                <w:p w14:paraId="0283D8B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符合</w:t>
                  </w:r>
                </w:p>
              </w:tc>
            </w:tr>
          </w:tbl>
          <w:p w14:paraId="5995C704">
            <w:pPr>
              <w:pStyle w:val="46"/>
              <w:bidi w:val="0"/>
              <w:rPr>
                <w:rFonts w:hint="eastAsia"/>
                <w:color w:val="auto"/>
                <w:highlight w:val="none"/>
                <w:lang w:val="en-US" w:eastAsia="zh-CN"/>
              </w:rPr>
            </w:pPr>
            <w:r>
              <w:rPr>
                <w:rFonts w:hint="eastAsia"/>
                <w:color w:val="auto"/>
                <w:highlight w:val="none"/>
                <w:lang w:val="en-US" w:eastAsia="zh-CN"/>
              </w:rPr>
              <w:t>由上表可见，本项目活性炭装置与《吸附法工业有机废气治理工程技术规范》（HJ 2026-2013）中的要求相符。此外，吸附法VOCs治理技术属于《汽车工业污染防治可行技术指南（HJ 1181-2021）》中列出的可行技术，处理措施可行。</w:t>
            </w:r>
          </w:p>
          <w:p w14:paraId="72673A4C">
            <w:pPr>
              <w:pStyle w:val="46"/>
              <w:bidi w:val="0"/>
              <w:rPr>
                <w:rFonts w:hint="eastAsia"/>
                <w:color w:val="auto"/>
                <w:highlight w:val="none"/>
                <w:lang w:val="en-US" w:eastAsia="zh-CN"/>
              </w:rPr>
            </w:pPr>
            <w:r>
              <w:rPr>
                <w:rFonts w:hint="eastAsia"/>
                <w:color w:val="auto"/>
                <w:highlight w:val="none"/>
                <w:lang w:val="en-US" w:eastAsia="zh-CN"/>
              </w:rPr>
              <w:t>根据《排污许可证申请与核发技术规范汽车制造业》（HJ971-2018）中表25汽车制造业废气污染治理推荐可行技术清单，本项目焊接工序产生的废气采用“布袋除尘器”处理属于推荐可行技术。</w:t>
            </w:r>
          </w:p>
          <w:p w14:paraId="16B41488">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无组织废气防治措施</w:t>
            </w:r>
          </w:p>
          <w:p w14:paraId="15842C0D">
            <w:pPr>
              <w:pStyle w:val="46"/>
              <w:bidi w:val="0"/>
              <w:rPr>
                <w:rFonts w:hint="eastAsia"/>
                <w:color w:val="auto"/>
                <w:highlight w:val="none"/>
              </w:rPr>
            </w:pPr>
            <w:r>
              <w:rPr>
                <w:rFonts w:hint="eastAsia"/>
                <w:color w:val="auto"/>
                <w:highlight w:val="none"/>
              </w:rPr>
              <w:t>建设项目无组织排放的废气主要是未捕集的含尘废气、有机废气等。建设单位拟采取如下措施，以减少无组织挥发量与排放浓度：</w:t>
            </w:r>
          </w:p>
          <w:p w14:paraId="478EBAE1">
            <w:pPr>
              <w:pStyle w:val="46"/>
              <w:bidi w:val="0"/>
              <w:rPr>
                <w:rFonts w:hint="eastAsia" w:eastAsia="宋体"/>
                <w:color w:val="auto"/>
                <w:highlight w:val="none"/>
                <w:lang w:eastAsia="zh-CN"/>
              </w:rPr>
            </w:pPr>
            <w:r>
              <w:rPr>
                <w:rFonts w:hint="eastAsia"/>
                <w:color w:val="auto"/>
                <w:highlight w:val="none"/>
              </w:rPr>
              <w:t>（1）在装卸过程中应轻装轻卸，在允许的条件下可在室内进行装卸，加强车间吸尘范围及设备吸尘效率，使物料装卸及项目生产运营过程中产生的无组织废气挥发量降到最低</w:t>
            </w:r>
            <w:r>
              <w:rPr>
                <w:rFonts w:hint="eastAsia"/>
                <w:color w:val="auto"/>
                <w:highlight w:val="none"/>
                <w:lang w:eastAsia="zh-CN"/>
              </w:rPr>
              <w:t>；</w:t>
            </w:r>
          </w:p>
          <w:p w14:paraId="4E7EF206">
            <w:pPr>
              <w:pStyle w:val="4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）合理布置车间，加强设备管理，将产生无组织废气的产生源布置在远离厂界的地方，以减少无组织废气对厂界周围环境的影响；</w:t>
            </w:r>
          </w:p>
          <w:p w14:paraId="313EC205">
            <w:pPr>
              <w:pStyle w:val="4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）加强对操作工的培训和管理，确保废气的捕捉率，以减少人为造成的废气无组织排放；</w:t>
            </w:r>
          </w:p>
          <w:p w14:paraId="62D67833">
            <w:pPr>
              <w:pStyle w:val="4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）除尘器卸灰口应采取遮挡等抑尘措施，除尘灰不得直接卸落到地面。除尘灰采取袋装、罐装等密闭措施收集、存放和运输；</w:t>
            </w:r>
          </w:p>
          <w:p w14:paraId="58B1A00B">
            <w:pPr>
              <w:pStyle w:val="46"/>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lang w:val="en-US" w:eastAsia="zh-CN"/>
              </w:rPr>
              <w:t>废气产生量大的工序如：电泳、焊接等</w:t>
            </w:r>
            <w:r>
              <w:rPr>
                <w:rFonts w:hint="eastAsia"/>
                <w:color w:val="auto"/>
                <w:highlight w:val="none"/>
                <w:lang w:eastAsia="zh-CN"/>
              </w:rPr>
              <w:t>工序应在封闭空间内操作，废气收集至除尘设施；未在封闭空间内操作，应采用固定式、移动式集气设备，并配备除尘设施。</w:t>
            </w:r>
          </w:p>
          <w:p w14:paraId="023DF9C0">
            <w:pPr>
              <w:pStyle w:val="46"/>
              <w:bidi w:val="0"/>
              <w:jc w:val="both"/>
              <w:rPr>
                <w:rFonts w:hint="eastAsia"/>
                <w:color w:val="auto"/>
                <w:highlight w:val="none"/>
                <w:lang w:eastAsia="zh-CN"/>
              </w:rPr>
            </w:pPr>
            <w:r>
              <w:rPr>
                <w:rFonts w:hint="eastAsia"/>
                <w:color w:val="auto"/>
                <w:highlight w:val="none"/>
                <w:lang w:eastAsia="zh-CN"/>
              </w:rPr>
              <w:t>通过以上措施，可减少无组织废气的排放，无组织排放废气能够满足相应的排放标准要求，对周围大气环境的影响较小。</w:t>
            </w:r>
          </w:p>
          <w:p w14:paraId="12A22417">
            <w:pPr>
              <w:pStyle w:val="5"/>
              <w:keepNext/>
              <w:keepLines/>
              <w:pageBreakBefore w:val="0"/>
              <w:widowControl w:val="0"/>
              <w:numPr>
                <w:ilvl w:val="3"/>
                <w:numId w:val="14"/>
              </w:numPr>
              <w:tabs>
                <w:tab w:val="left" w:pos="0"/>
              </w:tabs>
              <w:kinsoku/>
              <w:wordWrap/>
              <w:overflowPunct/>
              <w:topLinePunct w:val="0"/>
              <w:autoSpaceDE/>
              <w:autoSpaceDN/>
              <w:bidi w:val="0"/>
              <w:adjustRightInd/>
              <w:snapToGrid/>
              <w:spacing w:before="157" w:beforeLines="50"/>
              <w:ind w:left="862" w:leftChars="0" w:hanging="862"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非正常排放</w:t>
            </w:r>
            <w:r>
              <w:rPr>
                <w:rFonts w:hint="default" w:ascii="Times New Roman" w:hAnsi="Times New Roman" w:eastAsia="宋体" w:cs="Times New Roman"/>
                <w:color w:val="auto"/>
                <w:highlight w:val="none"/>
                <w:lang w:val="en-US" w:eastAsia="zh-CN"/>
              </w:rPr>
              <w:t>防治措施</w:t>
            </w:r>
          </w:p>
          <w:p w14:paraId="1124A325">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防止废气非正常工况排放，企业必须加强环保设施运行管理，定期检修，确保设备效率正常运行，在设备停止运行或出现故障时，产生废气的工序也必须相应停止运行。为严防废气非正常排放，应采取以下措施确保废气达标排放：</w:t>
            </w:r>
          </w:p>
          <w:p w14:paraId="349AB12C">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①安排专人负责设备的日常维护和管理，每隔固定时间检查、汇报情况，及时发现废气处理设备的隐患，确保设备处理效率正常运行；</w:t>
            </w:r>
          </w:p>
          <w:p w14:paraId="459F2247">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②建立健全的环保管理机构，对环保管理人员和技术人员进行岗位培训，委托具有专业资质的环境检测单位对项目排放的污染物进行定期检测；</w:t>
            </w:r>
          </w:p>
          <w:p w14:paraId="446F5990">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③应定期维护、检修环保设施运行装置，以保持设备的净化能力和净化容量。</w:t>
            </w:r>
          </w:p>
          <w:p w14:paraId="47EB0A56">
            <w:pPr>
              <w:pStyle w:val="46"/>
              <w:keepNext w:val="0"/>
              <w:keepLines w:val="0"/>
              <w:pageBreakBefore w:val="0"/>
              <w:widowControl w:val="0"/>
              <w:kinsoku/>
              <w:wordWrap/>
              <w:overflowPunct/>
              <w:topLinePunct w:val="0"/>
              <w:autoSpaceDE w:val="0"/>
              <w:autoSpaceDN w:val="0"/>
              <w:bidi w:val="0"/>
              <w:adjustRightInd/>
              <w:snapToGrid/>
              <w:jc w:val="both"/>
              <w:textAlignment w:val="auto"/>
              <w:rPr>
                <w:rFonts w:hint="eastAsia"/>
                <w:color w:val="auto"/>
                <w:highlight w:val="none"/>
                <w:lang w:eastAsia="zh-CN"/>
              </w:rPr>
            </w:pPr>
            <w:r>
              <w:rPr>
                <w:rFonts w:hint="eastAsia"/>
                <w:color w:val="auto"/>
                <w:highlight w:val="none"/>
                <w:lang w:eastAsia="zh-CN"/>
              </w:rPr>
              <w:t>综上，项目在采取上述非正常排放防范措施后，非正常排放发生频率较低，非正常工况可及时得到处理，因此本项目废气非正常排放对周边大气环境影响较小。当非正常排放时，废气将超标排放，因此建设单位须加强管理，并采取必要的防范措施，杜绝此类事件发生。</w:t>
            </w:r>
          </w:p>
          <w:p w14:paraId="3747C205">
            <w:pPr>
              <w:pStyle w:val="4"/>
              <w:numPr>
                <w:ilvl w:val="2"/>
                <w:numId w:val="14"/>
              </w:numPr>
              <w:tabs>
                <w:tab w:val="left" w:pos="0"/>
              </w:tabs>
              <w:bidi w:val="0"/>
              <w:ind w:left="720" w:leftChars="0" w:hanging="720" w:firstLineChars="0"/>
              <w:rPr>
                <w:rFonts w:hint="default" w:ascii="Times New Roman" w:hAnsi="Times New Roman" w:eastAsia="宋体" w:cs="宋体"/>
                <w:color w:val="auto"/>
                <w:highlight w:val="none"/>
                <w:lang w:val="en-US" w:eastAsia="zh-CN"/>
              </w:rPr>
            </w:pPr>
            <w:r>
              <w:rPr>
                <w:rFonts w:hint="eastAsia"/>
                <w:color w:val="auto"/>
                <w:highlight w:val="none"/>
                <w:lang w:val="en-US" w:eastAsia="zh-CN"/>
              </w:rPr>
              <w:t>废气自行监测计划</w:t>
            </w:r>
          </w:p>
          <w:p w14:paraId="58CB1B71">
            <w:pPr>
              <w:pStyle w:val="46"/>
              <w:bidi w:val="0"/>
              <w:jc w:val="both"/>
              <w:rPr>
                <w:rFonts w:hint="eastAsia"/>
                <w:color w:val="auto"/>
                <w:highlight w:val="none"/>
                <w:lang w:eastAsia="zh-CN"/>
              </w:rPr>
            </w:pPr>
            <w:r>
              <w:rPr>
                <w:rFonts w:hint="eastAsia"/>
                <w:color w:val="auto"/>
                <w:highlight w:val="none"/>
                <w:lang w:eastAsia="zh-CN"/>
              </w:rPr>
              <w:t>根据《排污单位自行监测技术指南涂装》（HJ1086-2020）中表2、表3中监测要求，项目自行监测计划见下表。</w:t>
            </w:r>
          </w:p>
          <w:p w14:paraId="24382B87">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color w:val="auto"/>
                <w:highlight w:val="none"/>
                <w:lang w:val="en-US" w:eastAsia="zh-CN"/>
              </w:rPr>
            </w:pPr>
            <w:r>
              <w:rPr>
                <w:rFonts w:hint="eastAsia"/>
                <w:color w:val="auto"/>
                <w:highlight w:val="none"/>
                <w:lang w:val="en-US" w:eastAsia="zh-CN"/>
              </w:rPr>
              <w:t xml:space="preserve"> 项目废气监测要求一览表</w:t>
            </w:r>
          </w:p>
          <w:tbl>
            <w:tblPr>
              <w:tblStyle w:val="86"/>
              <w:tblW w:w="4997"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5"/>
              <w:gridCol w:w="1328"/>
              <w:gridCol w:w="1339"/>
              <w:gridCol w:w="1549"/>
              <w:gridCol w:w="1313"/>
              <w:gridCol w:w="1892"/>
            </w:tblGrid>
            <w:tr w14:paraId="413299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57" w:type="pct"/>
                  <w:vMerge w:val="restart"/>
                  <w:tcBorders>
                    <w:tl2br w:val="nil"/>
                    <w:tr2bl w:val="nil"/>
                  </w:tcBorders>
                  <w:vAlign w:val="center"/>
                </w:tcPr>
                <w:p w14:paraId="26D718B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排气筒编号</w:t>
                  </w:r>
                </w:p>
              </w:tc>
              <w:tc>
                <w:tcPr>
                  <w:tcW w:w="759" w:type="pct"/>
                  <w:vMerge w:val="restart"/>
                  <w:tcBorders>
                    <w:tl2br w:val="nil"/>
                    <w:tr2bl w:val="nil"/>
                  </w:tcBorders>
                  <w:vAlign w:val="center"/>
                </w:tcPr>
                <w:p w14:paraId="6B091B8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生产工序</w:t>
                  </w:r>
                </w:p>
              </w:tc>
              <w:tc>
                <w:tcPr>
                  <w:tcW w:w="765" w:type="pct"/>
                  <w:vMerge w:val="restart"/>
                  <w:tcBorders>
                    <w:tl2br w:val="nil"/>
                    <w:tr2bl w:val="nil"/>
                  </w:tcBorders>
                  <w:vAlign w:val="center"/>
                </w:tcPr>
                <w:p w14:paraId="4ADCAAB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监测点位</w:t>
                  </w:r>
                </w:p>
              </w:tc>
              <w:tc>
                <w:tcPr>
                  <w:tcW w:w="885" w:type="pct"/>
                  <w:vMerge w:val="restart"/>
                  <w:tcBorders>
                    <w:tl2br w:val="nil"/>
                    <w:tr2bl w:val="nil"/>
                  </w:tcBorders>
                  <w:vAlign w:val="center"/>
                </w:tcPr>
                <w:p w14:paraId="53B863E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监测指标</w:t>
                  </w:r>
                </w:p>
              </w:tc>
              <w:tc>
                <w:tcPr>
                  <w:tcW w:w="750" w:type="pct"/>
                  <w:tcBorders>
                    <w:tl2br w:val="nil"/>
                    <w:tr2bl w:val="nil"/>
                  </w:tcBorders>
                  <w:vAlign w:val="center"/>
                </w:tcPr>
                <w:p w14:paraId="50792A9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监测频次</w:t>
                  </w:r>
                </w:p>
              </w:tc>
              <w:tc>
                <w:tcPr>
                  <w:tcW w:w="1081" w:type="pct"/>
                  <w:vMerge w:val="restart"/>
                  <w:tcBorders>
                    <w:tl2br w:val="nil"/>
                    <w:tr2bl w:val="nil"/>
                  </w:tcBorders>
                  <w:vAlign w:val="center"/>
                </w:tcPr>
                <w:p w14:paraId="21B4C68C">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执行标准</w:t>
                  </w:r>
                </w:p>
              </w:tc>
            </w:tr>
            <w:tr w14:paraId="16633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757" w:type="pct"/>
                  <w:vMerge w:val="continue"/>
                  <w:tcBorders>
                    <w:tl2br w:val="nil"/>
                    <w:tr2bl w:val="nil"/>
                  </w:tcBorders>
                  <w:vAlign w:val="center"/>
                </w:tcPr>
                <w:p w14:paraId="51F1C5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759" w:type="pct"/>
                  <w:vMerge w:val="continue"/>
                  <w:tcBorders>
                    <w:tl2br w:val="nil"/>
                    <w:tr2bl w:val="nil"/>
                  </w:tcBorders>
                  <w:vAlign w:val="center"/>
                </w:tcPr>
                <w:p w14:paraId="651ACA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765" w:type="pct"/>
                  <w:vMerge w:val="continue"/>
                  <w:tcBorders>
                    <w:tl2br w:val="nil"/>
                    <w:tr2bl w:val="nil"/>
                  </w:tcBorders>
                  <w:vAlign w:val="center"/>
                </w:tcPr>
                <w:p w14:paraId="1E517F3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885" w:type="pct"/>
                  <w:vMerge w:val="continue"/>
                  <w:tcBorders>
                    <w:tl2br w:val="nil"/>
                    <w:tr2bl w:val="nil"/>
                  </w:tcBorders>
                  <w:vAlign w:val="center"/>
                </w:tcPr>
                <w:p w14:paraId="646FED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750" w:type="pct"/>
                  <w:tcBorders>
                    <w:tl2br w:val="nil"/>
                    <w:tr2bl w:val="nil"/>
                  </w:tcBorders>
                  <w:vAlign w:val="center"/>
                </w:tcPr>
                <w:p w14:paraId="26A7E463">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一般排放口</w:t>
                  </w:r>
                </w:p>
              </w:tc>
              <w:tc>
                <w:tcPr>
                  <w:tcW w:w="1081" w:type="pct"/>
                  <w:vMerge w:val="continue"/>
                  <w:tcBorders>
                    <w:tl2br w:val="nil"/>
                    <w:tr2bl w:val="nil"/>
                  </w:tcBorders>
                  <w:vAlign w:val="center"/>
                </w:tcPr>
                <w:p w14:paraId="0A1EEBF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r>
            <w:tr w14:paraId="71139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57" w:type="pct"/>
                  <w:vMerge w:val="restart"/>
                  <w:tcBorders>
                    <w:tl2br w:val="nil"/>
                    <w:tr2bl w:val="nil"/>
                  </w:tcBorders>
                  <w:vAlign w:val="center"/>
                </w:tcPr>
                <w:p w14:paraId="076522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001</w:t>
                  </w:r>
                </w:p>
              </w:tc>
              <w:tc>
                <w:tcPr>
                  <w:tcW w:w="759" w:type="pct"/>
                  <w:tcBorders>
                    <w:tl2br w:val="nil"/>
                    <w:tr2bl w:val="nil"/>
                  </w:tcBorders>
                  <w:vAlign w:val="center"/>
                </w:tcPr>
                <w:p w14:paraId="3A77C61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电泳、</w:t>
                  </w:r>
                  <w:r>
                    <w:rPr>
                      <w:rFonts w:hint="eastAsia" w:ascii="Times New Roman" w:hAnsi="Times New Roman"/>
                      <w:color w:val="auto"/>
                      <w:spacing w:val="3"/>
                      <w:sz w:val="21"/>
                      <w:highlight w:val="none"/>
                      <w:lang w:val="en-US" w:eastAsia="zh-CN"/>
                    </w:rPr>
                    <w:t>电泳固化</w:t>
                  </w:r>
                </w:p>
              </w:tc>
              <w:tc>
                <w:tcPr>
                  <w:tcW w:w="765" w:type="pct"/>
                  <w:tcBorders>
                    <w:tl2br w:val="nil"/>
                    <w:tr2bl w:val="nil"/>
                  </w:tcBorders>
                  <w:vAlign w:val="center"/>
                </w:tcPr>
                <w:p w14:paraId="684884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001</w:t>
                  </w:r>
                </w:p>
                <w:p w14:paraId="5E770A5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废气排放口</w:t>
                  </w:r>
                </w:p>
              </w:tc>
              <w:tc>
                <w:tcPr>
                  <w:tcW w:w="885" w:type="pct"/>
                  <w:tcBorders>
                    <w:tl2br w:val="nil"/>
                    <w:tr2bl w:val="nil"/>
                  </w:tcBorders>
                  <w:vAlign w:val="center"/>
                </w:tcPr>
                <w:p w14:paraId="2062BB53">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非甲烷总烃</w:t>
                  </w:r>
                </w:p>
              </w:tc>
              <w:tc>
                <w:tcPr>
                  <w:tcW w:w="750" w:type="pct"/>
                  <w:vMerge w:val="restart"/>
                  <w:tcBorders>
                    <w:tl2br w:val="nil"/>
                    <w:tr2bl w:val="nil"/>
                  </w:tcBorders>
                  <w:vAlign w:val="center"/>
                </w:tcPr>
                <w:p w14:paraId="7402D0C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次</w:t>
                  </w:r>
                  <w:r>
                    <w:rPr>
                      <w:rFonts w:ascii="Times New Roman" w:hAnsi="Times New Roman" w:eastAsia="宋体" w:cs="Times New Roman"/>
                      <w:color w:val="auto"/>
                      <w:spacing w:val="-4"/>
                      <w:position w:val="1"/>
                      <w:sz w:val="21"/>
                      <w:highlight w:val="none"/>
                    </w:rPr>
                    <w:t>/</w:t>
                  </w:r>
                  <w:r>
                    <w:rPr>
                      <w:rFonts w:ascii="Times New Roman" w:hAnsi="Times New Roman" w:eastAsia="宋体"/>
                      <w:color w:val="auto"/>
                      <w:spacing w:val="-4"/>
                      <w:position w:val="1"/>
                      <w:sz w:val="21"/>
                      <w:highlight w:val="none"/>
                    </w:rPr>
                    <w:t>年</w:t>
                  </w:r>
                </w:p>
              </w:tc>
              <w:tc>
                <w:tcPr>
                  <w:tcW w:w="1081" w:type="pct"/>
                  <w:tcBorders>
                    <w:tl2br w:val="nil"/>
                    <w:tr2bl w:val="nil"/>
                  </w:tcBorders>
                  <w:vAlign w:val="center"/>
                </w:tcPr>
                <w:p w14:paraId="5DE9BCA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hint="eastAsia" w:ascii="Times New Roman" w:hAnsi="Times New Roman" w:eastAsia="宋体"/>
                      <w:color w:val="auto"/>
                      <w:sz w:val="21"/>
                      <w:highlight w:val="none"/>
                    </w:rPr>
                    <w:t>《工业企业挥发性有机物排放标准》（DB35 1782-2018）表1</w:t>
                  </w:r>
                </w:p>
              </w:tc>
            </w:tr>
            <w:tr w14:paraId="4D6466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3" w:hRule="atLeast"/>
              </w:trPr>
              <w:tc>
                <w:tcPr>
                  <w:tcW w:w="757" w:type="pct"/>
                  <w:vMerge w:val="continue"/>
                  <w:tcBorders>
                    <w:tl2br w:val="nil"/>
                    <w:tr2bl w:val="nil"/>
                  </w:tcBorders>
                  <w:vAlign w:val="center"/>
                </w:tcPr>
                <w:p w14:paraId="35A2846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759" w:type="pct"/>
                  <w:tcBorders>
                    <w:tl2br w:val="nil"/>
                    <w:tr2bl w:val="nil"/>
                  </w:tcBorders>
                  <w:vAlign w:val="center"/>
                </w:tcPr>
                <w:p w14:paraId="038941E3">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color w:val="auto"/>
                      <w:spacing w:val="7"/>
                      <w:sz w:val="21"/>
                      <w:highlight w:val="none"/>
                      <w:lang w:eastAsia="zh-CN"/>
                    </w:rPr>
                    <w:t>（</w:t>
                  </w:r>
                  <w:r>
                    <w:rPr>
                      <w:rFonts w:hint="eastAsia" w:ascii="Times New Roman" w:hAnsi="Times New Roman"/>
                      <w:color w:val="auto"/>
                      <w:spacing w:val="7"/>
                      <w:sz w:val="21"/>
                      <w:highlight w:val="none"/>
                      <w:lang w:val="en-US" w:eastAsia="zh-CN"/>
                    </w:rPr>
                    <w:t>电泳）</w:t>
                  </w:r>
                  <w:r>
                    <w:rPr>
                      <w:rFonts w:ascii="Times New Roman" w:hAnsi="Times New Roman" w:eastAsia="宋体"/>
                      <w:color w:val="auto"/>
                      <w:spacing w:val="7"/>
                      <w:sz w:val="21"/>
                      <w:highlight w:val="none"/>
                    </w:rPr>
                    <w:t>天然气燃烧</w:t>
                  </w:r>
                </w:p>
              </w:tc>
              <w:tc>
                <w:tcPr>
                  <w:tcW w:w="765" w:type="pct"/>
                  <w:tcBorders>
                    <w:tl2br w:val="nil"/>
                    <w:tr2bl w:val="nil"/>
                  </w:tcBorders>
                  <w:vAlign w:val="center"/>
                </w:tcPr>
                <w:p w14:paraId="020F330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DA</w:t>
                  </w:r>
                  <w:r>
                    <w:rPr>
                      <w:rFonts w:ascii="Times New Roman" w:hAnsi="Times New Roman" w:eastAsia="宋体" w:cs="Times New Roman"/>
                      <w:color w:val="auto"/>
                      <w:spacing w:val="8"/>
                      <w:position w:val="2"/>
                      <w:sz w:val="21"/>
                      <w:szCs w:val="20"/>
                      <w:highlight w:val="none"/>
                    </w:rPr>
                    <w:t>001</w:t>
                  </w:r>
                </w:p>
                <w:p w14:paraId="29D817D3">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废气排放口</w:t>
                  </w:r>
                </w:p>
              </w:tc>
              <w:tc>
                <w:tcPr>
                  <w:tcW w:w="885" w:type="pct"/>
                  <w:tcBorders>
                    <w:tl2br w:val="nil"/>
                    <w:tr2bl w:val="nil"/>
                  </w:tcBorders>
                  <w:vAlign w:val="center"/>
                </w:tcPr>
                <w:p w14:paraId="58DCB193">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position w:val="1"/>
                      <w:sz w:val="21"/>
                      <w:highlight w:val="none"/>
                    </w:rPr>
                    <w:t>颗粒物、</w:t>
                  </w:r>
                  <w:r>
                    <w:rPr>
                      <w:rFonts w:ascii="Times New Roman" w:hAnsi="Times New Roman" w:eastAsia="宋体" w:cs="Times New Roman"/>
                      <w:color w:val="auto"/>
                      <w:spacing w:val="-7"/>
                      <w:position w:val="1"/>
                      <w:sz w:val="21"/>
                      <w:highlight w:val="none"/>
                    </w:rPr>
                    <w:t>SO</w:t>
                  </w:r>
                  <w:r>
                    <w:rPr>
                      <w:rFonts w:ascii="Times New Roman" w:hAnsi="Times New Roman" w:eastAsia="宋体" w:cs="Times New Roman"/>
                      <w:color w:val="auto"/>
                      <w:spacing w:val="-7"/>
                      <w:sz w:val="21"/>
                      <w:szCs w:val="13"/>
                      <w:highlight w:val="none"/>
                      <w:vertAlign w:val="subscript"/>
                    </w:rPr>
                    <w:t>2</w:t>
                  </w:r>
                  <w:r>
                    <w:rPr>
                      <w:rFonts w:ascii="Times New Roman" w:hAnsi="Times New Roman" w:eastAsia="宋体"/>
                      <w:color w:val="auto"/>
                      <w:spacing w:val="-7"/>
                      <w:position w:val="1"/>
                      <w:sz w:val="21"/>
                      <w:highlight w:val="none"/>
                    </w:rPr>
                    <w:t>、</w:t>
                  </w:r>
                </w:p>
                <w:p w14:paraId="239B9A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0"/>
                      <w:highlight w:val="none"/>
                      <w:lang w:val="en-US" w:eastAsia="zh-CN"/>
                    </w:rPr>
                  </w:pPr>
                  <w:r>
                    <w:rPr>
                      <w:rFonts w:ascii="Times New Roman" w:hAnsi="Times New Roman" w:eastAsia="宋体" w:cs="Times New Roman"/>
                      <w:color w:val="auto"/>
                      <w:spacing w:val="6"/>
                      <w:sz w:val="21"/>
                      <w:szCs w:val="20"/>
                      <w:highlight w:val="none"/>
                    </w:rPr>
                    <w:t>NOx</w:t>
                  </w:r>
                  <w:r>
                    <w:rPr>
                      <w:rFonts w:hint="eastAsia" w:cs="Times New Roman"/>
                      <w:color w:val="auto"/>
                      <w:spacing w:val="6"/>
                      <w:sz w:val="21"/>
                      <w:szCs w:val="20"/>
                      <w:highlight w:val="none"/>
                      <w:lang w:eastAsia="zh-CN"/>
                    </w:rPr>
                    <w:t>、</w:t>
                  </w:r>
                  <w:r>
                    <w:rPr>
                      <w:rFonts w:hint="eastAsia" w:cs="Times New Roman"/>
                      <w:color w:val="auto"/>
                      <w:spacing w:val="6"/>
                      <w:sz w:val="21"/>
                      <w:szCs w:val="20"/>
                      <w:highlight w:val="none"/>
                      <w:lang w:val="en-US" w:eastAsia="zh-CN"/>
                    </w:rPr>
                    <w:t>烟气黑度</w:t>
                  </w:r>
                </w:p>
              </w:tc>
              <w:tc>
                <w:tcPr>
                  <w:tcW w:w="750" w:type="pct"/>
                  <w:vMerge w:val="continue"/>
                  <w:tcBorders>
                    <w:tl2br w:val="nil"/>
                    <w:tr2bl w:val="nil"/>
                  </w:tcBorders>
                  <w:vAlign w:val="center"/>
                </w:tcPr>
                <w:p w14:paraId="3785712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p>
              </w:tc>
              <w:tc>
                <w:tcPr>
                  <w:tcW w:w="1081" w:type="pct"/>
                  <w:tcBorders>
                    <w:tl2br w:val="nil"/>
                    <w:tr2bl w:val="nil"/>
                  </w:tcBorders>
                  <w:vAlign w:val="center"/>
                </w:tcPr>
                <w:p w14:paraId="4EBD47C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hint="eastAsia" w:ascii="Times New Roman" w:hAnsi="Times New Roman" w:eastAsia="宋体"/>
                      <w:color w:val="auto"/>
                      <w:spacing w:val="7"/>
                      <w:sz w:val="21"/>
                      <w:highlight w:val="none"/>
                      <w:lang w:val="en-US" w:eastAsia="zh-CN"/>
                    </w:rPr>
                    <w:t>《福建省工业炉窑大气污染综合治理方案》（闽环保大气〔2019〕10号）中明确规定的重点区域限值</w:t>
                  </w:r>
                  <w:r>
                    <w:rPr>
                      <w:rFonts w:hint="eastAsia" w:ascii="Times New Roman" w:hAnsi="Times New Roman"/>
                      <w:color w:val="auto"/>
                      <w:spacing w:val="7"/>
                      <w:sz w:val="21"/>
                      <w:highlight w:val="none"/>
                      <w:lang w:val="en-US" w:eastAsia="zh-CN"/>
                    </w:rPr>
                    <w:t>，烟气黑度参照执行《工业炉窑大气污染物排放标准》（GB9078-1996）表2标准限值（即烟气黑度≤1级（林格曼黑度）</w:t>
                  </w:r>
                </w:p>
              </w:tc>
            </w:tr>
            <w:tr w14:paraId="10A72B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757" w:type="pct"/>
                  <w:vMerge w:val="restart"/>
                  <w:tcBorders>
                    <w:tl2br w:val="nil"/>
                    <w:tr2bl w:val="nil"/>
                  </w:tcBorders>
                  <w:vAlign w:val="center"/>
                </w:tcPr>
                <w:p w14:paraId="01F0B9C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2"/>
                      <w:sz w:val="21"/>
                      <w:szCs w:val="20"/>
                      <w:highlight w:val="none"/>
                      <w:lang w:eastAsia="zh-CN"/>
                    </w:rPr>
                  </w:pPr>
                  <w:r>
                    <w:rPr>
                      <w:rFonts w:hint="eastAsia" w:cs="Times New Roman"/>
                      <w:color w:val="auto"/>
                      <w:position w:val="2"/>
                      <w:sz w:val="21"/>
                      <w:szCs w:val="20"/>
                      <w:highlight w:val="none"/>
                      <w:lang w:eastAsia="zh-CN"/>
                    </w:rPr>
                    <w:t>DA002</w:t>
                  </w:r>
                </w:p>
              </w:tc>
              <w:tc>
                <w:tcPr>
                  <w:tcW w:w="759" w:type="pct"/>
                  <w:vMerge w:val="restart"/>
                  <w:tcBorders>
                    <w:tl2br w:val="nil"/>
                    <w:tr2bl w:val="nil"/>
                  </w:tcBorders>
                  <w:vAlign w:val="center"/>
                </w:tcPr>
                <w:p w14:paraId="40362D5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auto"/>
                      <w:spacing w:val="4"/>
                      <w:sz w:val="21"/>
                      <w:highlight w:val="none"/>
                      <w:lang w:val="en-US" w:eastAsia="zh-CN"/>
                    </w:rPr>
                  </w:pPr>
                  <w:r>
                    <w:rPr>
                      <w:rFonts w:ascii="Times New Roman" w:hAnsi="Times New Roman" w:eastAsia="宋体"/>
                      <w:color w:val="auto"/>
                      <w:spacing w:val="4"/>
                      <w:sz w:val="21"/>
                      <w:highlight w:val="none"/>
                    </w:rPr>
                    <w:t>焊接</w:t>
                  </w:r>
                  <w:r>
                    <w:rPr>
                      <w:rFonts w:hint="eastAsia" w:ascii="Times New Roman" w:hAnsi="Times New Roman"/>
                      <w:color w:val="auto"/>
                      <w:spacing w:val="4"/>
                      <w:sz w:val="21"/>
                      <w:highlight w:val="none"/>
                      <w:lang w:val="en-US" w:eastAsia="zh-CN"/>
                    </w:rPr>
                    <w:t>废气、喷粉废气、喷粉固化废气、调漆废气和喷漆废气、喷漆固化废气</w:t>
                  </w:r>
                </w:p>
              </w:tc>
              <w:tc>
                <w:tcPr>
                  <w:tcW w:w="765" w:type="pct"/>
                  <w:vMerge w:val="restart"/>
                  <w:tcBorders>
                    <w:tl2br w:val="nil"/>
                    <w:tr2bl w:val="nil"/>
                  </w:tcBorders>
                  <w:vAlign w:val="center"/>
                </w:tcPr>
                <w:p w14:paraId="6D21D15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0"/>
                      <w:highlight w:val="none"/>
                      <w:lang w:eastAsia="zh-CN"/>
                    </w:rPr>
                  </w:pPr>
                  <w:r>
                    <w:rPr>
                      <w:rFonts w:hint="eastAsia" w:cs="Times New Roman"/>
                      <w:color w:val="auto"/>
                      <w:position w:val="2"/>
                      <w:sz w:val="21"/>
                      <w:szCs w:val="20"/>
                      <w:highlight w:val="none"/>
                      <w:lang w:eastAsia="zh-CN"/>
                    </w:rPr>
                    <w:t>DA002</w:t>
                  </w:r>
                </w:p>
                <w:p w14:paraId="3CDAB62D">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8"/>
                      <w:sz w:val="21"/>
                      <w:highlight w:val="none"/>
                    </w:rPr>
                  </w:pPr>
                  <w:r>
                    <w:rPr>
                      <w:rFonts w:ascii="Times New Roman" w:hAnsi="Times New Roman" w:eastAsia="宋体"/>
                      <w:color w:val="auto"/>
                      <w:spacing w:val="8"/>
                      <w:sz w:val="21"/>
                      <w:highlight w:val="none"/>
                    </w:rPr>
                    <w:t>废气排放口</w:t>
                  </w:r>
                </w:p>
              </w:tc>
              <w:tc>
                <w:tcPr>
                  <w:tcW w:w="885" w:type="pct"/>
                  <w:tcBorders>
                    <w:tl2br w:val="nil"/>
                    <w:tr2bl w:val="nil"/>
                  </w:tcBorders>
                  <w:vAlign w:val="center"/>
                </w:tcPr>
                <w:p w14:paraId="1568FADE">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7"/>
                      <w:sz w:val="21"/>
                      <w:highlight w:val="none"/>
                    </w:rPr>
                  </w:pPr>
                  <w:r>
                    <w:rPr>
                      <w:rFonts w:ascii="Times New Roman" w:hAnsi="Times New Roman" w:eastAsia="宋体"/>
                      <w:color w:val="auto"/>
                      <w:spacing w:val="-7"/>
                      <w:position w:val="1"/>
                      <w:sz w:val="21"/>
                      <w:highlight w:val="none"/>
                    </w:rPr>
                    <w:t>颗粒物</w:t>
                  </w:r>
                </w:p>
              </w:tc>
              <w:tc>
                <w:tcPr>
                  <w:tcW w:w="750" w:type="pct"/>
                  <w:vMerge w:val="restart"/>
                  <w:tcBorders>
                    <w:tl2br w:val="nil"/>
                    <w:tr2bl w:val="nil"/>
                  </w:tcBorders>
                  <w:vAlign w:val="center"/>
                </w:tcPr>
                <w:p w14:paraId="022A938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pacing w:val="-4"/>
                      <w:position w:val="1"/>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次</w:t>
                  </w:r>
                  <w:r>
                    <w:rPr>
                      <w:rFonts w:ascii="Times New Roman" w:hAnsi="Times New Roman" w:eastAsia="宋体" w:cs="Times New Roman"/>
                      <w:color w:val="auto"/>
                      <w:spacing w:val="-4"/>
                      <w:position w:val="1"/>
                      <w:sz w:val="21"/>
                      <w:highlight w:val="none"/>
                    </w:rPr>
                    <w:t>/</w:t>
                  </w:r>
                  <w:r>
                    <w:rPr>
                      <w:rFonts w:ascii="Times New Roman" w:hAnsi="Times New Roman" w:eastAsia="宋体"/>
                      <w:color w:val="auto"/>
                      <w:spacing w:val="-4"/>
                      <w:position w:val="1"/>
                      <w:sz w:val="21"/>
                      <w:highlight w:val="none"/>
                    </w:rPr>
                    <w:t>年</w:t>
                  </w:r>
                </w:p>
              </w:tc>
              <w:tc>
                <w:tcPr>
                  <w:tcW w:w="1081" w:type="pct"/>
                  <w:tcBorders>
                    <w:tl2br w:val="nil"/>
                    <w:tr2bl w:val="nil"/>
                  </w:tcBorders>
                  <w:vAlign w:val="center"/>
                </w:tcPr>
                <w:p w14:paraId="5C8D6D3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《大气污染物综</w:t>
                  </w:r>
                </w:p>
                <w:p w14:paraId="2A15617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合排放标准》</w:t>
                  </w:r>
                </w:p>
                <w:p w14:paraId="7185F69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5"/>
                      <w:position w:val="1"/>
                      <w:sz w:val="21"/>
                      <w:highlight w:val="none"/>
                    </w:rPr>
                  </w:pPr>
                  <w:r>
                    <w:rPr>
                      <w:rFonts w:ascii="Times New Roman" w:hAnsi="Times New Roman" w:eastAsia="宋体"/>
                      <w:color w:val="auto"/>
                      <w:spacing w:val="5"/>
                      <w:position w:val="1"/>
                      <w:sz w:val="21"/>
                      <w:highlight w:val="none"/>
                    </w:rPr>
                    <w:t>（</w:t>
                  </w:r>
                  <w:r>
                    <w:rPr>
                      <w:rFonts w:ascii="Times New Roman" w:hAnsi="Times New Roman" w:eastAsia="宋体" w:cs="Times New Roman"/>
                      <w:color w:val="auto"/>
                      <w:position w:val="1"/>
                      <w:sz w:val="21"/>
                      <w:highlight w:val="none"/>
                    </w:rPr>
                    <w:t>GB</w:t>
                  </w:r>
                  <w:r>
                    <w:rPr>
                      <w:rFonts w:ascii="Times New Roman" w:hAnsi="Times New Roman" w:eastAsia="宋体" w:cs="Times New Roman"/>
                      <w:color w:val="auto"/>
                      <w:spacing w:val="5"/>
                      <w:position w:val="1"/>
                      <w:sz w:val="21"/>
                      <w:highlight w:val="none"/>
                    </w:rPr>
                    <w:t>16297-1996</w:t>
                  </w:r>
                  <w:r>
                    <w:rPr>
                      <w:rFonts w:hint="eastAsia" w:ascii="Times New Roman" w:hAnsi="Times New Roman" w:cs="Times New Roman"/>
                      <w:color w:val="auto"/>
                      <w:spacing w:val="5"/>
                      <w:position w:val="1"/>
                      <w:sz w:val="21"/>
                      <w:highlight w:val="none"/>
                      <w:lang w:eastAsia="zh-CN"/>
                    </w:rPr>
                    <w:t>）</w:t>
                  </w:r>
                  <w:r>
                    <w:rPr>
                      <w:rFonts w:ascii="Times New Roman" w:hAnsi="Times New Roman" w:eastAsia="宋体"/>
                      <w:color w:val="auto"/>
                      <w:spacing w:val="-6"/>
                      <w:position w:val="1"/>
                      <w:sz w:val="21"/>
                      <w:highlight w:val="none"/>
                    </w:rPr>
                    <w:t>表</w:t>
                  </w:r>
                  <w:r>
                    <w:rPr>
                      <w:rFonts w:ascii="Times New Roman" w:hAnsi="Times New Roman" w:eastAsia="宋体" w:cs="Times New Roman"/>
                      <w:color w:val="auto"/>
                      <w:spacing w:val="-6"/>
                      <w:position w:val="1"/>
                      <w:sz w:val="21"/>
                      <w:highlight w:val="none"/>
                    </w:rPr>
                    <w:t>2</w:t>
                  </w:r>
                  <w:r>
                    <w:rPr>
                      <w:rFonts w:ascii="Times New Roman" w:hAnsi="Times New Roman" w:eastAsia="宋体"/>
                      <w:color w:val="auto"/>
                      <w:spacing w:val="-6"/>
                      <w:position w:val="1"/>
                      <w:sz w:val="21"/>
                      <w:highlight w:val="none"/>
                    </w:rPr>
                    <w:t>标准</w:t>
                  </w:r>
                </w:p>
              </w:tc>
            </w:tr>
            <w:tr w14:paraId="138938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757" w:type="pct"/>
                  <w:vMerge w:val="continue"/>
                  <w:tcBorders>
                    <w:tl2br w:val="nil"/>
                    <w:tr2bl w:val="nil"/>
                  </w:tcBorders>
                  <w:vAlign w:val="center"/>
                </w:tcPr>
                <w:p w14:paraId="192282C5">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pPr>
                </w:p>
              </w:tc>
              <w:tc>
                <w:tcPr>
                  <w:tcW w:w="759" w:type="pct"/>
                  <w:vMerge w:val="continue"/>
                  <w:tcBorders>
                    <w:tl2br w:val="nil"/>
                    <w:tr2bl w:val="nil"/>
                  </w:tcBorders>
                  <w:vAlign w:val="center"/>
                </w:tcPr>
                <w:p w14:paraId="017EE779">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pPr>
                </w:p>
              </w:tc>
              <w:tc>
                <w:tcPr>
                  <w:tcW w:w="765" w:type="pct"/>
                  <w:vMerge w:val="continue"/>
                  <w:tcBorders>
                    <w:tl2br w:val="nil"/>
                    <w:tr2bl w:val="nil"/>
                  </w:tcBorders>
                  <w:vAlign w:val="center"/>
                </w:tcPr>
                <w:p w14:paraId="4C64C34A">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pPr>
                </w:p>
              </w:tc>
              <w:tc>
                <w:tcPr>
                  <w:tcW w:w="885" w:type="pct"/>
                  <w:tcBorders>
                    <w:tl2br w:val="nil"/>
                    <w:tr2bl w:val="nil"/>
                  </w:tcBorders>
                  <w:vAlign w:val="center"/>
                </w:tcPr>
                <w:p w14:paraId="6B7E82D1">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7"/>
                      <w:position w:val="1"/>
                      <w:sz w:val="21"/>
                      <w:highlight w:val="none"/>
                    </w:rPr>
                  </w:pPr>
                  <w:r>
                    <w:rPr>
                      <w:rFonts w:ascii="Times New Roman" w:hAnsi="Times New Roman" w:eastAsia="宋体"/>
                      <w:color w:val="auto"/>
                      <w:spacing w:val="7"/>
                      <w:sz w:val="21"/>
                      <w:highlight w:val="none"/>
                    </w:rPr>
                    <w:t>非甲烷总烃</w:t>
                  </w:r>
                </w:p>
              </w:tc>
              <w:tc>
                <w:tcPr>
                  <w:tcW w:w="750" w:type="pct"/>
                  <w:vMerge w:val="continue"/>
                  <w:tcBorders>
                    <w:tl2br w:val="nil"/>
                    <w:tr2bl w:val="nil"/>
                  </w:tcBorders>
                  <w:vAlign w:val="center"/>
                </w:tcPr>
                <w:p w14:paraId="22DACCC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7"/>
                      <w:position w:val="1"/>
                      <w:sz w:val="21"/>
                      <w:highlight w:val="none"/>
                    </w:rPr>
                  </w:pPr>
                </w:p>
              </w:tc>
              <w:tc>
                <w:tcPr>
                  <w:tcW w:w="1081" w:type="pct"/>
                  <w:tcBorders>
                    <w:tl2br w:val="nil"/>
                    <w:tr2bl w:val="nil"/>
                  </w:tcBorders>
                  <w:vAlign w:val="center"/>
                </w:tcPr>
                <w:p w14:paraId="7F698484">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7"/>
                      <w:position w:val="1"/>
                      <w:sz w:val="21"/>
                      <w:highlight w:val="none"/>
                    </w:rPr>
                  </w:pPr>
                  <w:r>
                    <w:rPr>
                      <w:rFonts w:hint="eastAsia" w:ascii="Times New Roman" w:hAnsi="Times New Roman" w:eastAsia="宋体"/>
                      <w:color w:val="auto"/>
                      <w:sz w:val="21"/>
                      <w:highlight w:val="none"/>
                    </w:rPr>
                    <w:t>《工业企业挥发性有机物排放标准》（DB35 1782-2018）表1</w:t>
                  </w:r>
                </w:p>
              </w:tc>
            </w:tr>
            <w:tr w14:paraId="2F367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23" w:hRule="atLeast"/>
              </w:trPr>
              <w:tc>
                <w:tcPr>
                  <w:tcW w:w="757" w:type="pct"/>
                  <w:tcBorders>
                    <w:tl2br w:val="nil"/>
                    <w:tr2bl w:val="nil"/>
                  </w:tcBorders>
                  <w:vAlign w:val="center"/>
                </w:tcPr>
                <w:p w14:paraId="0FA6D36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position w:val="2"/>
                      <w:sz w:val="21"/>
                      <w:szCs w:val="20"/>
                      <w:highlight w:val="none"/>
                      <w:lang w:eastAsia="zh-CN"/>
                    </w:rPr>
                  </w:pPr>
                  <w:r>
                    <w:rPr>
                      <w:rFonts w:hint="eastAsia" w:cs="Times New Roman"/>
                      <w:color w:val="auto"/>
                      <w:position w:val="2"/>
                      <w:sz w:val="21"/>
                      <w:szCs w:val="20"/>
                      <w:highlight w:val="none"/>
                      <w:lang w:eastAsia="zh-CN"/>
                    </w:rPr>
                    <w:t>DA003</w:t>
                  </w:r>
                </w:p>
              </w:tc>
              <w:tc>
                <w:tcPr>
                  <w:tcW w:w="759" w:type="pct"/>
                  <w:tcBorders>
                    <w:tl2br w:val="nil"/>
                    <w:tr2bl w:val="nil"/>
                  </w:tcBorders>
                  <w:vAlign w:val="center"/>
                </w:tcPr>
                <w:p w14:paraId="35B89BE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auto"/>
                      <w:spacing w:val="4"/>
                      <w:sz w:val="21"/>
                      <w:highlight w:val="none"/>
                      <w:lang w:val="en-US" w:eastAsia="zh-CN"/>
                    </w:rPr>
                  </w:pPr>
                  <w:r>
                    <w:rPr>
                      <w:rFonts w:hint="eastAsia" w:ascii="Times New Roman" w:hAnsi="Times New Roman"/>
                      <w:color w:val="auto"/>
                      <w:spacing w:val="7"/>
                      <w:sz w:val="21"/>
                      <w:highlight w:val="none"/>
                      <w:lang w:eastAsia="zh-CN"/>
                    </w:rPr>
                    <w:t>（</w:t>
                  </w:r>
                  <w:r>
                    <w:rPr>
                      <w:rFonts w:hint="eastAsia" w:ascii="Times New Roman" w:hAnsi="Times New Roman"/>
                      <w:color w:val="auto"/>
                      <w:spacing w:val="7"/>
                      <w:sz w:val="21"/>
                      <w:highlight w:val="none"/>
                      <w:lang w:val="en-US" w:eastAsia="zh-CN"/>
                    </w:rPr>
                    <w:t>喷粉、喷漆）</w:t>
                  </w:r>
                  <w:r>
                    <w:rPr>
                      <w:rFonts w:ascii="Times New Roman" w:hAnsi="Times New Roman" w:eastAsia="宋体"/>
                      <w:color w:val="auto"/>
                      <w:spacing w:val="7"/>
                      <w:sz w:val="21"/>
                      <w:highlight w:val="none"/>
                    </w:rPr>
                    <w:t>天然气燃烧</w:t>
                  </w:r>
                </w:p>
              </w:tc>
              <w:tc>
                <w:tcPr>
                  <w:tcW w:w="765" w:type="pct"/>
                  <w:tcBorders>
                    <w:tl2br w:val="nil"/>
                    <w:tr2bl w:val="nil"/>
                  </w:tcBorders>
                  <w:vAlign w:val="center"/>
                </w:tcPr>
                <w:p w14:paraId="32CA29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z w:val="21"/>
                      <w:szCs w:val="20"/>
                      <w:highlight w:val="none"/>
                      <w:lang w:val="en-US" w:eastAsia="zh-CN"/>
                    </w:rPr>
                  </w:pPr>
                  <w:r>
                    <w:rPr>
                      <w:rFonts w:hint="eastAsia" w:cs="Times New Roman"/>
                      <w:color w:val="auto"/>
                      <w:position w:val="2"/>
                      <w:sz w:val="21"/>
                      <w:szCs w:val="20"/>
                      <w:highlight w:val="none"/>
                      <w:lang w:eastAsia="zh-CN"/>
                    </w:rPr>
                    <w:t>DA003</w:t>
                  </w:r>
                </w:p>
                <w:p w14:paraId="1D84886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8"/>
                      <w:sz w:val="21"/>
                      <w:highlight w:val="none"/>
                    </w:rPr>
                  </w:pPr>
                  <w:r>
                    <w:rPr>
                      <w:rFonts w:ascii="Times New Roman" w:hAnsi="Times New Roman" w:eastAsia="宋体"/>
                      <w:color w:val="auto"/>
                      <w:spacing w:val="8"/>
                      <w:sz w:val="21"/>
                      <w:highlight w:val="none"/>
                    </w:rPr>
                    <w:t>废气排放口</w:t>
                  </w:r>
                </w:p>
              </w:tc>
              <w:tc>
                <w:tcPr>
                  <w:tcW w:w="885" w:type="pct"/>
                  <w:tcBorders>
                    <w:tl2br w:val="nil"/>
                    <w:tr2bl w:val="nil"/>
                  </w:tcBorders>
                  <w:vAlign w:val="center"/>
                </w:tcPr>
                <w:p w14:paraId="4275326C">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auto"/>
                      <w:spacing w:val="7"/>
                      <w:sz w:val="21"/>
                      <w:highlight w:val="none"/>
                      <w:lang w:val="en-US" w:eastAsia="zh-CN"/>
                    </w:rPr>
                  </w:pPr>
                  <w:r>
                    <w:rPr>
                      <w:rFonts w:hint="eastAsia" w:ascii="Times New Roman" w:hAnsi="Times New Roman"/>
                      <w:color w:val="auto"/>
                      <w:spacing w:val="-7"/>
                      <w:position w:val="1"/>
                      <w:sz w:val="21"/>
                      <w:highlight w:val="none"/>
                      <w:lang w:val="en-US" w:eastAsia="zh-CN"/>
                    </w:rPr>
                    <w:t>烟尘（</w:t>
                  </w:r>
                  <w:r>
                    <w:rPr>
                      <w:rFonts w:ascii="Times New Roman" w:hAnsi="Times New Roman" w:eastAsia="宋体"/>
                      <w:color w:val="auto"/>
                      <w:spacing w:val="-7"/>
                      <w:position w:val="1"/>
                      <w:sz w:val="21"/>
                      <w:highlight w:val="none"/>
                    </w:rPr>
                    <w:t>颗粒物</w:t>
                  </w:r>
                  <w:r>
                    <w:rPr>
                      <w:rFonts w:hint="eastAsia" w:ascii="Times New Roman" w:hAnsi="Times New Roman"/>
                      <w:color w:val="auto"/>
                      <w:spacing w:val="-7"/>
                      <w:position w:val="1"/>
                      <w:sz w:val="21"/>
                      <w:highlight w:val="none"/>
                      <w:lang w:eastAsia="zh-CN"/>
                    </w:rPr>
                    <w:t>）</w:t>
                  </w:r>
                  <w:r>
                    <w:rPr>
                      <w:rFonts w:ascii="Times New Roman" w:hAnsi="Times New Roman" w:eastAsia="宋体"/>
                      <w:color w:val="auto"/>
                      <w:spacing w:val="-7"/>
                      <w:position w:val="1"/>
                      <w:sz w:val="21"/>
                      <w:highlight w:val="none"/>
                    </w:rPr>
                    <w:t>、</w:t>
                  </w:r>
                  <w:r>
                    <w:rPr>
                      <w:rFonts w:ascii="Times New Roman" w:hAnsi="Times New Roman" w:eastAsia="宋体" w:cs="Times New Roman"/>
                      <w:color w:val="auto"/>
                      <w:spacing w:val="-7"/>
                      <w:position w:val="1"/>
                      <w:sz w:val="21"/>
                      <w:highlight w:val="none"/>
                    </w:rPr>
                    <w:t>SO</w:t>
                  </w:r>
                  <w:r>
                    <w:rPr>
                      <w:rFonts w:ascii="Times New Roman" w:hAnsi="Times New Roman" w:eastAsia="宋体" w:cs="Times New Roman"/>
                      <w:color w:val="auto"/>
                      <w:spacing w:val="-7"/>
                      <w:sz w:val="21"/>
                      <w:szCs w:val="13"/>
                      <w:highlight w:val="none"/>
                      <w:vertAlign w:val="subscript"/>
                    </w:rPr>
                    <w:t>2</w:t>
                  </w:r>
                  <w:r>
                    <w:rPr>
                      <w:rFonts w:ascii="Times New Roman" w:hAnsi="Times New Roman" w:eastAsia="宋体"/>
                      <w:color w:val="auto"/>
                      <w:spacing w:val="-7"/>
                      <w:position w:val="1"/>
                      <w:sz w:val="21"/>
                      <w:highlight w:val="none"/>
                    </w:rPr>
                    <w:t>、</w:t>
                  </w:r>
                  <w:r>
                    <w:rPr>
                      <w:rFonts w:ascii="Times New Roman" w:hAnsi="Times New Roman" w:eastAsia="宋体" w:cs="Times New Roman"/>
                      <w:color w:val="auto"/>
                      <w:spacing w:val="6"/>
                      <w:sz w:val="21"/>
                      <w:szCs w:val="20"/>
                      <w:highlight w:val="none"/>
                    </w:rPr>
                    <w:t>NOx</w:t>
                  </w:r>
                  <w:r>
                    <w:rPr>
                      <w:rFonts w:hint="eastAsia" w:ascii="Times New Roman" w:hAnsi="Times New Roman" w:cs="Times New Roman"/>
                      <w:color w:val="auto"/>
                      <w:spacing w:val="6"/>
                      <w:sz w:val="21"/>
                      <w:szCs w:val="20"/>
                      <w:highlight w:val="none"/>
                      <w:lang w:eastAsia="zh-CN"/>
                    </w:rPr>
                    <w:t>、</w:t>
                  </w:r>
                  <w:r>
                    <w:rPr>
                      <w:rFonts w:hint="eastAsia" w:ascii="Times New Roman" w:hAnsi="Times New Roman" w:cs="Times New Roman"/>
                      <w:color w:val="auto"/>
                      <w:spacing w:val="6"/>
                      <w:sz w:val="21"/>
                      <w:szCs w:val="20"/>
                      <w:highlight w:val="none"/>
                      <w:lang w:val="en-US" w:eastAsia="zh-CN"/>
                    </w:rPr>
                    <w:t>烟气黑度</w:t>
                  </w:r>
                </w:p>
              </w:tc>
              <w:tc>
                <w:tcPr>
                  <w:tcW w:w="750" w:type="pct"/>
                  <w:tcBorders>
                    <w:tl2br w:val="nil"/>
                    <w:tr2bl w:val="nil"/>
                  </w:tcBorders>
                  <w:vAlign w:val="center"/>
                </w:tcPr>
                <w:p w14:paraId="05A276F7">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pacing w:val="-4"/>
                      <w:position w:val="1"/>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次</w:t>
                  </w:r>
                  <w:r>
                    <w:rPr>
                      <w:rFonts w:ascii="Times New Roman" w:hAnsi="Times New Roman" w:eastAsia="宋体" w:cs="Times New Roman"/>
                      <w:color w:val="auto"/>
                      <w:spacing w:val="-4"/>
                      <w:position w:val="1"/>
                      <w:sz w:val="21"/>
                      <w:highlight w:val="none"/>
                    </w:rPr>
                    <w:t>/</w:t>
                  </w:r>
                  <w:r>
                    <w:rPr>
                      <w:rFonts w:ascii="Times New Roman" w:hAnsi="Times New Roman" w:eastAsia="宋体"/>
                      <w:color w:val="auto"/>
                      <w:spacing w:val="-4"/>
                      <w:position w:val="1"/>
                      <w:sz w:val="21"/>
                      <w:highlight w:val="none"/>
                    </w:rPr>
                    <w:t>年</w:t>
                  </w:r>
                </w:p>
              </w:tc>
              <w:tc>
                <w:tcPr>
                  <w:tcW w:w="1081" w:type="pct"/>
                  <w:tcBorders>
                    <w:tl2br w:val="nil"/>
                    <w:tr2bl w:val="nil"/>
                  </w:tcBorders>
                  <w:vAlign w:val="center"/>
                </w:tcPr>
                <w:p w14:paraId="7988C818">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pacing w:val="5"/>
                      <w:position w:val="1"/>
                      <w:sz w:val="21"/>
                      <w:highlight w:val="none"/>
                    </w:rPr>
                  </w:pPr>
                  <w:r>
                    <w:rPr>
                      <w:rFonts w:hint="eastAsia" w:ascii="Times New Roman" w:hAnsi="Times New Roman" w:eastAsia="宋体"/>
                      <w:color w:val="auto"/>
                      <w:spacing w:val="7"/>
                      <w:sz w:val="21"/>
                      <w:highlight w:val="none"/>
                      <w:lang w:val="en-US" w:eastAsia="zh-CN"/>
                    </w:rPr>
                    <w:t>《福建省工业炉窑大气污染综合治理方案》（闽环保大气〔2019〕10号）中明确规定的重点区域限值</w:t>
                  </w:r>
                  <w:r>
                    <w:rPr>
                      <w:rFonts w:hint="eastAsia" w:ascii="Times New Roman" w:hAnsi="Times New Roman"/>
                      <w:color w:val="auto"/>
                      <w:spacing w:val="7"/>
                      <w:sz w:val="21"/>
                      <w:highlight w:val="none"/>
                      <w:lang w:val="en-US" w:eastAsia="zh-CN"/>
                    </w:rPr>
                    <w:t>，烟气黑度参照执行《工业炉窑大气污染物排放标准》（GB9078-1996）表2标准限值（即烟气黑度≤1级（林格曼黑度）</w:t>
                  </w:r>
                </w:p>
              </w:tc>
            </w:tr>
          </w:tbl>
          <w:p w14:paraId="25665F4E">
            <w:pPr>
              <w:pStyle w:val="48"/>
              <w:rPr>
                <w:rFonts w:hint="eastAsia"/>
                <w:color w:val="auto"/>
                <w:highlight w:val="none"/>
                <w:lang w:val="en-US" w:eastAsia="zh-CN"/>
              </w:rPr>
            </w:pPr>
          </w:p>
          <w:p w14:paraId="1092FEC1">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120"/>
              <w:ind w:left="630" w:leftChars="0"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无组织废气排放监测点位、监测指标及最低监测频次</w:t>
            </w:r>
          </w:p>
          <w:tbl>
            <w:tblPr>
              <w:tblStyle w:val="86"/>
              <w:tblW w:w="4992"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35"/>
              <w:gridCol w:w="1384"/>
              <w:gridCol w:w="5818"/>
            </w:tblGrid>
            <w:tr w14:paraId="4B10EB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878" w:type="pct"/>
                  <w:tcBorders>
                    <w:bottom w:val="single" w:color="000000" w:sz="12" w:space="0"/>
                  </w:tcBorders>
                  <w:vAlign w:val="center"/>
                </w:tcPr>
                <w:p w14:paraId="72F6DAC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b/>
                      <w:bCs/>
                      <w:color w:val="auto"/>
                      <w:spacing w:val="6"/>
                      <w:sz w:val="21"/>
                      <w:szCs w:val="21"/>
                    </w:rPr>
                    <w:t>监测指标</w:t>
                  </w:r>
                </w:p>
              </w:tc>
              <w:tc>
                <w:tcPr>
                  <w:tcW w:w="792" w:type="pct"/>
                  <w:tcBorders>
                    <w:bottom w:val="single" w:color="000000" w:sz="12" w:space="0"/>
                  </w:tcBorders>
                  <w:vAlign w:val="center"/>
                </w:tcPr>
                <w:p w14:paraId="74C85C8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b/>
                      <w:bCs/>
                      <w:color w:val="auto"/>
                      <w:spacing w:val="6"/>
                      <w:sz w:val="21"/>
                      <w:szCs w:val="21"/>
                    </w:rPr>
                    <w:t>监测频率</w:t>
                  </w:r>
                </w:p>
              </w:tc>
              <w:tc>
                <w:tcPr>
                  <w:tcW w:w="3328" w:type="pct"/>
                  <w:tcBorders>
                    <w:bottom w:val="single" w:color="000000" w:sz="12" w:space="0"/>
                  </w:tcBorders>
                  <w:vAlign w:val="center"/>
                </w:tcPr>
                <w:p w14:paraId="7F7B910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b/>
                      <w:bCs/>
                      <w:color w:val="auto"/>
                      <w:spacing w:val="6"/>
                      <w:sz w:val="21"/>
                      <w:szCs w:val="21"/>
                    </w:rPr>
                    <w:t>执行标准</w:t>
                  </w:r>
                </w:p>
              </w:tc>
            </w:tr>
            <w:tr w14:paraId="7AEEE5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878" w:type="pct"/>
                  <w:tcBorders>
                    <w:top w:val="single" w:color="000000" w:sz="12" w:space="0"/>
                    <w:tl2br w:val="nil"/>
                    <w:tr2bl w:val="nil"/>
                  </w:tcBorders>
                  <w:vAlign w:val="center"/>
                </w:tcPr>
                <w:p w14:paraId="52F9008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7"/>
                      <w:sz w:val="21"/>
                      <w:szCs w:val="21"/>
                    </w:rPr>
                    <w:t>非甲烷总烃</w:t>
                  </w:r>
                </w:p>
              </w:tc>
              <w:tc>
                <w:tcPr>
                  <w:tcW w:w="792" w:type="pct"/>
                  <w:tcBorders>
                    <w:top w:val="single" w:color="000000" w:sz="12" w:space="0"/>
                    <w:tl2br w:val="nil"/>
                    <w:tr2bl w:val="nil"/>
                  </w:tcBorders>
                  <w:vAlign w:val="center"/>
                </w:tcPr>
                <w:p w14:paraId="2C8383E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1</w:t>
                  </w:r>
                  <w:r>
                    <w:rPr>
                      <w:rFonts w:ascii="Times New Roman" w:hAnsi="Times New Roman" w:eastAsia="宋体"/>
                      <w:color w:val="auto"/>
                      <w:spacing w:val="-1"/>
                      <w:sz w:val="21"/>
                      <w:szCs w:val="21"/>
                    </w:rPr>
                    <w:t>次</w:t>
                  </w:r>
                  <w:r>
                    <w:rPr>
                      <w:rFonts w:ascii="Times New Roman" w:hAnsi="Times New Roman" w:eastAsia="宋体" w:cs="Times New Roman"/>
                      <w:color w:val="auto"/>
                      <w:spacing w:val="-1"/>
                      <w:sz w:val="21"/>
                      <w:szCs w:val="21"/>
                    </w:rPr>
                    <w:t>/</w:t>
                  </w:r>
                  <w:r>
                    <w:rPr>
                      <w:rFonts w:ascii="Times New Roman" w:hAnsi="Times New Roman" w:eastAsia="宋体"/>
                      <w:color w:val="auto"/>
                      <w:spacing w:val="-1"/>
                      <w:sz w:val="21"/>
                      <w:szCs w:val="21"/>
                    </w:rPr>
                    <w:t>半年</w:t>
                  </w:r>
                </w:p>
              </w:tc>
              <w:tc>
                <w:tcPr>
                  <w:tcW w:w="3328" w:type="pct"/>
                  <w:tcBorders>
                    <w:top w:val="single" w:color="000000" w:sz="12" w:space="0"/>
                    <w:tl2br w:val="nil"/>
                    <w:tr2bl w:val="nil"/>
                  </w:tcBorders>
                  <w:vAlign w:val="center"/>
                </w:tcPr>
                <w:p w14:paraId="2CBF5EB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8"/>
                      <w:sz w:val="21"/>
                      <w:szCs w:val="21"/>
                    </w:rPr>
                    <w:t>《挥发性有机物无组织排放控制标准》</w:t>
                  </w:r>
                  <w:r>
                    <w:rPr>
                      <w:rFonts w:ascii="Times New Roman" w:hAnsi="Times New Roman" w:eastAsia="宋体"/>
                      <w:color w:val="auto"/>
                      <w:spacing w:val="5"/>
                      <w:sz w:val="21"/>
                      <w:szCs w:val="21"/>
                    </w:rPr>
                    <w:t>（</w:t>
                  </w:r>
                  <w:r>
                    <w:rPr>
                      <w:rFonts w:ascii="Times New Roman" w:hAnsi="Times New Roman" w:eastAsia="宋体" w:cs="Times New Roman"/>
                      <w:color w:val="auto"/>
                      <w:sz w:val="21"/>
                      <w:szCs w:val="21"/>
                    </w:rPr>
                    <w:t>GB</w:t>
                  </w:r>
                  <w:r>
                    <w:rPr>
                      <w:rFonts w:ascii="Times New Roman" w:hAnsi="Times New Roman" w:eastAsia="宋体" w:cs="Times New Roman"/>
                      <w:color w:val="auto"/>
                      <w:spacing w:val="5"/>
                      <w:sz w:val="21"/>
                      <w:szCs w:val="21"/>
                    </w:rPr>
                    <w:t>37822-2019</w:t>
                  </w:r>
                  <w:r>
                    <w:rPr>
                      <w:rFonts w:ascii="Times New Roman" w:hAnsi="Times New Roman" w:eastAsia="宋体"/>
                      <w:color w:val="auto"/>
                      <w:spacing w:val="5"/>
                      <w:sz w:val="21"/>
                      <w:szCs w:val="21"/>
                    </w:rPr>
                    <w:t>）表</w:t>
                  </w:r>
                  <w:r>
                    <w:rPr>
                      <w:rFonts w:ascii="Times New Roman" w:hAnsi="Times New Roman" w:eastAsia="宋体" w:cs="Times New Roman"/>
                      <w:color w:val="auto"/>
                      <w:spacing w:val="5"/>
                      <w:sz w:val="21"/>
                      <w:szCs w:val="21"/>
                    </w:rPr>
                    <w:t>A.1</w:t>
                  </w:r>
                  <w:r>
                    <w:rPr>
                      <w:rFonts w:ascii="Times New Roman" w:hAnsi="Times New Roman" w:eastAsia="宋体"/>
                      <w:color w:val="auto"/>
                      <w:spacing w:val="5"/>
                      <w:sz w:val="21"/>
                      <w:szCs w:val="21"/>
                    </w:rPr>
                    <w:t>特别排放限值</w:t>
                  </w:r>
                </w:p>
              </w:tc>
            </w:tr>
            <w:tr w14:paraId="5F99A0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878" w:type="pct"/>
                  <w:tcBorders>
                    <w:tl2br w:val="nil"/>
                    <w:tr2bl w:val="nil"/>
                  </w:tcBorders>
                  <w:vAlign w:val="center"/>
                </w:tcPr>
                <w:p w14:paraId="4C5D2BA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7"/>
                      <w:sz w:val="21"/>
                      <w:szCs w:val="21"/>
                    </w:rPr>
                    <w:t>颗粒物</w:t>
                  </w:r>
                </w:p>
              </w:tc>
              <w:tc>
                <w:tcPr>
                  <w:tcW w:w="792" w:type="pct"/>
                  <w:tcBorders>
                    <w:tl2br w:val="nil"/>
                    <w:tr2bl w:val="nil"/>
                  </w:tcBorders>
                  <w:vAlign w:val="center"/>
                </w:tcPr>
                <w:p w14:paraId="6C7619B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s="Times New Roman"/>
                      <w:color w:val="auto"/>
                      <w:spacing w:val="-1"/>
                      <w:sz w:val="21"/>
                      <w:szCs w:val="21"/>
                    </w:rPr>
                    <w:t>1</w:t>
                  </w:r>
                  <w:r>
                    <w:rPr>
                      <w:rFonts w:ascii="Times New Roman" w:hAnsi="Times New Roman" w:eastAsia="宋体"/>
                      <w:color w:val="auto"/>
                      <w:spacing w:val="-1"/>
                      <w:sz w:val="21"/>
                      <w:szCs w:val="21"/>
                    </w:rPr>
                    <w:t>次</w:t>
                  </w:r>
                  <w:r>
                    <w:rPr>
                      <w:rFonts w:ascii="Times New Roman" w:hAnsi="Times New Roman" w:eastAsia="宋体" w:cs="Times New Roman"/>
                      <w:color w:val="auto"/>
                      <w:spacing w:val="-1"/>
                      <w:sz w:val="21"/>
                      <w:szCs w:val="21"/>
                    </w:rPr>
                    <w:t>/</w:t>
                  </w:r>
                  <w:r>
                    <w:rPr>
                      <w:rFonts w:ascii="Times New Roman" w:hAnsi="Times New Roman" w:eastAsia="宋体"/>
                      <w:color w:val="auto"/>
                      <w:spacing w:val="-1"/>
                      <w:sz w:val="21"/>
                      <w:szCs w:val="21"/>
                    </w:rPr>
                    <w:t>半年</w:t>
                  </w:r>
                </w:p>
              </w:tc>
              <w:tc>
                <w:tcPr>
                  <w:tcW w:w="3328" w:type="pct"/>
                  <w:tcBorders>
                    <w:tl2br w:val="nil"/>
                    <w:tr2bl w:val="nil"/>
                  </w:tcBorders>
                  <w:vAlign w:val="center"/>
                </w:tcPr>
                <w:p w14:paraId="58078D3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s="Times New Roman"/>
                      <w:color w:val="auto"/>
                      <w:sz w:val="21"/>
                      <w:szCs w:val="21"/>
                    </w:rPr>
                  </w:pPr>
                  <w:r>
                    <w:rPr>
                      <w:rFonts w:ascii="Times New Roman" w:hAnsi="Times New Roman" w:eastAsia="宋体"/>
                      <w:color w:val="auto"/>
                      <w:spacing w:val="7"/>
                      <w:sz w:val="21"/>
                      <w:szCs w:val="21"/>
                    </w:rPr>
                    <w:t>《大气污染物综合排放标准》（</w:t>
                  </w:r>
                  <w:r>
                    <w:rPr>
                      <w:rFonts w:ascii="Times New Roman" w:hAnsi="Times New Roman" w:eastAsia="宋体" w:cs="Times New Roman"/>
                      <w:color w:val="auto"/>
                      <w:sz w:val="21"/>
                      <w:szCs w:val="21"/>
                    </w:rPr>
                    <w:t>GB</w:t>
                  </w:r>
                  <w:r>
                    <w:rPr>
                      <w:rFonts w:ascii="Times New Roman" w:hAnsi="Times New Roman" w:eastAsia="宋体" w:cs="Times New Roman"/>
                      <w:color w:val="auto"/>
                      <w:spacing w:val="27"/>
                      <w:w w:val="101"/>
                      <w:sz w:val="21"/>
                      <w:szCs w:val="21"/>
                    </w:rPr>
                    <w:t xml:space="preserve"> </w:t>
                  </w:r>
                  <w:r>
                    <w:rPr>
                      <w:rFonts w:ascii="Times New Roman" w:hAnsi="Times New Roman" w:eastAsia="宋体" w:cs="Times New Roman"/>
                      <w:color w:val="auto"/>
                      <w:spacing w:val="7"/>
                      <w:sz w:val="21"/>
                      <w:szCs w:val="21"/>
                    </w:rPr>
                    <w:t>16297-</w:t>
                  </w:r>
                  <w:r>
                    <w:rPr>
                      <w:rFonts w:ascii="Times New Roman" w:hAnsi="Times New Roman" w:eastAsia="宋体" w:cs="Times New Roman"/>
                      <w:color w:val="auto"/>
                      <w:spacing w:val="6"/>
                      <w:sz w:val="21"/>
                      <w:szCs w:val="21"/>
                    </w:rPr>
                    <w:t>1996</w:t>
                  </w:r>
                  <w:r>
                    <w:rPr>
                      <w:rFonts w:ascii="Times New Roman" w:hAnsi="Times New Roman" w:eastAsia="宋体"/>
                      <w:color w:val="auto"/>
                      <w:spacing w:val="6"/>
                      <w:sz w:val="21"/>
                      <w:szCs w:val="21"/>
                    </w:rPr>
                    <w:t>）表</w:t>
                  </w:r>
                  <w:r>
                    <w:rPr>
                      <w:rFonts w:ascii="Times New Roman" w:hAnsi="Times New Roman" w:eastAsia="宋体" w:cs="Times New Roman"/>
                      <w:color w:val="auto"/>
                      <w:spacing w:val="6"/>
                      <w:sz w:val="21"/>
                      <w:szCs w:val="21"/>
                    </w:rPr>
                    <w:t>2</w:t>
                  </w:r>
                </w:p>
                <w:p w14:paraId="01C6B0E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z w:val="21"/>
                      <w:szCs w:val="21"/>
                    </w:rPr>
                  </w:pPr>
                  <w:r>
                    <w:rPr>
                      <w:rFonts w:ascii="Times New Roman" w:hAnsi="Times New Roman" w:eastAsia="宋体"/>
                      <w:color w:val="auto"/>
                      <w:spacing w:val="6"/>
                      <w:sz w:val="21"/>
                      <w:szCs w:val="21"/>
                    </w:rPr>
                    <w:t>中无组织限值要求</w:t>
                  </w:r>
                </w:p>
              </w:tc>
            </w:tr>
            <w:tr w14:paraId="128DB0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878" w:type="pct"/>
                  <w:tcBorders>
                    <w:tl2br w:val="nil"/>
                    <w:tr2bl w:val="nil"/>
                  </w:tcBorders>
                  <w:shd w:val="clear" w:color="auto" w:fill="auto"/>
                  <w:vAlign w:val="center"/>
                </w:tcPr>
                <w:p w14:paraId="6ABAE4C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z w:val="21"/>
                      <w:szCs w:val="21"/>
                    </w:rPr>
                    <w:t>氨</w:t>
                  </w:r>
                </w:p>
              </w:tc>
              <w:tc>
                <w:tcPr>
                  <w:tcW w:w="792" w:type="pct"/>
                  <w:tcBorders>
                    <w:tl2br w:val="nil"/>
                    <w:tr2bl w:val="nil"/>
                  </w:tcBorders>
                  <w:shd w:val="clear" w:color="auto" w:fill="auto"/>
                  <w:vAlign w:val="center"/>
                </w:tcPr>
                <w:p w14:paraId="27A36F7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3"/>
                      <w:sz w:val="21"/>
                      <w:szCs w:val="21"/>
                    </w:rPr>
                    <w:t>1</w:t>
                  </w:r>
                  <w:r>
                    <w:rPr>
                      <w:color w:val="auto"/>
                      <w:spacing w:val="-3"/>
                      <w:sz w:val="21"/>
                      <w:szCs w:val="21"/>
                    </w:rPr>
                    <w:t>次</w:t>
                  </w:r>
                  <w:r>
                    <w:rPr>
                      <w:rFonts w:ascii="Times New Roman" w:hAnsi="Times New Roman" w:eastAsia="Times New Roman" w:cs="Times New Roman"/>
                      <w:color w:val="auto"/>
                      <w:spacing w:val="-3"/>
                      <w:sz w:val="21"/>
                      <w:szCs w:val="21"/>
                    </w:rPr>
                    <w:t>/</w:t>
                  </w:r>
                  <w:r>
                    <w:rPr>
                      <w:color w:val="auto"/>
                      <w:spacing w:val="-3"/>
                      <w:sz w:val="21"/>
                      <w:szCs w:val="21"/>
                    </w:rPr>
                    <w:t>年</w:t>
                  </w:r>
                </w:p>
              </w:tc>
              <w:tc>
                <w:tcPr>
                  <w:tcW w:w="3328" w:type="pct"/>
                  <w:vMerge w:val="restart"/>
                  <w:tcBorders>
                    <w:tl2br w:val="nil"/>
                    <w:tr2bl w:val="nil"/>
                  </w:tcBorders>
                  <w:vAlign w:val="center"/>
                </w:tcPr>
                <w:p w14:paraId="7BD8C5C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rPr>
                  </w:pPr>
                  <w:r>
                    <w:rPr>
                      <w:color w:val="auto"/>
                      <w:spacing w:val="7"/>
                      <w:sz w:val="21"/>
                      <w:szCs w:val="21"/>
                    </w:rPr>
                    <w:t>《恶臭污染物排放标准》（</w:t>
                  </w:r>
                  <w:r>
                    <w:rPr>
                      <w:rFonts w:ascii="Times New Roman" w:hAnsi="Times New Roman" w:eastAsia="Times New Roman" w:cs="Times New Roman"/>
                      <w:color w:val="auto"/>
                      <w:sz w:val="21"/>
                      <w:szCs w:val="21"/>
                    </w:rPr>
                    <w:t>GB</w:t>
                  </w:r>
                  <w:r>
                    <w:rPr>
                      <w:rFonts w:ascii="Times New Roman" w:hAnsi="Times New Roman" w:eastAsia="Times New Roman" w:cs="Times New Roman"/>
                      <w:color w:val="auto"/>
                      <w:spacing w:val="7"/>
                      <w:sz w:val="21"/>
                      <w:szCs w:val="21"/>
                    </w:rPr>
                    <w:t>14554-93</w:t>
                  </w:r>
                  <w:r>
                    <w:rPr>
                      <w:color w:val="auto"/>
                      <w:spacing w:val="7"/>
                      <w:sz w:val="21"/>
                      <w:szCs w:val="21"/>
                    </w:rPr>
                    <w:t>）中表</w:t>
                  </w:r>
                  <w:r>
                    <w:rPr>
                      <w:rFonts w:ascii="Times New Roman" w:hAnsi="Times New Roman" w:eastAsia="Times New Roman" w:cs="Times New Roman"/>
                      <w:color w:val="auto"/>
                      <w:spacing w:val="7"/>
                      <w:sz w:val="21"/>
                      <w:szCs w:val="21"/>
                    </w:rPr>
                    <w:t>1</w:t>
                  </w:r>
                  <w:r>
                    <w:rPr>
                      <w:color w:val="auto"/>
                      <w:spacing w:val="7"/>
                      <w:sz w:val="21"/>
                      <w:szCs w:val="21"/>
                    </w:rPr>
                    <w:t>标准</w:t>
                  </w:r>
                </w:p>
              </w:tc>
            </w:tr>
            <w:tr w14:paraId="16E185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878" w:type="pct"/>
                  <w:tcBorders>
                    <w:tl2br w:val="nil"/>
                    <w:tr2bl w:val="nil"/>
                  </w:tcBorders>
                  <w:shd w:val="clear" w:color="auto" w:fill="auto"/>
                  <w:vAlign w:val="center"/>
                </w:tcPr>
                <w:p w14:paraId="0793473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7"/>
                      <w:sz w:val="21"/>
                      <w:szCs w:val="21"/>
                    </w:rPr>
                    <w:t>硫化氢</w:t>
                  </w:r>
                </w:p>
              </w:tc>
              <w:tc>
                <w:tcPr>
                  <w:tcW w:w="792" w:type="pct"/>
                  <w:tcBorders>
                    <w:tl2br w:val="nil"/>
                    <w:tr2bl w:val="nil"/>
                  </w:tcBorders>
                  <w:shd w:val="clear" w:color="auto" w:fill="auto"/>
                  <w:vAlign w:val="center"/>
                </w:tcPr>
                <w:p w14:paraId="7FA36BF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3"/>
                      <w:sz w:val="21"/>
                      <w:szCs w:val="21"/>
                    </w:rPr>
                    <w:t>1</w:t>
                  </w:r>
                  <w:r>
                    <w:rPr>
                      <w:color w:val="auto"/>
                      <w:spacing w:val="-3"/>
                      <w:sz w:val="21"/>
                      <w:szCs w:val="21"/>
                    </w:rPr>
                    <w:t>次</w:t>
                  </w:r>
                  <w:r>
                    <w:rPr>
                      <w:rFonts w:ascii="Times New Roman" w:hAnsi="Times New Roman" w:eastAsia="Times New Roman" w:cs="Times New Roman"/>
                      <w:color w:val="auto"/>
                      <w:spacing w:val="-3"/>
                      <w:sz w:val="21"/>
                      <w:szCs w:val="21"/>
                    </w:rPr>
                    <w:t>/</w:t>
                  </w:r>
                  <w:r>
                    <w:rPr>
                      <w:color w:val="auto"/>
                      <w:spacing w:val="-3"/>
                      <w:sz w:val="21"/>
                      <w:szCs w:val="21"/>
                    </w:rPr>
                    <w:t>年</w:t>
                  </w:r>
                </w:p>
              </w:tc>
              <w:tc>
                <w:tcPr>
                  <w:tcW w:w="3328" w:type="pct"/>
                  <w:vMerge w:val="continue"/>
                  <w:tcBorders>
                    <w:tl2br w:val="nil"/>
                    <w:tr2bl w:val="nil"/>
                  </w:tcBorders>
                  <w:vAlign w:val="center"/>
                </w:tcPr>
                <w:p w14:paraId="03D3D5B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rPr>
                  </w:pPr>
                </w:p>
              </w:tc>
            </w:tr>
            <w:tr w14:paraId="5A447D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878" w:type="pct"/>
                  <w:tcBorders>
                    <w:tl2br w:val="nil"/>
                    <w:tr2bl w:val="nil"/>
                  </w:tcBorders>
                  <w:shd w:val="clear" w:color="auto" w:fill="auto"/>
                  <w:vAlign w:val="center"/>
                </w:tcPr>
                <w:p w14:paraId="0038BA6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color w:val="auto"/>
                      <w:spacing w:val="4"/>
                      <w:sz w:val="21"/>
                      <w:szCs w:val="21"/>
                    </w:rPr>
                    <w:t>臭气</w:t>
                  </w:r>
                </w:p>
              </w:tc>
              <w:tc>
                <w:tcPr>
                  <w:tcW w:w="792" w:type="pct"/>
                  <w:tcBorders>
                    <w:tl2br w:val="nil"/>
                    <w:tr2bl w:val="nil"/>
                  </w:tcBorders>
                  <w:shd w:val="clear" w:color="auto" w:fill="auto"/>
                  <w:vAlign w:val="center"/>
                </w:tcPr>
                <w:p w14:paraId="770209D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lang w:val="en-US" w:eastAsia="en-US" w:bidi="ar-SA"/>
                    </w:rPr>
                  </w:pPr>
                  <w:r>
                    <w:rPr>
                      <w:rFonts w:ascii="Times New Roman" w:hAnsi="Times New Roman" w:eastAsia="Times New Roman" w:cs="Times New Roman"/>
                      <w:color w:val="auto"/>
                      <w:spacing w:val="-3"/>
                      <w:sz w:val="21"/>
                      <w:szCs w:val="21"/>
                    </w:rPr>
                    <w:t>1</w:t>
                  </w:r>
                  <w:r>
                    <w:rPr>
                      <w:color w:val="auto"/>
                      <w:spacing w:val="-3"/>
                      <w:sz w:val="21"/>
                      <w:szCs w:val="21"/>
                    </w:rPr>
                    <w:t>次</w:t>
                  </w:r>
                  <w:r>
                    <w:rPr>
                      <w:rFonts w:ascii="Times New Roman" w:hAnsi="Times New Roman" w:eastAsia="Times New Roman" w:cs="Times New Roman"/>
                      <w:color w:val="auto"/>
                      <w:spacing w:val="-3"/>
                      <w:sz w:val="21"/>
                      <w:szCs w:val="21"/>
                    </w:rPr>
                    <w:t>/</w:t>
                  </w:r>
                  <w:r>
                    <w:rPr>
                      <w:color w:val="auto"/>
                      <w:spacing w:val="-3"/>
                      <w:sz w:val="21"/>
                      <w:szCs w:val="21"/>
                    </w:rPr>
                    <w:t>年</w:t>
                  </w:r>
                </w:p>
              </w:tc>
              <w:tc>
                <w:tcPr>
                  <w:tcW w:w="3328" w:type="pct"/>
                  <w:vMerge w:val="continue"/>
                  <w:tcBorders>
                    <w:tl2br w:val="nil"/>
                    <w:tr2bl w:val="nil"/>
                  </w:tcBorders>
                  <w:vAlign w:val="center"/>
                </w:tcPr>
                <w:p w14:paraId="4DEB4E7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rPr>
                  </w:pPr>
                </w:p>
              </w:tc>
            </w:tr>
            <w:tr w14:paraId="76AC30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878" w:type="pct"/>
                  <w:tcBorders>
                    <w:tl2br w:val="nil"/>
                    <w:tr2bl w:val="nil"/>
                  </w:tcBorders>
                  <w:shd w:val="clear" w:color="auto" w:fill="auto"/>
                  <w:vAlign w:val="center"/>
                </w:tcPr>
                <w:p w14:paraId="6292CE6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sz w:val="21"/>
                      <w:szCs w:val="21"/>
                      <w:highlight w:val="none"/>
                    </w:rPr>
                    <w:t>SO</w:t>
                  </w:r>
                  <w:r>
                    <w:rPr>
                      <w:rFonts w:ascii="Times New Roman" w:hAnsi="Times New Roman" w:eastAsia="Times New Roman" w:cs="Times New Roman"/>
                      <w:color w:val="auto"/>
                      <w:spacing w:val="3"/>
                      <w:position w:val="-1"/>
                      <w:sz w:val="21"/>
                      <w:szCs w:val="21"/>
                      <w:highlight w:val="none"/>
                      <w:vertAlign w:val="subscript"/>
                    </w:rPr>
                    <w:t>2</w:t>
                  </w:r>
                </w:p>
              </w:tc>
              <w:tc>
                <w:tcPr>
                  <w:tcW w:w="792" w:type="pct"/>
                  <w:tcBorders>
                    <w:tl2br w:val="nil"/>
                    <w:tr2bl w:val="nil"/>
                  </w:tcBorders>
                  <w:shd w:val="clear" w:color="auto" w:fill="auto"/>
                  <w:vAlign w:val="center"/>
                </w:tcPr>
                <w:p w14:paraId="3A7F93D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1</w:t>
                  </w:r>
                  <w:r>
                    <w:rPr>
                      <w:color w:val="auto"/>
                      <w:spacing w:val="-3"/>
                      <w:sz w:val="21"/>
                      <w:szCs w:val="21"/>
                      <w:highlight w:val="none"/>
                    </w:rPr>
                    <w:t>次</w:t>
                  </w:r>
                  <w:r>
                    <w:rPr>
                      <w:rFonts w:ascii="Times New Roman" w:hAnsi="Times New Roman" w:eastAsia="Times New Roman" w:cs="Times New Roman"/>
                      <w:color w:val="auto"/>
                      <w:spacing w:val="-3"/>
                      <w:sz w:val="21"/>
                      <w:szCs w:val="21"/>
                      <w:highlight w:val="none"/>
                    </w:rPr>
                    <w:t>/</w:t>
                  </w:r>
                  <w:r>
                    <w:rPr>
                      <w:color w:val="auto"/>
                      <w:spacing w:val="-3"/>
                      <w:sz w:val="21"/>
                      <w:szCs w:val="21"/>
                      <w:highlight w:val="none"/>
                    </w:rPr>
                    <w:t>年</w:t>
                  </w:r>
                </w:p>
              </w:tc>
              <w:tc>
                <w:tcPr>
                  <w:tcW w:w="3328" w:type="pct"/>
                  <w:vMerge w:val="restart"/>
                  <w:tcBorders>
                    <w:tl2br w:val="nil"/>
                    <w:tr2bl w:val="nil"/>
                  </w:tcBorders>
                  <w:vAlign w:val="center"/>
                </w:tcPr>
                <w:p w14:paraId="4AFB58D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highlight w:val="none"/>
                    </w:rPr>
                  </w:pPr>
                  <w:r>
                    <w:rPr>
                      <w:rFonts w:hint="default" w:ascii="Times New Roman" w:hAnsi="Times New Roman" w:eastAsia="宋体"/>
                      <w:color w:val="auto"/>
                      <w:spacing w:val="6"/>
                      <w:sz w:val="21"/>
                      <w:szCs w:val="21"/>
                      <w:highlight w:val="none"/>
                      <w:lang w:val="en-US" w:eastAsia="zh-CN"/>
                    </w:rPr>
                    <w:t>《福建省工业炉窑大气污染综合治理方案》（闽环保大气〔2019〕10号）中明确规定的重点区域限值</w:t>
                  </w:r>
                </w:p>
              </w:tc>
            </w:tr>
            <w:tr w14:paraId="405B52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878" w:type="pct"/>
                  <w:tcBorders>
                    <w:tl2br w:val="nil"/>
                    <w:tr2bl w:val="nil"/>
                  </w:tcBorders>
                  <w:shd w:val="clear" w:color="auto" w:fill="auto"/>
                  <w:vAlign w:val="center"/>
                </w:tcPr>
                <w:p w14:paraId="08DC206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Times New Roman" w:cs="Times New Roman"/>
                      <w:color w:val="auto"/>
                      <w:kern w:val="2"/>
                      <w:sz w:val="21"/>
                      <w:szCs w:val="21"/>
                      <w:highlight w:val="none"/>
                      <w:lang w:val="en-US" w:eastAsia="zh-CN" w:bidi="ar-SA"/>
                    </w:rPr>
                  </w:pPr>
                  <w:r>
                    <w:rPr>
                      <w:rFonts w:ascii="Times New Roman" w:hAnsi="Times New Roman" w:eastAsia="Times New Roman" w:cs="Times New Roman"/>
                      <w:color w:val="auto"/>
                      <w:spacing w:val="6"/>
                      <w:sz w:val="21"/>
                      <w:szCs w:val="21"/>
                      <w:highlight w:val="none"/>
                    </w:rPr>
                    <w:t>NOx</w:t>
                  </w:r>
                </w:p>
              </w:tc>
              <w:tc>
                <w:tcPr>
                  <w:tcW w:w="792" w:type="pct"/>
                  <w:tcBorders>
                    <w:tl2br w:val="nil"/>
                    <w:tr2bl w:val="nil"/>
                  </w:tcBorders>
                  <w:shd w:val="clear" w:color="auto" w:fill="auto"/>
                  <w:vAlign w:val="center"/>
                </w:tcPr>
                <w:p w14:paraId="0ABC930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color w:val="auto"/>
                      <w:kern w:val="2"/>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1</w:t>
                  </w:r>
                  <w:r>
                    <w:rPr>
                      <w:color w:val="auto"/>
                      <w:spacing w:val="-3"/>
                      <w:sz w:val="21"/>
                      <w:szCs w:val="21"/>
                      <w:highlight w:val="none"/>
                    </w:rPr>
                    <w:t>次</w:t>
                  </w:r>
                  <w:r>
                    <w:rPr>
                      <w:rFonts w:ascii="Times New Roman" w:hAnsi="Times New Roman" w:eastAsia="Times New Roman" w:cs="Times New Roman"/>
                      <w:color w:val="auto"/>
                      <w:spacing w:val="-3"/>
                      <w:sz w:val="21"/>
                      <w:szCs w:val="21"/>
                      <w:highlight w:val="none"/>
                    </w:rPr>
                    <w:t>/</w:t>
                  </w:r>
                  <w:r>
                    <w:rPr>
                      <w:color w:val="auto"/>
                      <w:spacing w:val="-3"/>
                      <w:sz w:val="21"/>
                      <w:szCs w:val="21"/>
                      <w:highlight w:val="none"/>
                    </w:rPr>
                    <w:t>年</w:t>
                  </w:r>
                </w:p>
              </w:tc>
              <w:tc>
                <w:tcPr>
                  <w:tcW w:w="3328" w:type="pct"/>
                  <w:vMerge w:val="continue"/>
                  <w:tcBorders>
                    <w:tl2br w:val="nil"/>
                    <w:tr2bl w:val="nil"/>
                  </w:tcBorders>
                  <w:vAlign w:val="center"/>
                </w:tcPr>
                <w:p w14:paraId="632FFD8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宋体"/>
                      <w:color w:val="auto"/>
                      <w:spacing w:val="6"/>
                      <w:sz w:val="21"/>
                      <w:szCs w:val="21"/>
                      <w:highlight w:val="none"/>
                    </w:rPr>
                  </w:pPr>
                </w:p>
              </w:tc>
            </w:tr>
          </w:tbl>
          <w:p w14:paraId="1D3A9433">
            <w:pPr>
              <w:rPr>
                <w:rFonts w:hint="eastAsia"/>
                <w:color w:val="auto"/>
                <w:lang w:val="en-US" w:eastAsia="zh-CN"/>
              </w:rPr>
            </w:pPr>
          </w:p>
          <w:p w14:paraId="05F690B7">
            <w:pPr>
              <w:pStyle w:val="4"/>
              <w:numPr>
                <w:ilvl w:val="2"/>
                <w:numId w:val="14"/>
              </w:numPr>
              <w:tabs>
                <w:tab w:val="left" w:pos="0"/>
              </w:tabs>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环境防护距离分析</w:t>
            </w:r>
          </w:p>
          <w:p w14:paraId="40A93A38">
            <w:pPr>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根据《建设项目环境影响报告表编制技术指南</w:t>
            </w:r>
            <w:r>
              <w:rPr>
                <w:rFonts w:hint="eastAsia" w:cs="Times New Roman"/>
                <w:bCs/>
                <w:color w:val="auto"/>
                <w:sz w:val="24"/>
                <w:lang w:eastAsia="zh-CN"/>
              </w:rPr>
              <w:t>（</w:t>
            </w:r>
            <w:r>
              <w:rPr>
                <w:rFonts w:hint="eastAsia" w:ascii="Times New Roman" w:hAnsi="Times New Roman" w:eastAsia="宋体" w:cs="Times New Roman"/>
                <w:bCs/>
                <w:color w:val="auto"/>
                <w:sz w:val="24"/>
              </w:rPr>
              <w:t>污染影响类</w:t>
            </w:r>
            <w:r>
              <w:rPr>
                <w:rFonts w:hint="eastAsia" w:cs="Times New Roman"/>
                <w:bCs/>
                <w:color w:val="auto"/>
                <w:sz w:val="24"/>
                <w:lang w:eastAsia="zh-CN"/>
              </w:rPr>
              <w:t>）（</w:t>
            </w:r>
            <w:r>
              <w:rPr>
                <w:rFonts w:hint="eastAsia" w:ascii="Times New Roman" w:hAnsi="Times New Roman" w:eastAsia="宋体" w:cs="Times New Roman"/>
                <w:bCs/>
                <w:color w:val="auto"/>
                <w:sz w:val="24"/>
              </w:rPr>
              <w:t>试行</w:t>
            </w:r>
            <w:r>
              <w:rPr>
                <w:rFonts w:hint="eastAsia" w:cs="Times New Roman"/>
                <w:bCs/>
                <w:color w:val="auto"/>
                <w:sz w:val="24"/>
                <w:lang w:eastAsia="zh-CN"/>
              </w:rPr>
              <w:t>）</w:t>
            </w:r>
            <w:r>
              <w:rPr>
                <w:rFonts w:hint="eastAsia" w:ascii="Times New Roman" w:hAnsi="Times New Roman" w:eastAsia="宋体" w:cs="Times New Roman"/>
                <w:bCs/>
                <w:color w:val="auto"/>
                <w:sz w:val="24"/>
              </w:rPr>
              <w:t>》</w:t>
            </w:r>
            <w:r>
              <w:rPr>
                <w:rFonts w:hint="eastAsia" w:cs="Times New Roman"/>
                <w:bCs/>
                <w:color w:val="auto"/>
                <w:sz w:val="24"/>
                <w:lang w:eastAsia="zh-CN"/>
              </w:rPr>
              <w:t>（</w:t>
            </w:r>
            <w:r>
              <w:rPr>
                <w:rFonts w:ascii="Times New Roman" w:hAnsi="Times New Roman" w:eastAsia="宋体" w:cs="Times New Roman"/>
                <w:bCs/>
                <w:color w:val="auto"/>
                <w:sz w:val="24"/>
                <w:lang w:val="zh-CN"/>
              </w:rPr>
              <w:t>环办环评〔2020〕33号</w:t>
            </w:r>
            <w:r>
              <w:rPr>
                <w:rFonts w:hint="eastAsia" w:cs="Times New Roman"/>
                <w:bCs/>
                <w:color w:val="auto"/>
                <w:sz w:val="24"/>
                <w:lang w:val="zh-CN"/>
              </w:rPr>
              <w:t>）</w:t>
            </w:r>
            <w:r>
              <w:rPr>
                <w:rFonts w:hint="eastAsia" w:ascii="Times New Roman" w:hAnsi="Times New Roman" w:eastAsia="宋体" w:cs="Times New Roman"/>
                <w:bCs/>
                <w:color w:val="auto"/>
                <w:sz w:val="24"/>
              </w:rPr>
              <w:t>要求可知，目前不对项目</w:t>
            </w:r>
            <w:r>
              <w:rPr>
                <w:rFonts w:ascii="Times New Roman" w:hAnsi="Times New Roman" w:eastAsia="宋体" w:cs="Times New Roman"/>
                <w:bCs/>
                <w:color w:val="auto"/>
                <w:sz w:val="24"/>
              </w:rPr>
              <w:t>大气环境防护距离及卫生防护</w:t>
            </w:r>
            <w:r>
              <w:rPr>
                <w:rFonts w:hint="eastAsia" w:ascii="Times New Roman" w:hAnsi="Times New Roman" w:eastAsia="宋体" w:cs="Times New Roman"/>
                <w:bCs/>
                <w:color w:val="auto"/>
                <w:sz w:val="24"/>
              </w:rPr>
              <w:t>距离进行要求。</w:t>
            </w:r>
            <w:r>
              <w:rPr>
                <w:rFonts w:ascii="Times New Roman" w:hAnsi="Times New Roman" w:eastAsia="宋体" w:cs="Times New Roman"/>
                <w:b/>
                <w:bCs/>
                <w:color w:val="auto"/>
                <w:sz w:val="24"/>
                <w:szCs w:val="22"/>
              </w:rPr>
              <w:t>根据环境影响评价网</w:t>
            </w:r>
            <w:r>
              <w:rPr>
                <w:rFonts w:hint="eastAsia" w:cs="Times New Roman"/>
                <w:b/>
                <w:bCs/>
                <w:color w:val="auto"/>
                <w:sz w:val="24"/>
                <w:szCs w:val="22"/>
                <w:lang w:eastAsia="zh-CN"/>
              </w:rPr>
              <w:t>（</w:t>
            </w:r>
            <w:r>
              <w:rPr>
                <w:rFonts w:ascii="Times New Roman" w:hAnsi="Times New Roman" w:eastAsia="宋体" w:cs="Times New Roman"/>
                <w:b/>
                <w:bCs/>
                <w:color w:val="auto"/>
                <w:sz w:val="24"/>
                <w:szCs w:val="22"/>
                <w:lang w:val="zh-CN"/>
              </w:rPr>
              <w:t>生态环境部环境工程评估中心</w:t>
            </w:r>
            <w:r>
              <w:rPr>
                <w:rFonts w:hint="eastAsia" w:cs="Times New Roman"/>
                <w:b/>
                <w:bCs/>
                <w:color w:val="auto"/>
                <w:sz w:val="24"/>
                <w:szCs w:val="22"/>
                <w:lang w:val="zh-CN"/>
              </w:rPr>
              <w:t>）</w:t>
            </w:r>
            <w:r>
              <w:rPr>
                <w:rFonts w:ascii="Times New Roman" w:hAnsi="Times New Roman" w:eastAsia="宋体" w:cs="Times New Roman"/>
                <w:b/>
                <w:bCs/>
                <w:color w:val="auto"/>
                <w:sz w:val="24"/>
                <w:szCs w:val="22"/>
              </w:rPr>
              <w:t>关于</w:t>
            </w:r>
            <w:r>
              <w:rPr>
                <w:rFonts w:ascii="Times New Roman" w:hAnsi="Times New Roman" w:eastAsia="宋体" w:cs="Times New Roman"/>
                <w:b/>
                <w:bCs/>
                <w:color w:val="auto"/>
                <w:sz w:val="24"/>
                <w:szCs w:val="22"/>
                <w:lang w:val="zh-CN"/>
              </w:rPr>
              <w:t>《建设项目环境影响报告表》内容、格式及编制技术指南常见问题解答：“</w:t>
            </w:r>
            <w:r>
              <w:rPr>
                <w:rFonts w:ascii="Times New Roman" w:hAnsi="Times New Roman" w:eastAsia="宋体" w:cs="Times New Roman"/>
                <w:color w:val="auto"/>
                <w:sz w:val="24"/>
                <w:shd w:val="clear" w:color="auto" w:fill="FFFFFF"/>
              </w:rPr>
              <w:t>《建设项目环境影响评价技术导则 总纲》</w:t>
            </w:r>
            <w:r>
              <w:rPr>
                <w:rFonts w:hint="eastAsia" w:cs="Times New Roman"/>
                <w:color w:val="auto"/>
                <w:sz w:val="24"/>
                <w:shd w:val="clear" w:color="auto" w:fill="FFFFFF"/>
                <w:lang w:eastAsia="zh-CN"/>
              </w:rPr>
              <w:t>（</w:t>
            </w:r>
            <w:r>
              <w:rPr>
                <w:rFonts w:ascii="Times New Roman" w:hAnsi="Times New Roman" w:eastAsia="宋体" w:cs="Times New Roman"/>
                <w:color w:val="auto"/>
                <w:sz w:val="24"/>
                <w:shd w:val="clear" w:color="auto" w:fill="FFFFFF"/>
              </w:rPr>
              <w:t>HJ2.1-2016</w:t>
            </w:r>
            <w:r>
              <w:rPr>
                <w:rFonts w:hint="eastAsia" w:cs="Times New Roman"/>
                <w:color w:val="auto"/>
                <w:sz w:val="24"/>
                <w:shd w:val="clear" w:color="auto" w:fill="FFFFFF"/>
                <w:lang w:eastAsia="zh-CN"/>
              </w:rPr>
              <w:t>）</w:t>
            </w:r>
            <w:r>
              <w:rPr>
                <w:rFonts w:ascii="Times New Roman" w:hAnsi="Times New Roman" w:eastAsia="宋体" w:cs="Times New Roman"/>
                <w:color w:val="auto"/>
                <w:sz w:val="24"/>
                <w:shd w:val="clear" w:color="auto" w:fill="FFFFFF"/>
              </w:rPr>
              <w:t>未对卫生防护距离提出评价要求，建设项目环境影响报告表编制技术指南</w:t>
            </w:r>
            <w:r>
              <w:rPr>
                <w:rFonts w:hint="eastAsia" w:cs="Times New Roman"/>
                <w:color w:val="auto"/>
                <w:sz w:val="24"/>
                <w:shd w:val="clear" w:color="auto" w:fill="FFFFFF"/>
                <w:lang w:eastAsia="zh-CN"/>
              </w:rPr>
              <w:t>（</w:t>
            </w:r>
            <w:r>
              <w:rPr>
                <w:rFonts w:ascii="Times New Roman" w:hAnsi="Times New Roman" w:eastAsia="宋体" w:cs="Times New Roman"/>
                <w:color w:val="auto"/>
                <w:sz w:val="24"/>
                <w:shd w:val="clear" w:color="auto" w:fill="FFFFFF"/>
              </w:rPr>
              <w:t>以下简称技术指南</w:t>
            </w:r>
            <w:r>
              <w:rPr>
                <w:rFonts w:hint="eastAsia" w:cs="Times New Roman"/>
                <w:color w:val="auto"/>
                <w:sz w:val="24"/>
                <w:shd w:val="clear" w:color="auto" w:fill="FFFFFF"/>
                <w:lang w:eastAsia="zh-CN"/>
              </w:rPr>
              <w:t>）</w:t>
            </w:r>
            <w:r>
              <w:rPr>
                <w:rFonts w:ascii="Times New Roman" w:hAnsi="Times New Roman" w:eastAsia="宋体" w:cs="Times New Roman"/>
                <w:color w:val="auto"/>
                <w:sz w:val="24"/>
                <w:shd w:val="clear" w:color="auto" w:fill="FFFFFF"/>
              </w:rPr>
              <w:t>不</w:t>
            </w:r>
            <w:r>
              <w:rPr>
                <w:rFonts w:hint="eastAsia" w:ascii="Times New Roman" w:hAnsi="Times New Roman" w:eastAsia="宋体" w:cs="Times New Roman"/>
                <w:color w:val="auto"/>
                <w:sz w:val="24"/>
                <w:shd w:val="clear" w:color="auto" w:fill="FFFFFF"/>
              </w:rPr>
              <w:t>作要求</w:t>
            </w:r>
            <w:r>
              <w:rPr>
                <w:rFonts w:ascii="Times New Roman" w:hAnsi="Times New Roman" w:eastAsia="宋体" w:cs="Times New Roman"/>
                <w:color w:val="auto"/>
                <w:sz w:val="24"/>
                <w:shd w:val="clear" w:color="auto" w:fill="FFFFFF"/>
              </w:rPr>
              <w:t>。对于判定为需要开展大气专项评价的建设项目，根据《环境影响评价技术导则 大气环境》</w:t>
            </w:r>
            <w:r>
              <w:rPr>
                <w:rFonts w:hint="eastAsia" w:cs="Times New Roman"/>
                <w:color w:val="auto"/>
                <w:sz w:val="24"/>
                <w:shd w:val="clear" w:color="auto" w:fill="FFFFFF"/>
                <w:lang w:eastAsia="zh-CN"/>
              </w:rPr>
              <w:t>（</w:t>
            </w:r>
            <w:r>
              <w:rPr>
                <w:rFonts w:ascii="Times New Roman" w:hAnsi="Times New Roman" w:eastAsia="宋体" w:cs="Times New Roman"/>
                <w:color w:val="auto"/>
                <w:sz w:val="24"/>
                <w:shd w:val="clear" w:color="auto" w:fill="FFFFFF"/>
              </w:rPr>
              <w:t>HJ2.2-2018</w:t>
            </w:r>
            <w:r>
              <w:rPr>
                <w:rFonts w:hint="eastAsia" w:cs="Times New Roman"/>
                <w:color w:val="auto"/>
                <w:sz w:val="24"/>
                <w:shd w:val="clear" w:color="auto" w:fill="FFFFFF"/>
                <w:lang w:eastAsia="zh-CN"/>
              </w:rPr>
              <w:t>）</w:t>
            </w:r>
            <w:r>
              <w:rPr>
                <w:rFonts w:ascii="Times New Roman" w:hAnsi="Times New Roman" w:eastAsia="宋体" w:cs="Times New Roman"/>
                <w:color w:val="auto"/>
                <w:sz w:val="24"/>
                <w:shd w:val="clear" w:color="auto" w:fill="FFFFFF"/>
              </w:rPr>
              <w:t>需要计算大气环境防护距离的，应按要求计算</w:t>
            </w:r>
            <w:r>
              <w:rPr>
                <w:rFonts w:hint="eastAsia" w:ascii="Times New Roman" w:hAnsi="Times New Roman" w:eastAsia="宋体" w:cs="Times New Roman"/>
                <w:color w:val="auto"/>
                <w:sz w:val="24"/>
                <w:shd w:val="clear" w:color="auto" w:fill="FFFFFF"/>
              </w:rPr>
              <w:t>”</w:t>
            </w:r>
            <w:r>
              <w:rPr>
                <w:rFonts w:ascii="Times New Roman" w:hAnsi="Times New Roman" w:eastAsia="宋体" w:cs="Times New Roman"/>
                <w:color w:val="auto"/>
                <w:sz w:val="24"/>
                <w:shd w:val="clear" w:color="auto" w:fill="FFFFFF"/>
              </w:rPr>
              <w:t>。本项目不涉及大气专项评价，因此，</w:t>
            </w:r>
            <w:r>
              <w:rPr>
                <w:rFonts w:ascii="Times New Roman" w:hAnsi="Times New Roman" w:eastAsia="宋体" w:cs="Times New Roman"/>
                <w:bCs/>
                <w:color w:val="auto"/>
                <w:sz w:val="24"/>
              </w:rPr>
              <w:t>在企业落实有效的废气收集、处理措施的前提下，本项目可不设置环境防护距离。</w:t>
            </w:r>
          </w:p>
          <w:p w14:paraId="2383B66F">
            <w:pPr>
              <w:pStyle w:val="3"/>
              <w:numPr>
                <w:ilvl w:val="1"/>
                <w:numId w:val="1"/>
              </w:numPr>
              <w:bidi w:val="0"/>
              <w:ind w:left="0" w:leftChars="0" w:firstLine="0" w:firstLineChars="0"/>
              <w:rPr>
                <w:color w:val="auto"/>
                <w:highlight w:val="none"/>
              </w:rPr>
            </w:pPr>
            <w:bookmarkStart w:id="47" w:name="_Toc20164"/>
            <w:r>
              <w:rPr>
                <w:rFonts w:hint="eastAsia"/>
                <w:color w:val="auto"/>
                <w:highlight w:val="none"/>
                <w:lang w:val="en-US" w:eastAsia="zh-CN"/>
              </w:rPr>
              <w:t>运营期</w:t>
            </w:r>
            <w:r>
              <w:rPr>
                <w:color w:val="auto"/>
                <w:highlight w:val="none"/>
              </w:rPr>
              <w:t>水环境</w:t>
            </w:r>
            <w:r>
              <w:rPr>
                <w:rFonts w:hint="eastAsia"/>
                <w:color w:val="auto"/>
                <w:highlight w:val="none"/>
                <w:lang w:val="en-US" w:eastAsia="zh-CN"/>
              </w:rPr>
              <w:t>影响分析</w:t>
            </w:r>
            <w:bookmarkEnd w:id="47"/>
          </w:p>
          <w:p w14:paraId="700EA7EE">
            <w:pPr>
              <w:pStyle w:val="4"/>
              <w:numPr>
                <w:ilvl w:val="2"/>
                <w:numId w:val="1"/>
              </w:numPr>
              <w:bidi w:val="0"/>
              <w:ind w:left="720" w:leftChars="0" w:hanging="720" w:firstLineChars="0"/>
              <w:rPr>
                <w:rFonts w:hint="default"/>
                <w:color w:val="auto"/>
                <w:highlight w:val="none"/>
              </w:rPr>
            </w:pPr>
            <w:r>
              <w:rPr>
                <w:rFonts w:hint="eastAsia"/>
                <w:color w:val="auto"/>
                <w:highlight w:val="none"/>
              </w:rPr>
              <w:t>废水污染源强分析</w:t>
            </w:r>
          </w:p>
          <w:p w14:paraId="5F06E602">
            <w:pPr>
              <w:pStyle w:val="46"/>
              <w:ind w:firstLine="480"/>
              <w:rPr>
                <w:rFonts w:hint="eastAsia"/>
                <w:color w:val="auto"/>
                <w:highlight w:val="none"/>
                <w:lang w:val="en-US" w:eastAsia="zh-CN"/>
              </w:rPr>
            </w:pPr>
            <w:r>
              <w:rPr>
                <w:rFonts w:hint="eastAsia"/>
                <w:color w:val="auto"/>
                <w:highlight w:val="none"/>
                <w:lang w:val="en-US" w:eastAsia="zh-CN"/>
              </w:rPr>
              <w:t>本项目外排废水主要为生活污水和生产废水。项目废水治理设施、废水污染物排放口、排放口基本情况详见下表。</w:t>
            </w:r>
            <w:bookmarkStart w:id="48" w:name="_Ref24577"/>
          </w:p>
          <w:p w14:paraId="241AA136">
            <w:pPr>
              <w:pStyle w:val="44"/>
              <w:keepNext/>
              <w:keepLines/>
              <w:pageBreakBefore w:val="0"/>
              <w:widowControl w:val="0"/>
              <w:numPr>
                <w:ilvl w:val="7"/>
                <w:numId w:val="1"/>
              </w:numPr>
              <w:kinsoku/>
              <w:wordWrap/>
              <w:overflowPunct/>
              <w:topLinePunct w:val="0"/>
              <w:autoSpaceDE/>
              <w:autoSpaceDN/>
              <w:bidi w:val="0"/>
              <w:adjustRightInd/>
              <w:snapToGrid/>
              <w:spacing w:before="157" w:beforeLines="50" w:after="0"/>
              <w:ind w:left="210" w:leftChars="0"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项目废水治理设施一览表</w:t>
            </w:r>
            <w:bookmarkEnd w:id="48"/>
          </w:p>
          <w:tbl>
            <w:tblPr>
              <w:tblStyle w:val="86"/>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80"/>
              <w:gridCol w:w="549"/>
              <w:gridCol w:w="1038"/>
              <w:gridCol w:w="1669"/>
              <w:gridCol w:w="404"/>
              <w:gridCol w:w="1414"/>
              <w:gridCol w:w="1272"/>
              <w:gridCol w:w="555"/>
              <w:gridCol w:w="700"/>
              <w:gridCol w:w="865"/>
            </w:tblGrid>
            <w:tr w14:paraId="49605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60" w:type="pct"/>
                  <w:vMerge w:val="restart"/>
                  <w:tcBorders>
                    <w:tl2br w:val="nil"/>
                    <w:tr2bl w:val="nil"/>
                  </w:tcBorders>
                  <w:textDirection w:val="tbRlV"/>
                  <w:vAlign w:val="center"/>
                </w:tcPr>
                <w:p w14:paraId="77B93AB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序号</w:t>
                  </w:r>
                </w:p>
              </w:tc>
              <w:tc>
                <w:tcPr>
                  <w:tcW w:w="314" w:type="pct"/>
                  <w:vMerge w:val="restart"/>
                  <w:tcBorders>
                    <w:tl2br w:val="nil"/>
                    <w:tr2bl w:val="nil"/>
                  </w:tcBorders>
                  <w:vAlign w:val="center"/>
                </w:tcPr>
                <w:p w14:paraId="0ACAA36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w:t>
                  </w:r>
                </w:p>
                <w:p w14:paraId="3CB708C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类别</w:t>
                  </w:r>
                </w:p>
              </w:tc>
              <w:tc>
                <w:tcPr>
                  <w:tcW w:w="593" w:type="pct"/>
                  <w:vMerge w:val="restart"/>
                  <w:tcBorders>
                    <w:tl2br w:val="nil"/>
                    <w:tr2bl w:val="nil"/>
                  </w:tcBorders>
                  <w:vAlign w:val="center"/>
                </w:tcPr>
                <w:p w14:paraId="76E6187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污染物种类</w:t>
                  </w:r>
                </w:p>
              </w:tc>
              <w:tc>
                <w:tcPr>
                  <w:tcW w:w="954" w:type="pct"/>
                  <w:vMerge w:val="restart"/>
                  <w:tcBorders>
                    <w:tl2br w:val="nil"/>
                    <w:tr2bl w:val="nil"/>
                  </w:tcBorders>
                  <w:vAlign w:val="center"/>
                </w:tcPr>
                <w:p w14:paraId="60A5063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排放去向</w:t>
                  </w:r>
                </w:p>
              </w:tc>
              <w:tc>
                <w:tcPr>
                  <w:tcW w:w="231" w:type="pct"/>
                  <w:vMerge w:val="restart"/>
                  <w:tcBorders>
                    <w:tl2br w:val="nil"/>
                    <w:tr2bl w:val="nil"/>
                  </w:tcBorders>
                  <w:vAlign w:val="center"/>
                </w:tcPr>
                <w:p w14:paraId="5B7A8DA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w:t>
                  </w:r>
                </w:p>
                <w:p w14:paraId="51B37BF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规律</w:t>
                  </w:r>
                </w:p>
              </w:tc>
              <w:tc>
                <w:tcPr>
                  <w:tcW w:w="1852" w:type="pct"/>
                  <w:gridSpan w:val="3"/>
                  <w:tcBorders>
                    <w:tl2br w:val="nil"/>
                    <w:tr2bl w:val="nil"/>
                  </w:tcBorders>
                  <w:vAlign w:val="center"/>
                </w:tcPr>
                <w:p w14:paraId="799E143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污染治理设施</w:t>
                  </w:r>
                </w:p>
              </w:tc>
              <w:tc>
                <w:tcPr>
                  <w:tcW w:w="400" w:type="pct"/>
                  <w:vMerge w:val="restart"/>
                  <w:tcBorders>
                    <w:tl2br w:val="nil"/>
                    <w:tr2bl w:val="nil"/>
                  </w:tcBorders>
                  <w:vAlign w:val="center"/>
                </w:tcPr>
                <w:p w14:paraId="45EC780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w:t>
                  </w:r>
                </w:p>
                <w:p w14:paraId="186BC71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口编号</w:t>
                  </w:r>
                </w:p>
              </w:tc>
              <w:tc>
                <w:tcPr>
                  <w:tcW w:w="494" w:type="pct"/>
                  <w:vMerge w:val="restart"/>
                  <w:tcBorders>
                    <w:tl2br w:val="nil"/>
                    <w:tr2bl w:val="nil"/>
                  </w:tcBorders>
                  <w:vAlign w:val="center"/>
                </w:tcPr>
                <w:p w14:paraId="451DABD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排放口</w:t>
                  </w:r>
                </w:p>
                <w:p w14:paraId="1493BA8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设置是</w:t>
                  </w:r>
                </w:p>
                <w:p w14:paraId="5DC3BDB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否符合要求</w:t>
                  </w:r>
                </w:p>
              </w:tc>
            </w:tr>
            <w:tr w14:paraId="215EC5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60" w:type="pct"/>
                  <w:vMerge w:val="continue"/>
                  <w:tcBorders>
                    <w:tl2br w:val="nil"/>
                    <w:tr2bl w:val="nil"/>
                  </w:tcBorders>
                  <w:textDirection w:val="tbRlV"/>
                  <w:vAlign w:val="center"/>
                </w:tcPr>
                <w:p w14:paraId="7FC043A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314" w:type="pct"/>
                  <w:vMerge w:val="continue"/>
                  <w:tcBorders>
                    <w:tl2br w:val="nil"/>
                    <w:tr2bl w:val="nil"/>
                  </w:tcBorders>
                  <w:vAlign w:val="center"/>
                </w:tcPr>
                <w:p w14:paraId="438132B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593" w:type="pct"/>
                  <w:vMerge w:val="continue"/>
                  <w:tcBorders>
                    <w:tl2br w:val="nil"/>
                    <w:tr2bl w:val="nil"/>
                  </w:tcBorders>
                  <w:vAlign w:val="center"/>
                </w:tcPr>
                <w:p w14:paraId="6555BC5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954" w:type="pct"/>
                  <w:vMerge w:val="continue"/>
                  <w:tcBorders>
                    <w:tl2br w:val="nil"/>
                    <w:tr2bl w:val="nil"/>
                  </w:tcBorders>
                  <w:vAlign w:val="center"/>
                </w:tcPr>
                <w:p w14:paraId="5F4CB60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231" w:type="pct"/>
                  <w:vMerge w:val="continue"/>
                  <w:tcBorders>
                    <w:tl2br w:val="nil"/>
                    <w:tr2bl w:val="nil"/>
                  </w:tcBorders>
                  <w:vAlign w:val="center"/>
                </w:tcPr>
                <w:p w14:paraId="1609959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808" w:type="pct"/>
                  <w:tcBorders>
                    <w:tl2br w:val="nil"/>
                    <w:tr2bl w:val="nil"/>
                  </w:tcBorders>
                  <w:vAlign w:val="center"/>
                </w:tcPr>
                <w:p w14:paraId="2071527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污染治</w:t>
                  </w:r>
                </w:p>
                <w:p w14:paraId="2EB3EB3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理设施名称</w:t>
                  </w:r>
                </w:p>
              </w:tc>
              <w:tc>
                <w:tcPr>
                  <w:tcW w:w="727" w:type="pct"/>
                  <w:tcBorders>
                    <w:tl2br w:val="nil"/>
                    <w:tr2bl w:val="nil"/>
                  </w:tcBorders>
                  <w:vAlign w:val="center"/>
                </w:tcPr>
                <w:p w14:paraId="4D0B76E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污染治理</w:t>
                  </w:r>
                </w:p>
                <w:p w14:paraId="05BC8CC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设施工艺</w:t>
                  </w:r>
                </w:p>
              </w:tc>
              <w:tc>
                <w:tcPr>
                  <w:tcW w:w="315" w:type="pct"/>
                  <w:tcBorders>
                    <w:tl2br w:val="nil"/>
                    <w:tr2bl w:val="nil"/>
                  </w:tcBorders>
                  <w:vAlign w:val="center"/>
                </w:tcPr>
                <w:p w14:paraId="380DF76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是否</w:t>
                  </w:r>
                </w:p>
                <w:p w14:paraId="579B189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为可</w:t>
                  </w:r>
                </w:p>
                <w:p w14:paraId="690DEBF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行技术</w:t>
                  </w:r>
                </w:p>
              </w:tc>
              <w:tc>
                <w:tcPr>
                  <w:tcW w:w="400" w:type="pct"/>
                  <w:vMerge w:val="continue"/>
                  <w:tcBorders>
                    <w:tl2br w:val="nil"/>
                    <w:tr2bl w:val="nil"/>
                  </w:tcBorders>
                  <w:vAlign w:val="center"/>
                </w:tcPr>
                <w:p w14:paraId="13969D2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94" w:type="pct"/>
                  <w:vMerge w:val="continue"/>
                  <w:tcBorders>
                    <w:tl2br w:val="nil"/>
                    <w:tr2bl w:val="nil"/>
                  </w:tcBorders>
                  <w:vAlign w:val="center"/>
                </w:tcPr>
                <w:p w14:paraId="5A7B175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r>
            <w:tr w14:paraId="7E98A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160" w:type="pct"/>
                  <w:tcBorders>
                    <w:tl2br w:val="nil"/>
                    <w:tr2bl w:val="nil"/>
                  </w:tcBorders>
                  <w:shd w:val="clear" w:color="auto" w:fill="auto"/>
                  <w:vAlign w:val="center"/>
                </w:tcPr>
                <w:p w14:paraId="47E463A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1</w:t>
                  </w:r>
                </w:p>
              </w:tc>
              <w:tc>
                <w:tcPr>
                  <w:tcW w:w="314" w:type="pct"/>
                  <w:tcBorders>
                    <w:tl2br w:val="nil"/>
                    <w:tr2bl w:val="nil"/>
                  </w:tcBorders>
                  <w:shd w:val="clear" w:color="auto" w:fill="auto"/>
                  <w:vAlign w:val="center"/>
                </w:tcPr>
                <w:p w14:paraId="2BA1228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生活污</w:t>
                  </w:r>
                </w:p>
                <w:p w14:paraId="72D8B4C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水</w:t>
                  </w:r>
                </w:p>
              </w:tc>
              <w:tc>
                <w:tcPr>
                  <w:tcW w:w="593" w:type="pct"/>
                  <w:tcBorders>
                    <w:tl2br w:val="nil"/>
                    <w:tr2bl w:val="nil"/>
                  </w:tcBorders>
                  <w:shd w:val="clear" w:color="auto" w:fill="auto"/>
                  <w:vAlign w:val="center"/>
                </w:tcPr>
                <w:p w14:paraId="4EEDFF0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r>
                    <w:rPr>
                      <w:rFonts w:ascii="Times New Roman" w:hAnsi="Times New Roman" w:eastAsia="宋体" w:cs="Times New Roman"/>
                      <w:color w:val="auto"/>
                      <w:sz w:val="21"/>
                      <w:highlight w:val="none"/>
                      <w:vertAlign w:val="subscript"/>
                    </w:rPr>
                    <w:t>Cr</w:t>
                  </w:r>
                  <w:r>
                    <w:rPr>
                      <w:rFonts w:ascii="Times New Roman" w:hAnsi="Times New Roman" w:eastAsia="宋体" w:cs="Times New Roman"/>
                      <w:color w:val="auto"/>
                      <w:sz w:val="21"/>
                      <w:highlight w:val="none"/>
                    </w:rPr>
                    <w:t>、</w:t>
                  </w:r>
                </w:p>
                <w:p w14:paraId="1313ED9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r>
                    <w:rPr>
                      <w:rFonts w:ascii="Times New Roman" w:hAnsi="Times New Roman" w:eastAsia="宋体" w:cs="Times New Roman"/>
                      <w:color w:val="auto"/>
                      <w:sz w:val="21"/>
                      <w:highlight w:val="none"/>
                    </w:rPr>
                    <w:t>、</w:t>
                  </w:r>
                </w:p>
                <w:p w14:paraId="201CD02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p w14:paraId="5B21F46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r>
                    <w:rPr>
                      <w:rFonts w:hint="eastAsia"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TN</w:t>
                  </w:r>
                </w:p>
              </w:tc>
              <w:tc>
                <w:tcPr>
                  <w:tcW w:w="954" w:type="pct"/>
                  <w:vMerge w:val="restart"/>
                  <w:tcBorders>
                    <w:tl2br w:val="nil"/>
                    <w:tr2bl w:val="nil"/>
                  </w:tcBorders>
                  <w:shd w:val="clear" w:color="auto" w:fill="auto"/>
                  <w:vAlign w:val="center"/>
                </w:tcPr>
                <w:p w14:paraId="59FBFE0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福清市第二污水处理厂</w:t>
                  </w:r>
                </w:p>
              </w:tc>
              <w:tc>
                <w:tcPr>
                  <w:tcW w:w="231" w:type="pct"/>
                  <w:tcBorders>
                    <w:tl2br w:val="nil"/>
                    <w:tr2bl w:val="nil"/>
                  </w:tcBorders>
                  <w:shd w:val="clear" w:color="auto" w:fill="auto"/>
                  <w:textDirection w:val="tbRlV"/>
                  <w:vAlign w:val="center"/>
                </w:tcPr>
                <w:p w14:paraId="47E8AB8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间歇</w:t>
                  </w:r>
                </w:p>
              </w:tc>
              <w:tc>
                <w:tcPr>
                  <w:tcW w:w="808" w:type="pct"/>
                  <w:tcBorders>
                    <w:tl2br w:val="nil"/>
                    <w:tr2bl w:val="nil"/>
                  </w:tcBorders>
                  <w:shd w:val="clear" w:color="auto" w:fill="auto"/>
                  <w:vAlign w:val="center"/>
                </w:tcPr>
                <w:p w14:paraId="1A0C1A6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化粪池</w:t>
                  </w:r>
                </w:p>
              </w:tc>
              <w:tc>
                <w:tcPr>
                  <w:tcW w:w="727" w:type="pct"/>
                  <w:tcBorders>
                    <w:tl2br w:val="nil"/>
                    <w:tr2bl w:val="nil"/>
                  </w:tcBorders>
                  <w:shd w:val="clear" w:color="auto" w:fill="auto"/>
                  <w:vAlign w:val="center"/>
                </w:tcPr>
                <w:p w14:paraId="09C5FAE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沉淀</w:t>
                  </w:r>
                </w:p>
              </w:tc>
              <w:tc>
                <w:tcPr>
                  <w:tcW w:w="315" w:type="pct"/>
                  <w:tcBorders>
                    <w:tl2br w:val="nil"/>
                    <w:tr2bl w:val="nil"/>
                  </w:tcBorders>
                  <w:shd w:val="clear" w:color="auto" w:fill="auto"/>
                  <w:vAlign w:val="center"/>
                </w:tcPr>
                <w:p w14:paraId="2EFA572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是</w:t>
                  </w:r>
                </w:p>
              </w:tc>
              <w:tc>
                <w:tcPr>
                  <w:tcW w:w="400" w:type="pct"/>
                  <w:tcBorders>
                    <w:tl2br w:val="nil"/>
                    <w:tr2bl w:val="nil"/>
                  </w:tcBorders>
                  <w:shd w:val="clear" w:color="auto" w:fill="auto"/>
                  <w:vAlign w:val="center"/>
                </w:tcPr>
                <w:p w14:paraId="566272F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highlight w:val="none"/>
                      <w:lang w:val="en-US" w:eastAsia="zh-CN"/>
                    </w:rPr>
                    <w:t>DW001</w:t>
                  </w:r>
                </w:p>
              </w:tc>
              <w:tc>
                <w:tcPr>
                  <w:tcW w:w="494" w:type="pct"/>
                  <w:vMerge w:val="restart"/>
                  <w:tcBorders>
                    <w:tl2br w:val="nil"/>
                    <w:tr2bl w:val="nil"/>
                  </w:tcBorders>
                  <w:vAlign w:val="center"/>
                </w:tcPr>
                <w:p w14:paraId="5C1370E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是</w:t>
                  </w:r>
                </w:p>
              </w:tc>
            </w:tr>
            <w:tr w14:paraId="19805B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160" w:type="pct"/>
                  <w:tcBorders>
                    <w:tl2br w:val="nil"/>
                    <w:tr2bl w:val="nil"/>
                  </w:tcBorders>
                  <w:shd w:val="clear" w:color="auto" w:fill="auto"/>
                  <w:vAlign w:val="center"/>
                </w:tcPr>
                <w:p w14:paraId="3B7E0C6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2</w:t>
                  </w:r>
                </w:p>
              </w:tc>
              <w:tc>
                <w:tcPr>
                  <w:tcW w:w="314" w:type="pct"/>
                  <w:tcBorders>
                    <w:tl2br w:val="nil"/>
                    <w:tr2bl w:val="nil"/>
                  </w:tcBorders>
                  <w:shd w:val="clear" w:color="auto" w:fill="auto"/>
                  <w:vAlign w:val="center"/>
                </w:tcPr>
                <w:p w14:paraId="4986ADB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生产废</w:t>
                  </w:r>
                </w:p>
                <w:p w14:paraId="75C00D6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水</w:t>
                  </w:r>
                </w:p>
              </w:tc>
              <w:tc>
                <w:tcPr>
                  <w:tcW w:w="593" w:type="pct"/>
                  <w:tcBorders>
                    <w:tl2br w:val="nil"/>
                    <w:tr2bl w:val="nil"/>
                  </w:tcBorders>
                  <w:shd w:val="clear" w:color="auto" w:fill="auto"/>
                  <w:vAlign w:val="center"/>
                </w:tcPr>
                <w:p w14:paraId="2913442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w:t>
                  </w:r>
                </w:p>
                <w:p w14:paraId="50A913D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p w14:paraId="5ACC6CA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p w14:paraId="68F1A2D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r>
                    <w:rPr>
                      <w:rFonts w:ascii="Times New Roman" w:hAnsi="Times New Roman" w:eastAsia="宋体" w:cs="Times New Roman"/>
                      <w:color w:val="auto"/>
                      <w:sz w:val="21"/>
                      <w:highlight w:val="none"/>
                    </w:rPr>
                    <w:t>、石</w:t>
                  </w:r>
                </w:p>
                <w:p w14:paraId="0B6B34A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油类、</w:t>
                  </w:r>
                </w:p>
                <w:p w14:paraId="1527139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LAS</w:t>
                  </w:r>
                </w:p>
              </w:tc>
              <w:tc>
                <w:tcPr>
                  <w:tcW w:w="954" w:type="pct"/>
                  <w:vMerge w:val="continue"/>
                  <w:tcBorders>
                    <w:tl2br w:val="nil"/>
                    <w:tr2bl w:val="nil"/>
                  </w:tcBorders>
                  <w:shd w:val="clear" w:color="auto" w:fill="auto"/>
                  <w:vAlign w:val="center"/>
                </w:tcPr>
                <w:p w14:paraId="53E1AF5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p>
              </w:tc>
              <w:tc>
                <w:tcPr>
                  <w:tcW w:w="231" w:type="pct"/>
                  <w:tcBorders>
                    <w:tl2br w:val="nil"/>
                    <w:tr2bl w:val="nil"/>
                  </w:tcBorders>
                  <w:shd w:val="clear" w:color="auto" w:fill="auto"/>
                  <w:vAlign w:val="center"/>
                </w:tcPr>
                <w:p w14:paraId="6358CBA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间歇</w:t>
                  </w:r>
                </w:p>
              </w:tc>
              <w:tc>
                <w:tcPr>
                  <w:tcW w:w="808" w:type="pct"/>
                  <w:tcBorders>
                    <w:tl2br w:val="nil"/>
                    <w:tr2bl w:val="nil"/>
                  </w:tcBorders>
                  <w:shd w:val="clear" w:color="auto" w:fill="auto"/>
                  <w:vAlign w:val="center"/>
                </w:tcPr>
                <w:p w14:paraId="1ED2B9D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w:t>
                  </w:r>
                  <w:r>
                    <w:rPr>
                      <w:rFonts w:hint="eastAsia" w:ascii="Times New Roman" w:hAnsi="Times New Roman" w:cs="Times New Roman"/>
                      <w:color w:val="auto"/>
                      <w:sz w:val="21"/>
                      <w:highlight w:val="none"/>
                      <w:lang w:eastAsia="zh-CN"/>
                    </w:rPr>
                    <w:t>物化+A/O+沉淀</w:t>
                  </w:r>
                  <w:r>
                    <w:rPr>
                      <w:rFonts w:ascii="Times New Roman" w:hAnsi="Times New Roman" w:eastAsia="宋体" w:cs="Times New Roman"/>
                      <w:color w:val="auto"/>
                      <w:sz w:val="21"/>
                      <w:highlight w:val="none"/>
                    </w:rPr>
                    <w:t>”</w:t>
                  </w:r>
                </w:p>
                <w:p w14:paraId="3A0E8F1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处理设施</w:t>
                  </w:r>
                </w:p>
              </w:tc>
              <w:tc>
                <w:tcPr>
                  <w:tcW w:w="727" w:type="pct"/>
                  <w:tcBorders>
                    <w:tl2br w:val="nil"/>
                    <w:tr2bl w:val="nil"/>
                  </w:tcBorders>
                  <w:shd w:val="clear" w:color="auto" w:fill="auto"/>
                  <w:vAlign w:val="center"/>
                </w:tcPr>
                <w:p w14:paraId="5FB4737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highlight w:val="none"/>
                      <w:lang w:eastAsia="zh-CN"/>
                    </w:rPr>
                    <w:t>物化+A/O+沉淀</w:t>
                  </w:r>
                </w:p>
              </w:tc>
              <w:tc>
                <w:tcPr>
                  <w:tcW w:w="315" w:type="pct"/>
                  <w:tcBorders>
                    <w:tl2br w:val="nil"/>
                    <w:tr2bl w:val="nil"/>
                  </w:tcBorders>
                  <w:shd w:val="clear" w:color="auto" w:fill="auto"/>
                  <w:vAlign w:val="center"/>
                </w:tcPr>
                <w:p w14:paraId="23AE348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是</w:t>
                  </w:r>
                </w:p>
              </w:tc>
              <w:tc>
                <w:tcPr>
                  <w:tcW w:w="400" w:type="pct"/>
                  <w:tcBorders>
                    <w:tl2br w:val="nil"/>
                    <w:tr2bl w:val="nil"/>
                  </w:tcBorders>
                  <w:shd w:val="clear" w:color="auto" w:fill="auto"/>
                  <w:vAlign w:val="center"/>
                </w:tcPr>
                <w:p w14:paraId="3163B08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pacing w:val="4"/>
                      <w:sz w:val="21"/>
                      <w:szCs w:val="21"/>
                      <w:highlight w:val="none"/>
                      <w:lang w:val="en-US" w:eastAsia="zh-CN" w:bidi="ar-SA"/>
                    </w:rPr>
                  </w:pPr>
                  <w:r>
                    <w:rPr>
                      <w:rFonts w:ascii="Times New Roman" w:hAnsi="Times New Roman" w:eastAsia="宋体" w:cs="Times New Roman"/>
                      <w:color w:val="auto"/>
                      <w:sz w:val="21"/>
                      <w:highlight w:val="none"/>
                    </w:rPr>
                    <w:t>DW00</w:t>
                  </w:r>
                  <w:r>
                    <w:rPr>
                      <w:rFonts w:hint="eastAsia" w:ascii="Times New Roman" w:hAnsi="Times New Roman" w:cs="Times New Roman"/>
                      <w:color w:val="auto"/>
                      <w:sz w:val="21"/>
                      <w:highlight w:val="none"/>
                      <w:lang w:val="en-US" w:eastAsia="zh-CN"/>
                    </w:rPr>
                    <w:t>2</w:t>
                  </w:r>
                </w:p>
              </w:tc>
              <w:tc>
                <w:tcPr>
                  <w:tcW w:w="494" w:type="pct"/>
                  <w:vMerge w:val="continue"/>
                  <w:tcBorders>
                    <w:tl2br w:val="nil"/>
                    <w:tr2bl w:val="nil"/>
                  </w:tcBorders>
                  <w:vAlign w:val="center"/>
                </w:tcPr>
                <w:p w14:paraId="1F2217E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r>
          </w:tbl>
          <w:p w14:paraId="4BBC3F67">
            <w:pPr>
              <w:rPr>
                <w:rFonts w:hint="eastAsia"/>
                <w:color w:val="auto"/>
                <w:highlight w:val="none"/>
                <w:lang w:val="en-US" w:eastAsia="zh-CN"/>
              </w:rPr>
            </w:pPr>
          </w:p>
          <w:p w14:paraId="6CAACC28">
            <w:pPr>
              <w:pStyle w:val="44"/>
              <w:keepNext/>
              <w:keepLines/>
              <w:pageBreakBefore w:val="0"/>
              <w:widowControl w:val="0"/>
              <w:numPr>
                <w:ilvl w:val="7"/>
                <w:numId w:val="1"/>
              </w:numPr>
              <w:kinsoku/>
              <w:wordWrap/>
              <w:overflowPunct/>
              <w:topLinePunct w:val="0"/>
              <w:autoSpaceDE/>
              <w:autoSpaceDN/>
              <w:bidi w:val="0"/>
              <w:adjustRightInd/>
              <w:snapToGrid/>
              <w:spacing w:before="157" w:beforeLines="50" w:after="0"/>
              <w:ind w:left="630" w:leftChars="0" w:firstLine="0" w:firstLineChars="0"/>
              <w:textAlignment w:val="auto"/>
              <w:rPr>
                <w:rFonts w:hint="eastAsia" w:ascii="Times New Roman" w:hAnsi="Times New Roman" w:eastAsia="宋体" w:cs="Times New Roman"/>
                <w:color w:val="auto"/>
                <w:highlight w:val="none"/>
                <w:lang w:val="en-US" w:eastAsia="zh-CN"/>
              </w:rPr>
            </w:pPr>
            <w:bookmarkStart w:id="49" w:name="_Ref27296"/>
            <w:r>
              <w:rPr>
                <w:rFonts w:hint="eastAsia" w:ascii="Times New Roman" w:hAnsi="Times New Roman" w:eastAsia="宋体" w:cs="Times New Roman"/>
                <w:color w:val="auto"/>
                <w:highlight w:val="none"/>
                <w:lang w:val="en-US" w:eastAsia="zh-CN"/>
              </w:rPr>
              <w:t>项目废水源核算一览表</w:t>
            </w:r>
            <w:bookmarkEnd w:id="49"/>
          </w:p>
          <w:tbl>
            <w:tblPr>
              <w:tblStyle w:val="34"/>
              <w:tblW w:w="49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67"/>
              <w:gridCol w:w="1155"/>
              <w:gridCol w:w="830"/>
              <w:gridCol w:w="795"/>
              <w:gridCol w:w="619"/>
              <w:gridCol w:w="818"/>
              <w:gridCol w:w="767"/>
              <w:gridCol w:w="382"/>
              <w:gridCol w:w="2110"/>
              <w:gridCol w:w="740"/>
            </w:tblGrid>
            <w:tr w14:paraId="33CA7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16" w:type="pct"/>
                  <w:vMerge w:val="restart"/>
                  <w:tcBorders>
                    <w:tl2br w:val="nil"/>
                    <w:tr2bl w:val="nil"/>
                  </w:tcBorders>
                  <w:vAlign w:val="center"/>
                </w:tcPr>
                <w:p w14:paraId="2531C1E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类别</w:t>
                  </w:r>
                </w:p>
              </w:tc>
              <w:tc>
                <w:tcPr>
                  <w:tcW w:w="675" w:type="pct"/>
                  <w:vMerge w:val="restart"/>
                  <w:tcBorders>
                    <w:tl2br w:val="nil"/>
                    <w:tr2bl w:val="nil"/>
                  </w:tcBorders>
                  <w:vAlign w:val="center"/>
                </w:tcPr>
                <w:p w14:paraId="64D863F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污染物种类</w:t>
                  </w:r>
                </w:p>
              </w:tc>
              <w:tc>
                <w:tcPr>
                  <w:tcW w:w="951" w:type="pct"/>
                  <w:gridSpan w:val="2"/>
                  <w:tcBorders>
                    <w:tl2br w:val="nil"/>
                    <w:tr2bl w:val="nil"/>
                  </w:tcBorders>
                  <w:vAlign w:val="center"/>
                </w:tcPr>
                <w:p w14:paraId="0D22369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污染物产生情况</w:t>
                  </w:r>
                </w:p>
              </w:tc>
              <w:tc>
                <w:tcPr>
                  <w:tcW w:w="353" w:type="pct"/>
                  <w:vMerge w:val="restart"/>
                  <w:tcBorders>
                    <w:tl2br w:val="nil"/>
                    <w:tr2bl w:val="nil"/>
                  </w:tcBorders>
                  <w:vAlign w:val="center"/>
                </w:tcPr>
                <w:p w14:paraId="0415102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净化</w:t>
                  </w:r>
                </w:p>
                <w:p w14:paraId="5A308CB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效率</w:t>
                  </w:r>
                </w:p>
              </w:tc>
              <w:tc>
                <w:tcPr>
                  <w:tcW w:w="917" w:type="pct"/>
                  <w:gridSpan w:val="2"/>
                  <w:tcBorders>
                    <w:tl2br w:val="nil"/>
                    <w:tr2bl w:val="nil"/>
                  </w:tcBorders>
                  <w:vAlign w:val="center"/>
                </w:tcPr>
                <w:p w14:paraId="6DE7955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污染物排放情况</w:t>
                  </w:r>
                </w:p>
              </w:tc>
              <w:tc>
                <w:tcPr>
                  <w:tcW w:w="224" w:type="pct"/>
                  <w:vMerge w:val="restart"/>
                  <w:tcBorders>
                    <w:tl2br w:val="nil"/>
                    <w:tr2bl w:val="nil"/>
                  </w:tcBorders>
                  <w:vAlign w:val="center"/>
                </w:tcPr>
                <w:p w14:paraId="2CEB580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排放方式</w:t>
                  </w:r>
                </w:p>
              </w:tc>
              <w:tc>
                <w:tcPr>
                  <w:tcW w:w="1231" w:type="pct"/>
                  <w:vMerge w:val="restart"/>
                  <w:tcBorders>
                    <w:tl2br w:val="nil"/>
                    <w:tr2bl w:val="nil"/>
                  </w:tcBorders>
                  <w:vAlign w:val="center"/>
                </w:tcPr>
                <w:p w14:paraId="05AB088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排放去向</w:t>
                  </w:r>
                </w:p>
              </w:tc>
              <w:tc>
                <w:tcPr>
                  <w:tcW w:w="428" w:type="pct"/>
                  <w:vMerge w:val="restart"/>
                  <w:tcBorders>
                    <w:tl2br w:val="nil"/>
                    <w:tr2bl w:val="nil"/>
                  </w:tcBorders>
                  <w:vAlign w:val="center"/>
                </w:tcPr>
                <w:p w14:paraId="04DB1C9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排放标准mg/</w:t>
                  </w:r>
                  <w:r>
                    <w:rPr>
                      <w:rFonts w:hint="eastAsia" w:ascii="Times New Roman" w:hAnsi="Times New Roman" w:eastAsia="宋体" w:cs="Times New Roman"/>
                      <w:color w:val="auto"/>
                      <w:sz w:val="21"/>
                      <w:highlight w:val="none"/>
                    </w:rPr>
                    <w:t>L</w:t>
                  </w:r>
                </w:p>
              </w:tc>
            </w:tr>
            <w:tr w14:paraId="26687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16" w:type="pct"/>
                  <w:vMerge w:val="continue"/>
                  <w:tcBorders>
                    <w:tl2br w:val="nil"/>
                    <w:tr2bl w:val="nil"/>
                  </w:tcBorders>
                  <w:vAlign w:val="center"/>
                </w:tcPr>
                <w:p w14:paraId="25AB0AC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vMerge w:val="continue"/>
                  <w:tcBorders>
                    <w:tl2br w:val="nil"/>
                    <w:tr2bl w:val="nil"/>
                  </w:tcBorders>
                  <w:vAlign w:val="center"/>
                </w:tcPr>
                <w:p w14:paraId="439AA6D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86" w:type="pct"/>
                  <w:tcBorders>
                    <w:tl2br w:val="nil"/>
                    <w:tr2bl w:val="nil"/>
                  </w:tcBorders>
                  <w:vAlign w:val="center"/>
                </w:tcPr>
                <w:p w14:paraId="6498CB7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产生浓度mg/</w:t>
                  </w:r>
                  <w:r>
                    <w:rPr>
                      <w:rFonts w:hint="eastAsia" w:ascii="Times New Roman" w:hAnsi="Times New Roman" w:eastAsia="宋体" w:cs="Times New Roman"/>
                      <w:color w:val="auto"/>
                      <w:sz w:val="21"/>
                      <w:highlight w:val="none"/>
                    </w:rPr>
                    <w:t>L</w:t>
                  </w:r>
                </w:p>
              </w:tc>
              <w:tc>
                <w:tcPr>
                  <w:tcW w:w="464" w:type="pct"/>
                  <w:tcBorders>
                    <w:tl2br w:val="nil"/>
                    <w:tr2bl w:val="nil"/>
                  </w:tcBorders>
                  <w:vAlign w:val="center"/>
                </w:tcPr>
                <w:p w14:paraId="259B186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产生量t/a</w:t>
                  </w:r>
                </w:p>
              </w:tc>
              <w:tc>
                <w:tcPr>
                  <w:tcW w:w="353" w:type="pct"/>
                  <w:vMerge w:val="continue"/>
                  <w:tcBorders>
                    <w:tl2br w:val="nil"/>
                    <w:tr2bl w:val="nil"/>
                  </w:tcBorders>
                  <w:vAlign w:val="center"/>
                </w:tcPr>
                <w:p w14:paraId="0EFB74B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78" w:type="pct"/>
                  <w:tcBorders>
                    <w:tl2br w:val="nil"/>
                    <w:tr2bl w:val="nil"/>
                  </w:tcBorders>
                  <w:vAlign w:val="center"/>
                </w:tcPr>
                <w:p w14:paraId="1A849A0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排放浓度mg/</w:t>
                  </w:r>
                  <w:r>
                    <w:rPr>
                      <w:rFonts w:hint="eastAsia" w:ascii="Times New Roman" w:hAnsi="Times New Roman" w:eastAsia="宋体" w:cs="Times New Roman"/>
                      <w:color w:val="auto"/>
                      <w:sz w:val="21"/>
                      <w:highlight w:val="none"/>
                    </w:rPr>
                    <w:t>L</w:t>
                  </w:r>
                </w:p>
              </w:tc>
              <w:tc>
                <w:tcPr>
                  <w:tcW w:w="438" w:type="pct"/>
                  <w:tcBorders>
                    <w:tl2br w:val="nil"/>
                    <w:tr2bl w:val="nil"/>
                  </w:tcBorders>
                  <w:vAlign w:val="center"/>
                </w:tcPr>
                <w:p w14:paraId="19EBEAF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排放量t/a</w:t>
                  </w:r>
                </w:p>
              </w:tc>
              <w:tc>
                <w:tcPr>
                  <w:tcW w:w="224" w:type="pct"/>
                  <w:vMerge w:val="continue"/>
                  <w:tcBorders>
                    <w:tl2br w:val="nil"/>
                    <w:tr2bl w:val="nil"/>
                  </w:tcBorders>
                  <w:vAlign w:val="center"/>
                </w:tcPr>
                <w:p w14:paraId="3ED11AC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787313D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vMerge w:val="continue"/>
                  <w:tcBorders>
                    <w:tl2br w:val="nil"/>
                    <w:tr2bl w:val="nil"/>
                  </w:tcBorders>
                  <w:vAlign w:val="center"/>
                </w:tcPr>
                <w:p w14:paraId="5F4E0CD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r>
            <w:tr w14:paraId="73B61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restart"/>
                  <w:tcBorders>
                    <w:tl2br w:val="nil"/>
                    <w:tr2bl w:val="nil"/>
                  </w:tcBorders>
                  <w:vAlign w:val="center"/>
                </w:tcPr>
                <w:p w14:paraId="29E4743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生活污水</w:t>
                  </w:r>
                </w:p>
              </w:tc>
              <w:tc>
                <w:tcPr>
                  <w:tcW w:w="675" w:type="pct"/>
                  <w:tcBorders>
                    <w:tl2br w:val="nil"/>
                    <w:tr2bl w:val="nil"/>
                  </w:tcBorders>
                  <w:vAlign w:val="center"/>
                </w:tcPr>
                <w:p w14:paraId="7AFE5F6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废水量</w:t>
                  </w:r>
                </w:p>
              </w:tc>
              <w:tc>
                <w:tcPr>
                  <w:tcW w:w="486" w:type="pct"/>
                  <w:tcBorders>
                    <w:tl2br w:val="nil"/>
                    <w:tr2bl w:val="nil"/>
                  </w:tcBorders>
                  <w:vAlign w:val="center"/>
                </w:tcPr>
                <w:p w14:paraId="40D4BED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w:t>
                  </w:r>
                </w:p>
              </w:tc>
              <w:tc>
                <w:tcPr>
                  <w:tcW w:w="464" w:type="pct"/>
                  <w:tcBorders>
                    <w:tl2br w:val="nil"/>
                    <w:tr2bl w:val="nil"/>
                  </w:tcBorders>
                  <w:vAlign w:val="center"/>
                </w:tcPr>
                <w:p w14:paraId="1FD6E16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360</w:t>
                  </w:r>
                </w:p>
              </w:tc>
              <w:tc>
                <w:tcPr>
                  <w:tcW w:w="353" w:type="pct"/>
                  <w:tcBorders>
                    <w:tl2br w:val="nil"/>
                    <w:tr2bl w:val="nil"/>
                  </w:tcBorders>
                  <w:shd w:val="clear" w:color="auto" w:fill="auto"/>
                  <w:vAlign w:val="center"/>
                </w:tcPr>
                <w:p w14:paraId="2C8D7A4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478" w:type="pct"/>
                  <w:tcBorders>
                    <w:tl2br w:val="nil"/>
                    <w:tr2bl w:val="nil"/>
                  </w:tcBorders>
                  <w:vAlign w:val="center"/>
                </w:tcPr>
                <w:p w14:paraId="6A1C3D0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w:t>
                  </w:r>
                </w:p>
              </w:tc>
              <w:tc>
                <w:tcPr>
                  <w:tcW w:w="438" w:type="pct"/>
                  <w:tcBorders>
                    <w:tl2br w:val="nil"/>
                    <w:tr2bl w:val="nil"/>
                  </w:tcBorders>
                  <w:vAlign w:val="center"/>
                </w:tcPr>
                <w:p w14:paraId="071EBE4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360</w:t>
                  </w:r>
                </w:p>
              </w:tc>
              <w:tc>
                <w:tcPr>
                  <w:tcW w:w="224" w:type="pct"/>
                  <w:vMerge w:val="restart"/>
                  <w:tcBorders>
                    <w:tl2br w:val="nil"/>
                    <w:tr2bl w:val="nil"/>
                  </w:tcBorders>
                  <w:vAlign w:val="center"/>
                </w:tcPr>
                <w:p w14:paraId="5390DED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间接排放</w:t>
                  </w:r>
                </w:p>
              </w:tc>
              <w:tc>
                <w:tcPr>
                  <w:tcW w:w="1231" w:type="pct"/>
                  <w:vMerge w:val="restart"/>
                  <w:tcBorders>
                    <w:tl2br w:val="nil"/>
                    <w:tr2bl w:val="nil"/>
                  </w:tcBorders>
                  <w:vAlign w:val="center"/>
                </w:tcPr>
                <w:p w14:paraId="5F698BA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经处理达标后通过厂区污水总排放口排入市政污水管网，送往福清市第二污水处理厂集中处理</w:t>
                  </w:r>
                </w:p>
              </w:tc>
              <w:tc>
                <w:tcPr>
                  <w:tcW w:w="428" w:type="pct"/>
                  <w:tcBorders>
                    <w:tl2br w:val="nil"/>
                    <w:tr2bl w:val="nil"/>
                  </w:tcBorders>
                  <w:shd w:val="clear" w:color="auto" w:fill="auto"/>
                  <w:vAlign w:val="center"/>
                </w:tcPr>
                <w:p w14:paraId="39DA44C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r>
            <w:tr w14:paraId="1DBD2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2" w:hRule="exact"/>
                <w:jc w:val="center"/>
              </w:trPr>
              <w:tc>
                <w:tcPr>
                  <w:tcW w:w="216" w:type="pct"/>
                  <w:vMerge w:val="continue"/>
                  <w:tcBorders>
                    <w:tl2br w:val="nil"/>
                    <w:tr2bl w:val="nil"/>
                  </w:tcBorders>
                  <w:vAlign w:val="center"/>
                </w:tcPr>
                <w:p w14:paraId="61E0CD3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vAlign w:val="center"/>
                </w:tcPr>
                <w:p w14:paraId="6DC8A18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s="Times New Roman"/>
                      <w:color w:val="auto"/>
                      <w:sz w:val="21"/>
                      <w:highlight w:val="none"/>
                    </w:rPr>
                    <w:t>无量纲</w:t>
                  </w:r>
                  <w:r>
                    <w:rPr>
                      <w:rFonts w:hint="eastAsia" w:ascii="Times New Roman" w:hAnsi="Times New Roman" w:cs="Times New Roman"/>
                      <w:color w:val="auto"/>
                      <w:sz w:val="21"/>
                      <w:highlight w:val="none"/>
                      <w:lang w:eastAsia="zh-CN"/>
                    </w:rPr>
                    <w:t>）</w:t>
                  </w:r>
                </w:p>
              </w:tc>
              <w:tc>
                <w:tcPr>
                  <w:tcW w:w="486" w:type="pct"/>
                  <w:tcBorders>
                    <w:tl2br w:val="nil"/>
                    <w:tr2bl w:val="nil"/>
                  </w:tcBorders>
                  <w:vAlign w:val="center"/>
                </w:tcPr>
                <w:p w14:paraId="6621775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6~9</w:t>
                  </w:r>
                </w:p>
              </w:tc>
              <w:tc>
                <w:tcPr>
                  <w:tcW w:w="464" w:type="pct"/>
                  <w:tcBorders>
                    <w:tl2br w:val="nil"/>
                    <w:tr2bl w:val="nil"/>
                  </w:tcBorders>
                  <w:vAlign w:val="center"/>
                </w:tcPr>
                <w:p w14:paraId="24A41CC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353" w:type="pct"/>
                  <w:tcBorders>
                    <w:tl2br w:val="nil"/>
                    <w:tr2bl w:val="nil"/>
                  </w:tcBorders>
                  <w:shd w:val="clear" w:color="auto" w:fill="auto"/>
                  <w:vAlign w:val="center"/>
                </w:tcPr>
                <w:p w14:paraId="4882273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478" w:type="pct"/>
                  <w:tcBorders>
                    <w:tl2br w:val="nil"/>
                    <w:tr2bl w:val="nil"/>
                  </w:tcBorders>
                  <w:vAlign w:val="center"/>
                </w:tcPr>
                <w:p w14:paraId="67736CB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6~9</w:t>
                  </w:r>
                </w:p>
              </w:tc>
              <w:tc>
                <w:tcPr>
                  <w:tcW w:w="438" w:type="pct"/>
                  <w:tcBorders>
                    <w:tl2br w:val="nil"/>
                    <w:tr2bl w:val="nil"/>
                  </w:tcBorders>
                  <w:vAlign w:val="center"/>
                </w:tcPr>
                <w:p w14:paraId="3049E3D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w:t>
                  </w:r>
                </w:p>
              </w:tc>
              <w:tc>
                <w:tcPr>
                  <w:tcW w:w="224" w:type="pct"/>
                  <w:vMerge w:val="continue"/>
                  <w:tcBorders>
                    <w:tl2br w:val="nil"/>
                    <w:tr2bl w:val="nil"/>
                  </w:tcBorders>
                  <w:vAlign w:val="center"/>
                </w:tcPr>
                <w:p w14:paraId="5EFAA32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1098FF1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5B9635A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6~9</w:t>
                  </w:r>
                </w:p>
              </w:tc>
            </w:tr>
            <w:tr w14:paraId="140D4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3DF6C7C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vAlign w:val="center"/>
                </w:tcPr>
                <w:p w14:paraId="235FD57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CODcr</w:t>
                  </w:r>
                </w:p>
              </w:tc>
              <w:tc>
                <w:tcPr>
                  <w:tcW w:w="486" w:type="pct"/>
                  <w:tcBorders>
                    <w:tl2br w:val="nil"/>
                    <w:tr2bl w:val="nil"/>
                  </w:tcBorders>
                  <w:vAlign w:val="center"/>
                </w:tcPr>
                <w:p w14:paraId="2D4170A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300</w:t>
                  </w:r>
                </w:p>
              </w:tc>
              <w:tc>
                <w:tcPr>
                  <w:tcW w:w="464" w:type="pct"/>
                  <w:tcBorders>
                    <w:tl2br w:val="nil"/>
                    <w:tr2bl w:val="nil"/>
                  </w:tcBorders>
                  <w:vAlign w:val="center"/>
                </w:tcPr>
                <w:p w14:paraId="4F7C9E1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0.108</w:t>
                  </w:r>
                </w:p>
              </w:tc>
              <w:tc>
                <w:tcPr>
                  <w:tcW w:w="353" w:type="pct"/>
                  <w:tcBorders>
                    <w:tl2br w:val="nil"/>
                    <w:tr2bl w:val="nil"/>
                  </w:tcBorders>
                  <w:shd w:val="clear" w:color="auto" w:fill="auto"/>
                  <w:vAlign w:val="center"/>
                </w:tcPr>
                <w:p w14:paraId="0E59797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6.7%</w:t>
                  </w:r>
                </w:p>
              </w:tc>
              <w:tc>
                <w:tcPr>
                  <w:tcW w:w="478" w:type="pct"/>
                  <w:tcBorders>
                    <w:tl2br w:val="nil"/>
                    <w:tr2bl w:val="nil"/>
                  </w:tcBorders>
                  <w:vAlign w:val="center"/>
                </w:tcPr>
                <w:p w14:paraId="2D40633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280</w:t>
                  </w:r>
                </w:p>
              </w:tc>
              <w:tc>
                <w:tcPr>
                  <w:tcW w:w="438" w:type="pct"/>
                  <w:tcBorders>
                    <w:tl2br w:val="nil"/>
                    <w:tr2bl w:val="nil"/>
                  </w:tcBorders>
                  <w:vAlign w:val="center"/>
                </w:tcPr>
                <w:p w14:paraId="76B837B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0.1</w:t>
                  </w:r>
                  <w:r>
                    <w:rPr>
                      <w:rFonts w:hint="eastAsia" w:ascii="Times New Roman" w:hAnsi="Times New Roman" w:cs="Times New Roman"/>
                      <w:color w:val="auto"/>
                      <w:sz w:val="21"/>
                      <w:highlight w:val="none"/>
                      <w:lang w:val="en-US" w:eastAsia="zh-CN"/>
                    </w:rPr>
                    <w:t>008</w:t>
                  </w:r>
                </w:p>
              </w:tc>
              <w:tc>
                <w:tcPr>
                  <w:tcW w:w="224" w:type="pct"/>
                  <w:vMerge w:val="continue"/>
                  <w:tcBorders>
                    <w:tl2br w:val="nil"/>
                    <w:tr2bl w:val="nil"/>
                  </w:tcBorders>
                  <w:vAlign w:val="center"/>
                </w:tcPr>
                <w:p w14:paraId="638F4FA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313A41B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3F37F8D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500</w:t>
                  </w:r>
                </w:p>
              </w:tc>
            </w:tr>
            <w:tr w14:paraId="406CA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29C1F97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vAlign w:val="center"/>
                </w:tcPr>
                <w:p w14:paraId="5D5F3F9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486" w:type="pct"/>
                  <w:tcBorders>
                    <w:tl2br w:val="nil"/>
                    <w:tr2bl w:val="nil"/>
                  </w:tcBorders>
                  <w:vAlign w:val="center"/>
                </w:tcPr>
                <w:p w14:paraId="4E1F8E8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150</w:t>
                  </w:r>
                </w:p>
              </w:tc>
              <w:tc>
                <w:tcPr>
                  <w:tcW w:w="464" w:type="pct"/>
                  <w:tcBorders>
                    <w:tl2br w:val="nil"/>
                    <w:tr2bl w:val="nil"/>
                  </w:tcBorders>
                  <w:vAlign w:val="center"/>
                </w:tcPr>
                <w:p w14:paraId="33BA5C6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0.054</w:t>
                  </w:r>
                </w:p>
              </w:tc>
              <w:tc>
                <w:tcPr>
                  <w:tcW w:w="353" w:type="pct"/>
                  <w:tcBorders>
                    <w:tl2br w:val="nil"/>
                    <w:tr2bl w:val="nil"/>
                  </w:tcBorders>
                  <w:shd w:val="clear" w:color="auto" w:fill="auto"/>
                  <w:vAlign w:val="center"/>
                </w:tcPr>
                <w:p w14:paraId="7ECE4BD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6.7%</w:t>
                  </w:r>
                </w:p>
              </w:tc>
              <w:tc>
                <w:tcPr>
                  <w:tcW w:w="478" w:type="pct"/>
                  <w:tcBorders>
                    <w:tl2br w:val="nil"/>
                    <w:tr2bl w:val="nil"/>
                  </w:tcBorders>
                  <w:vAlign w:val="center"/>
                </w:tcPr>
                <w:p w14:paraId="74D7BD2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zh-CN"/>
                    </w:rPr>
                  </w:pPr>
                  <w:r>
                    <w:rPr>
                      <w:rFonts w:ascii="Times New Roman" w:hAnsi="Times New Roman" w:eastAsia="宋体" w:cs="Times New Roman"/>
                      <w:color w:val="auto"/>
                      <w:sz w:val="21"/>
                      <w:highlight w:val="none"/>
                    </w:rPr>
                    <w:t>140</w:t>
                  </w:r>
                </w:p>
              </w:tc>
              <w:tc>
                <w:tcPr>
                  <w:tcW w:w="438" w:type="pct"/>
                  <w:tcBorders>
                    <w:tl2br w:val="nil"/>
                    <w:tr2bl w:val="nil"/>
                  </w:tcBorders>
                  <w:vAlign w:val="center"/>
                </w:tcPr>
                <w:p w14:paraId="5556F2A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0.0504</w:t>
                  </w:r>
                </w:p>
              </w:tc>
              <w:tc>
                <w:tcPr>
                  <w:tcW w:w="224" w:type="pct"/>
                  <w:vMerge w:val="continue"/>
                  <w:tcBorders>
                    <w:tl2br w:val="nil"/>
                    <w:tr2bl w:val="nil"/>
                  </w:tcBorders>
                  <w:vAlign w:val="center"/>
                </w:tcPr>
                <w:p w14:paraId="59EBCB0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7A79AB3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769AACE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300</w:t>
                  </w:r>
                </w:p>
              </w:tc>
            </w:tr>
            <w:tr w14:paraId="73209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6B1A4E6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vAlign w:val="center"/>
                </w:tcPr>
                <w:p w14:paraId="7322692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486" w:type="pct"/>
                  <w:tcBorders>
                    <w:tl2br w:val="nil"/>
                    <w:tr2bl w:val="nil"/>
                  </w:tcBorders>
                  <w:vAlign w:val="center"/>
                </w:tcPr>
                <w:p w14:paraId="59EF630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25</w:t>
                  </w:r>
                </w:p>
              </w:tc>
              <w:tc>
                <w:tcPr>
                  <w:tcW w:w="464" w:type="pct"/>
                  <w:tcBorders>
                    <w:tl2br w:val="nil"/>
                    <w:tr2bl w:val="nil"/>
                  </w:tcBorders>
                  <w:vAlign w:val="center"/>
                </w:tcPr>
                <w:p w14:paraId="2DB63E7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0.009</w:t>
                  </w:r>
                </w:p>
              </w:tc>
              <w:tc>
                <w:tcPr>
                  <w:tcW w:w="353" w:type="pct"/>
                  <w:tcBorders>
                    <w:tl2br w:val="nil"/>
                    <w:tr2bl w:val="nil"/>
                  </w:tcBorders>
                  <w:shd w:val="clear" w:color="auto" w:fill="auto"/>
                  <w:vAlign w:val="center"/>
                </w:tcPr>
                <w:p w14:paraId="1015CF1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4%</w:t>
                  </w:r>
                </w:p>
              </w:tc>
              <w:tc>
                <w:tcPr>
                  <w:tcW w:w="478" w:type="pct"/>
                  <w:tcBorders>
                    <w:tl2br w:val="nil"/>
                    <w:tr2bl w:val="nil"/>
                  </w:tcBorders>
                  <w:vAlign w:val="center"/>
                </w:tcPr>
                <w:p w14:paraId="6642013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24</w:t>
                  </w:r>
                </w:p>
              </w:tc>
              <w:tc>
                <w:tcPr>
                  <w:tcW w:w="438" w:type="pct"/>
                  <w:tcBorders>
                    <w:tl2br w:val="nil"/>
                    <w:tr2bl w:val="nil"/>
                  </w:tcBorders>
                  <w:vAlign w:val="center"/>
                </w:tcPr>
                <w:p w14:paraId="7A9C30A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0.00864</w:t>
                  </w:r>
                </w:p>
              </w:tc>
              <w:tc>
                <w:tcPr>
                  <w:tcW w:w="224" w:type="pct"/>
                  <w:vMerge w:val="continue"/>
                  <w:tcBorders>
                    <w:tl2br w:val="nil"/>
                    <w:tr2bl w:val="nil"/>
                  </w:tcBorders>
                  <w:vAlign w:val="center"/>
                </w:tcPr>
                <w:p w14:paraId="0608B41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6EE5B8C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701C49F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45</w:t>
                  </w:r>
                </w:p>
              </w:tc>
            </w:tr>
            <w:tr w14:paraId="4FC9F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69DB2AE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vAlign w:val="center"/>
                </w:tcPr>
                <w:p w14:paraId="42F7329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r>
                    <w:rPr>
                      <w:rFonts w:ascii="Times New Roman" w:hAnsi="Times New Roman" w:eastAsia="宋体" w:cs="Times New Roman"/>
                      <w:color w:val="auto"/>
                      <w:sz w:val="21"/>
                      <w:highlight w:val="none"/>
                    </w:rPr>
                    <w:t>SS</w:t>
                  </w:r>
                </w:p>
              </w:tc>
              <w:tc>
                <w:tcPr>
                  <w:tcW w:w="486" w:type="pct"/>
                  <w:tcBorders>
                    <w:tl2br w:val="nil"/>
                    <w:tr2bl w:val="nil"/>
                  </w:tcBorders>
                  <w:vAlign w:val="center"/>
                </w:tcPr>
                <w:p w14:paraId="085CB1A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200</w:t>
                  </w:r>
                </w:p>
              </w:tc>
              <w:tc>
                <w:tcPr>
                  <w:tcW w:w="464" w:type="pct"/>
                  <w:tcBorders>
                    <w:tl2br w:val="nil"/>
                    <w:tr2bl w:val="nil"/>
                  </w:tcBorders>
                  <w:vAlign w:val="center"/>
                </w:tcPr>
                <w:p w14:paraId="56C1D3E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0.072</w:t>
                  </w:r>
                </w:p>
              </w:tc>
              <w:tc>
                <w:tcPr>
                  <w:tcW w:w="353" w:type="pct"/>
                  <w:tcBorders>
                    <w:tl2br w:val="nil"/>
                    <w:tr2bl w:val="nil"/>
                  </w:tcBorders>
                  <w:shd w:val="clear" w:color="auto" w:fill="auto"/>
                  <w:vAlign w:val="center"/>
                </w:tcPr>
                <w:p w14:paraId="2BD7C34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25%</w:t>
                  </w:r>
                </w:p>
              </w:tc>
              <w:tc>
                <w:tcPr>
                  <w:tcW w:w="478" w:type="pct"/>
                  <w:tcBorders>
                    <w:tl2br w:val="nil"/>
                    <w:tr2bl w:val="nil"/>
                  </w:tcBorders>
                  <w:vAlign w:val="center"/>
                </w:tcPr>
                <w:p w14:paraId="056085D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150</w:t>
                  </w:r>
                </w:p>
              </w:tc>
              <w:tc>
                <w:tcPr>
                  <w:tcW w:w="438" w:type="pct"/>
                  <w:tcBorders>
                    <w:tl2br w:val="nil"/>
                    <w:tr2bl w:val="nil"/>
                  </w:tcBorders>
                  <w:vAlign w:val="center"/>
                </w:tcPr>
                <w:p w14:paraId="46FE299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0.054</w:t>
                  </w:r>
                </w:p>
              </w:tc>
              <w:tc>
                <w:tcPr>
                  <w:tcW w:w="224" w:type="pct"/>
                  <w:vMerge w:val="continue"/>
                  <w:tcBorders>
                    <w:tl2br w:val="nil"/>
                    <w:tr2bl w:val="nil"/>
                  </w:tcBorders>
                  <w:vAlign w:val="center"/>
                </w:tcPr>
                <w:p w14:paraId="114D346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5F0A947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554C8E1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400</w:t>
                  </w:r>
                </w:p>
              </w:tc>
            </w:tr>
            <w:tr w14:paraId="2018C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4BEAAB3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vAlign w:val="center"/>
                </w:tcPr>
                <w:p w14:paraId="0D646D1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TN</w:t>
                  </w:r>
                </w:p>
              </w:tc>
              <w:tc>
                <w:tcPr>
                  <w:tcW w:w="486" w:type="pct"/>
                  <w:tcBorders>
                    <w:tl2br w:val="nil"/>
                    <w:tr2bl w:val="nil"/>
                  </w:tcBorders>
                  <w:shd w:val="clear" w:color="auto" w:fill="auto"/>
                  <w:vAlign w:val="center"/>
                </w:tcPr>
                <w:p w14:paraId="75D6A9E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40</w:t>
                  </w:r>
                </w:p>
              </w:tc>
              <w:tc>
                <w:tcPr>
                  <w:tcW w:w="464" w:type="pct"/>
                  <w:tcBorders>
                    <w:tl2br w:val="nil"/>
                    <w:tr2bl w:val="nil"/>
                  </w:tcBorders>
                  <w:shd w:val="clear" w:color="auto" w:fill="auto"/>
                  <w:vAlign w:val="center"/>
                </w:tcPr>
                <w:p w14:paraId="2F9D840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0.0144</w:t>
                  </w:r>
                </w:p>
              </w:tc>
              <w:tc>
                <w:tcPr>
                  <w:tcW w:w="353" w:type="pct"/>
                  <w:tcBorders>
                    <w:tl2br w:val="nil"/>
                    <w:tr2bl w:val="nil"/>
                  </w:tcBorders>
                  <w:shd w:val="clear" w:color="auto" w:fill="auto"/>
                  <w:vAlign w:val="center"/>
                </w:tcPr>
                <w:p w14:paraId="4B72539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12.5%</w:t>
                  </w:r>
                </w:p>
              </w:tc>
              <w:tc>
                <w:tcPr>
                  <w:tcW w:w="478" w:type="pct"/>
                  <w:tcBorders>
                    <w:tl2br w:val="nil"/>
                    <w:tr2bl w:val="nil"/>
                  </w:tcBorders>
                  <w:shd w:val="clear" w:color="auto" w:fill="auto"/>
                  <w:vAlign w:val="center"/>
                </w:tcPr>
                <w:p w14:paraId="2779251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35</w:t>
                  </w:r>
                </w:p>
              </w:tc>
              <w:tc>
                <w:tcPr>
                  <w:tcW w:w="438" w:type="pct"/>
                  <w:tcBorders>
                    <w:tl2br w:val="nil"/>
                    <w:tr2bl w:val="nil"/>
                  </w:tcBorders>
                  <w:shd w:val="clear" w:color="auto" w:fill="auto"/>
                  <w:vAlign w:val="center"/>
                </w:tcPr>
                <w:p w14:paraId="42D4BE9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0.0126</w:t>
                  </w:r>
                </w:p>
              </w:tc>
              <w:tc>
                <w:tcPr>
                  <w:tcW w:w="224" w:type="pct"/>
                  <w:vMerge w:val="continue"/>
                  <w:tcBorders>
                    <w:tl2br w:val="nil"/>
                    <w:tr2bl w:val="nil"/>
                  </w:tcBorders>
                  <w:vAlign w:val="center"/>
                </w:tcPr>
                <w:p w14:paraId="7F20BDA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2954026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435B419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40</w:t>
                  </w:r>
                </w:p>
              </w:tc>
            </w:tr>
            <w:tr w14:paraId="24762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2" w:hRule="exact"/>
                <w:jc w:val="center"/>
              </w:trPr>
              <w:tc>
                <w:tcPr>
                  <w:tcW w:w="216" w:type="pct"/>
                  <w:vMerge w:val="restart"/>
                  <w:tcBorders>
                    <w:tl2br w:val="nil"/>
                    <w:tr2bl w:val="nil"/>
                  </w:tcBorders>
                  <w:vAlign w:val="center"/>
                </w:tcPr>
                <w:p w14:paraId="2B8FBC2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生产废水</w:t>
                  </w:r>
                </w:p>
              </w:tc>
              <w:tc>
                <w:tcPr>
                  <w:tcW w:w="675" w:type="pct"/>
                  <w:tcBorders>
                    <w:tl2br w:val="nil"/>
                    <w:tr2bl w:val="nil"/>
                  </w:tcBorders>
                  <w:shd w:val="clear" w:color="auto" w:fill="auto"/>
                  <w:vAlign w:val="center"/>
                </w:tcPr>
                <w:p w14:paraId="356A757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en-US"/>
                    </w:rPr>
                  </w:pPr>
                  <w:r>
                    <w:rPr>
                      <w:rFonts w:ascii="Times New Roman" w:hAnsi="Times New Roman" w:eastAsia="宋体" w:cs="Times New Roman"/>
                      <w:color w:val="auto"/>
                      <w:sz w:val="21"/>
                      <w:highlight w:val="none"/>
                    </w:rPr>
                    <w:t>废水量</w:t>
                  </w:r>
                </w:p>
              </w:tc>
              <w:tc>
                <w:tcPr>
                  <w:tcW w:w="486" w:type="pct"/>
                  <w:tcBorders>
                    <w:tl2br w:val="nil"/>
                    <w:tr2bl w:val="nil"/>
                  </w:tcBorders>
                  <w:shd w:val="clear" w:color="auto" w:fill="auto"/>
                  <w:vAlign w:val="center"/>
                </w:tcPr>
                <w:p w14:paraId="370FD3A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464" w:type="pct"/>
                  <w:tcBorders>
                    <w:tl2br w:val="nil"/>
                    <w:tr2bl w:val="nil"/>
                  </w:tcBorders>
                  <w:shd w:val="clear" w:color="auto" w:fill="auto"/>
                  <w:vAlign w:val="center"/>
                </w:tcPr>
                <w:p w14:paraId="0A3B555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780</w:t>
                  </w:r>
                </w:p>
              </w:tc>
              <w:tc>
                <w:tcPr>
                  <w:tcW w:w="353" w:type="pct"/>
                  <w:tcBorders>
                    <w:tl2br w:val="nil"/>
                    <w:tr2bl w:val="nil"/>
                  </w:tcBorders>
                  <w:shd w:val="clear" w:color="auto" w:fill="auto"/>
                  <w:vAlign w:val="center"/>
                </w:tcPr>
                <w:p w14:paraId="7BDFC9D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478" w:type="pct"/>
                  <w:tcBorders>
                    <w:tl2br w:val="nil"/>
                    <w:tr2bl w:val="nil"/>
                  </w:tcBorders>
                  <w:shd w:val="clear" w:color="auto" w:fill="auto"/>
                  <w:vAlign w:val="center"/>
                </w:tcPr>
                <w:p w14:paraId="0596B04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438" w:type="pct"/>
                  <w:tcBorders>
                    <w:tl2br w:val="nil"/>
                    <w:tr2bl w:val="nil"/>
                  </w:tcBorders>
                  <w:shd w:val="clear" w:color="auto" w:fill="auto"/>
                  <w:vAlign w:val="center"/>
                </w:tcPr>
                <w:p w14:paraId="299D674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780</w:t>
                  </w:r>
                </w:p>
              </w:tc>
              <w:tc>
                <w:tcPr>
                  <w:tcW w:w="224" w:type="pct"/>
                  <w:vMerge w:val="continue"/>
                  <w:tcBorders>
                    <w:tl2br w:val="nil"/>
                    <w:tr2bl w:val="nil"/>
                  </w:tcBorders>
                  <w:vAlign w:val="center"/>
                </w:tcPr>
                <w:p w14:paraId="3CC6B8B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1B03057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2767298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r>
            <w:tr w14:paraId="08802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11" w:hRule="exact"/>
                <w:jc w:val="center"/>
              </w:trPr>
              <w:tc>
                <w:tcPr>
                  <w:tcW w:w="216" w:type="pct"/>
                  <w:vMerge w:val="continue"/>
                  <w:tcBorders>
                    <w:tl2br w:val="nil"/>
                    <w:tr2bl w:val="nil"/>
                  </w:tcBorders>
                  <w:vAlign w:val="center"/>
                </w:tcPr>
                <w:p w14:paraId="152EDEC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shd w:val="clear" w:color="auto" w:fill="auto"/>
                  <w:vAlign w:val="center"/>
                </w:tcPr>
                <w:p w14:paraId="43BA69A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en-US"/>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s="Times New Roman"/>
                      <w:color w:val="auto"/>
                      <w:sz w:val="21"/>
                      <w:highlight w:val="none"/>
                    </w:rPr>
                    <w:t>无量纲</w:t>
                  </w:r>
                  <w:r>
                    <w:rPr>
                      <w:rFonts w:hint="eastAsia" w:ascii="Times New Roman" w:hAnsi="Times New Roman" w:cs="Times New Roman"/>
                      <w:color w:val="auto"/>
                      <w:sz w:val="21"/>
                      <w:highlight w:val="none"/>
                      <w:lang w:eastAsia="zh-CN"/>
                    </w:rPr>
                    <w:t>）</w:t>
                  </w:r>
                </w:p>
              </w:tc>
              <w:tc>
                <w:tcPr>
                  <w:tcW w:w="486" w:type="pct"/>
                  <w:tcBorders>
                    <w:tl2br w:val="nil"/>
                    <w:tr2bl w:val="nil"/>
                  </w:tcBorders>
                  <w:shd w:val="clear" w:color="auto" w:fill="auto"/>
                  <w:vAlign w:val="center"/>
                </w:tcPr>
                <w:p w14:paraId="0BB8574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6~9</w:t>
                  </w:r>
                </w:p>
              </w:tc>
              <w:tc>
                <w:tcPr>
                  <w:tcW w:w="464" w:type="pct"/>
                  <w:tcBorders>
                    <w:tl2br w:val="nil"/>
                    <w:tr2bl w:val="nil"/>
                  </w:tcBorders>
                  <w:shd w:val="clear" w:color="auto" w:fill="auto"/>
                  <w:vAlign w:val="center"/>
                </w:tcPr>
                <w:p w14:paraId="3805FEE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353" w:type="pct"/>
                  <w:tcBorders>
                    <w:tl2br w:val="nil"/>
                    <w:tr2bl w:val="nil"/>
                  </w:tcBorders>
                  <w:shd w:val="clear" w:color="auto" w:fill="auto"/>
                  <w:vAlign w:val="center"/>
                </w:tcPr>
                <w:p w14:paraId="3C3E1BF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478" w:type="pct"/>
                  <w:tcBorders>
                    <w:tl2br w:val="nil"/>
                    <w:tr2bl w:val="nil"/>
                  </w:tcBorders>
                  <w:shd w:val="clear" w:color="auto" w:fill="auto"/>
                  <w:vAlign w:val="center"/>
                </w:tcPr>
                <w:p w14:paraId="1BB91B5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6~9</w:t>
                  </w:r>
                </w:p>
              </w:tc>
              <w:tc>
                <w:tcPr>
                  <w:tcW w:w="438" w:type="pct"/>
                  <w:tcBorders>
                    <w:tl2br w:val="nil"/>
                    <w:tr2bl w:val="nil"/>
                  </w:tcBorders>
                  <w:shd w:val="clear" w:color="auto" w:fill="auto"/>
                  <w:vAlign w:val="center"/>
                </w:tcPr>
                <w:p w14:paraId="48A00CB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w:t>
                  </w:r>
                </w:p>
              </w:tc>
              <w:tc>
                <w:tcPr>
                  <w:tcW w:w="224" w:type="pct"/>
                  <w:vMerge w:val="continue"/>
                  <w:tcBorders>
                    <w:tl2br w:val="nil"/>
                    <w:tr2bl w:val="nil"/>
                  </w:tcBorders>
                  <w:vAlign w:val="center"/>
                </w:tcPr>
                <w:p w14:paraId="7F0448C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1A15965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07AF7C9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6~9</w:t>
                  </w:r>
                </w:p>
              </w:tc>
            </w:tr>
            <w:tr w14:paraId="5E7F1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6904BCA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shd w:val="clear" w:color="auto" w:fill="auto"/>
                  <w:vAlign w:val="center"/>
                </w:tcPr>
                <w:p w14:paraId="514CA95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CODcr</w:t>
                  </w:r>
                </w:p>
              </w:tc>
              <w:tc>
                <w:tcPr>
                  <w:tcW w:w="486" w:type="pct"/>
                  <w:tcBorders>
                    <w:tl2br w:val="nil"/>
                    <w:tr2bl w:val="nil"/>
                  </w:tcBorders>
                  <w:shd w:val="clear" w:color="auto" w:fill="auto"/>
                  <w:vAlign w:val="center"/>
                </w:tcPr>
                <w:p w14:paraId="55B971D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857.84</w:t>
                  </w:r>
                </w:p>
              </w:tc>
              <w:tc>
                <w:tcPr>
                  <w:tcW w:w="464" w:type="pct"/>
                  <w:tcBorders>
                    <w:tl2br w:val="nil"/>
                    <w:tr2bl w:val="nil"/>
                  </w:tcBorders>
                  <w:shd w:val="clear" w:color="auto" w:fill="auto"/>
                  <w:vAlign w:val="center"/>
                </w:tcPr>
                <w:p w14:paraId="367D1CA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0.6691</w:t>
                  </w:r>
                </w:p>
              </w:tc>
              <w:tc>
                <w:tcPr>
                  <w:tcW w:w="353" w:type="pct"/>
                  <w:tcBorders>
                    <w:tl2br w:val="nil"/>
                    <w:tr2bl w:val="nil"/>
                  </w:tcBorders>
                  <w:shd w:val="clear" w:color="auto" w:fill="auto"/>
                  <w:vAlign w:val="center"/>
                </w:tcPr>
                <w:p w14:paraId="1A0795B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65%</w:t>
                  </w:r>
                </w:p>
              </w:tc>
              <w:tc>
                <w:tcPr>
                  <w:tcW w:w="478" w:type="pct"/>
                  <w:tcBorders>
                    <w:tl2br w:val="nil"/>
                    <w:tr2bl w:val="nil"/>
                  </w:tcBorders>
                  <w:shd w:val="clear" w:color="auto" w:fill="auto"/>
                  <w:vAlign w:val="center"/>
                </w:tcPr>
                <w:p w14:paraId="470A8F9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300.2</w:t>
                  </w:r>
                </w:p>
              </w:tc>
              <w:tc>
                <w:tcPr>
                  <w:tcW w:w="438" w:type="pct"/>
                  <w:tcBorders>
                    <w:tl2br w:val="nil"/>
                    <w:tr2bl w:val="nil"/>
                  </w:tcBorders>
                  <w:shd w:val="clear" w:color="auto" w:fill="auto"/>
                  <w:vAlign w:val="center"/>
                </w:tcPr>
                <w:p w14:paraId="4A8BC29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0.2342</w:t>
                  </w:r>
                </w:p>
              </w:tc>
              <w:tc>
                <w:tcPr>
                  <w:tcW w:w="224" w:type="pct"/>
                  <w:vMerge w:val="continue"/>
                  <w:tcBorders>
                    <w:tl2br w:val="nil"/>
                    <w:tr2bl w:val="nil"/>
                  </w:tcBorders>
                  <w:vAlign w:val="center"/>
                </w:tcPr>
                <w:p w14:paraId="6762E12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06929A6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36933CB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500</w:t>
                  </w:r>
                </w:p>
              </w:tc>
            </w:tr>
            <w:tr w14:paraId="708DF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4294BFB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shd w:val="clear" w:color="auto" w:fill="auto"/>
                  <w:vAlign w:val="center"/>
                </w:tcPr>
                <w:p w14:paraId="02426BC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BOD</w:t>
                  </w:r>
                  <w:r>
                    <w:rPr>
                      <w:rFonts w:ascii="Times New Roman" w:hAnsi="Times New Roman" w:eastAsia="宋体" w:cs="Times New Roman"/>
                      <w:color w:val="auto"/>
                      <w:sz w:val="21"/>
                      <w:highlight w:val="none"/>
                      <w:vertAlign w:val="subscript"/>
                    </w:rPr>
                    <w:t>5</w:t>
                  </w:r>
                </w:p>
              </w:tc>
              <w:tc>
                <w:tcPr>
                  <w:tcW w:w="486" w:type="pct"/>
                  <w:tcBorders>
                    <w:tl2br w:val="nil"/>
                    <w:tr2bl w:val="nil"/>
                  </w:tcBorders>
                  <w:shd w:val="clear" w:color="auto" w:fill="auto"/>
                  <w:vAlign w:val="center"/>
                </w:tcPr>
                <w:p w14:paraId="021DC8B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334.11</w:t>
                  </w:r>
                </w:p>
              </w:tc>
              <w:tc>
                <w:tcPr>
                  <w:tcW w:w="464" w:type="pct"/>
                  <w:tcBorders>
                    <w:tl2br w:val="nil"/>
                    <w:tr2bl w:val="nil"/>
                  </w:tcBorders>
                  <w:shd w:val="clear" w:color="auto" w:fill="auto"/>
                  <w:vAlign w:val="center"/>
                </w:tcPr>
                <w:p w14:paraId="008933A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0.2606</w:t>
                  </w:r>
                </w:p>
              </w:tc>
              <w:tc>
                <w:tcPr>
                  <w:tcW w:w="353" w:type="pct"/>
                  <w:tcBorders>
                    <w:tl2br w:val="nil"/>
                    <w:tr2bl w:val="nil"/>
                  </w:tcBorders>
                  <w:shd w:val="clear" w:color="auto" w:fill="auto"/>
                  <w:vAlign w:val="center"/>
                </w:tcPr>
                <w:p w14:paraId="045DB39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65%</w:t>
                  </w:r>
                </w:p>
              </w:tc>
              <w:tc>
                <w:tcPr>
                  <w:tcW w:w="478" w:type="pct"/>
                  <w:tcBorders>
                    <w:tl2br w:val="nil"/>
                    <w:tr2bl w:val="nil"/>
                  </w:tcBorders>
                  <w:shd w:val="clear" w:color="auto" w:fill="auto"/>
                  <w:vAlign w:val="center"/>
                </w:tcPr>
                <w:p w14:paraId="0459E69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116.9</w:t>
                  </w:r>
                </w:p>
              </w:tc>
              <w:tc>
                <w:tcPr>
                  <w:tcW w:w="438" w:type="pct"/>
                  <w:tcBorders>
                    <w:tl2br w:val="nil"/>
                    <w:tr2bl w:val="nil"/>
                  </w:tcBorders>
                  <w:shd w:val="clear" w:color="auto" w:fill="auto"/>
                  <w:vAlign w:val="center"/>
                </w:tcPr>
                <w:p w14:paraId="577CE58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0.0912</w:t>
                  </w:r>
                </w:p>
              </w:tc>
              <w:tc>
                <w:tcPr>
                  <w:tcW w:w="224" w:type="pct"/>
                  <w:vMerge w:val="continue"/>
                  <w:tcBorders>
                    <w:tl2br w:val="nil"/>
                    <w:tr2bl w:val="nil"/>
                  </w:tcBorders>
                  <w:vAlign w:val="center"/>
                </w:tcPr>
                <w:p w14:paraId="7E50D91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76DD286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0C520C7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300</w:t>
                  </w:r>
                </w:p>
              </w:tc>
            </w:tr>
            <w:tr w14:paraId="1D4AD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009C6DB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shd w:val="clear" w:color="auto" w:fill="auto"/>
                  <w:vAlign w:val="center"/>
                </w:tcPr>
                <w:p w14:paraId="3240646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SS</w:t>
                  </w:r>
                </w:p>
              </w:tc>
              <w:tc>
                <w:tcPr>
                  <w:tcW w:w="486" w:type="pct"/>
                  <w:tcBorders>
                    <w:tl2br w:val="nil"/>
                    <w:tr2bl w:val="nil"/>
                  </w:tcBorders>
                  <w:shd w:val="clear" w:color="auto" w:fill="auto"/>
                  <w:vAlign w:val="center"/>
                </w:tcPr>
                <w:p w14:paraId="3E045DB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509.41</w:t>
                  </w:r>
                </w:p>
              </w:tc>
              <w:tc>
                <w:tcPr>
                  <w:tcW w:w="464" w:type="pct"/>
                  <w:tcBorders>
                    <w:tl2br w:val="nil"/>
                    <w:tr2bl w:val="nil"/>
                  </w:tcBorders>
                  <w:shd w:val="clear" w:color="auto" w:fill="auto"/>
                  <w:vAlign w:val="center"/>
                </w:tcPr>
                <w:p w14:paraId="4464218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0.3973</w:t>
                  </w:r>
                </w:p>
              </w:tc>
              <w:tc>
                <w:tcPr>
                  <w:tcW w:w="353" w:type="pct"/>
                  <w:tcBorders>
                    <w:tl2br w:val="nil"/>
                    <w:tr2bl w:val="nil"/>
                  </w:tcBorders>
                  <w:shd w:val="clear" w:color="auto" w:fill="auto"/>
                  <w:vAlign w:val="center"/>
                </w:tcPr>
                <w:p w14:paraId="47C043E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60%</w:t>
                  </w:r>
                </w:p>
              </w:tc>
              <w:tc>
                <w:tcPr>
                  <w:tcW w:w="478" w:type="pct"/>
                  <w:tcBorders>
                    <w:tl2br w:val="nil"/>
                    <w:tr2bl w:val="nil"/>
                  </w:tcBorders>
                  <w:shd w:val="clear" w:color="auto" w:fill="auto"/>
                  <w:vAlign w:val="center"/>
                </w:tcPr>
                <w:p w14:paraId="0E061EC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203.7</w:t>
                  </w:r>
                </w:p>
              </w:tc>
              <w:tc>
                <w:tcPr>
                  <w:tcW w:w="438" w:type="pct"/>
                  <w:tcBorders>
                    <w:tl2br w:val="nil"/>
                    <w:tr2bl w:val="nil"/>
                  </w:tcBorders>
                  <w:shd w:val="clear" w:color="auto" w:fill="auto"/>
                  <w:vAlign w:val="center"/>
                </w:tcPr>
                <w:p w14:paraId="4CA1F74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0.1589</w:t>
                  </w:r>
                </w:p>
              </w:tc>
              <w:tc>
                <w:tcPr>
                  <w:tcW w:w="224" w:type="pct"/>
                  <w:vMerge w:val="continue"/>
                  <w:tcBorders>
                    <w:tl2br w:val="nil"/>
                    <w:tr2bl w:val="nil"/>
                  </w:tcBorders>
                  <w:vAlign w:val="center"/>
                </w:tcPr>
                <w:p w14:paraId="07106C7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1D1FEAA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6326038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400</w:t>
                  </w:r>
                </w:p>
              </w:tc>
            </w:tr>
            <w:tr w14:paraId="20F81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0B3EEF94">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shd w:val="clear" w:color="auto" w:fill="auto"/>
                  <w:vAlign w:val="center"/>
                </w:tcPr>
                <w:p w14:paraId="781FAEE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en-US"/>
                    </w:rPr>
                  </w:pPr>
                  <w:r>
                    <w:rPr>
                      <w:rFonts w:ascii="Times New Roman" w:hAnsi="Times New Roman" w:eastAsia="宋体" w:cs="Times New Roman"/>
                      <w:color w:val="auto"/>
                      <w:sz w:val="21"/>
                      <w:highlight w:val="none"/>
                    </w:rPr>
                    <w:t>石油类</w:t>
                  </w:r>
                </w:p>
              </w:tc>
              <w:tc>
                <w:tcPr>
                  <w:tcW w:w="486" w:type="pct"/>
                  <w:tcBorders>
                    <w:tl2br w:val="nil"/>
                    <w:tr2bl w:val="nil"/>
                  </w:tcBorders>
                  <w:shd w:val="clear" w:color="auto" w:fill="auto"/>
                  <w:vAlign w:val="center"/>
                </w:tcPr>
                <w:p w14:paraId="1357F55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75.29</w:t>
                  </w:r>
                </w:p>
              </w:tc>
              <w:tc>
                <w:tcPr>
                  <w:tcW w:w="464" w:type="pct"/>
                  <w:tcBorders>
                    <w:tl2br w:val="nil"/>
                    <w:tr2bl w:val="nil"/>
                  </w:tcBorders>
                  <w:shd w:val="clear" w:color="auto" w:fill="auto"/>
                  <w:vAlign w:val="center"/>
                </w:tcPr>
                <w:p w14:paraId="33279DA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0.0587</w:t>
                  </w:r>
                </w:p>
              </w:tc>
              <w:tc>
                <w:tcPr>
                  <w:tcW w:w="353" w:type="pct"/>
                  <w:tcBorders>
                    <w:tl2br w:val="nil"/>
                    <w:tr2bl w:val="nil"/>
                  </w:tcBorders>
                  <w:shd w:val="clear" w:color="auto" w:fill="auto"/>
                  <w:vAlign w:val="center"/>
                </w:tcPr>
                <w:p w14:paraId="205AF1B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90%</w:t>
                  </w:r>
                </w:p>
              </w:tc>
              <w:tc>
                <w:tcPr>
                  <w:tcW w:w="478" w:type="pct"/>
                  <w:tcBorders>
                    <w:tl2br w:val="nil"/>
                    <w:tr2bl w:val="nil"/>
                  </w:tcBorders>
                  <w:shd w:val="clear" w:color="auto" w:fill="auto"/>
                  <w:vAlign w:val="center"/>
                </w:tcPr>
                <w:p w14:paraId="284F6968">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17.5</w:t>
                  </w:r>
                </w:p>
              </w:tc>
              <w:tc>
                <w:tcPr>
                  <w:tcW w:w="438" w:type="pct"/>
                  <w:tcBorders>
                    <w:tl2br w:val="nil"/>
                    <w:tr2bl w:val="nil"/>
                  </w:tcBorders>
                  <w:shd w:val="clear" w:color="auto" w:fill="auto"/>
                  <w:vAlign w:val="center"/>
                </w:tcPr>
                <w:p w14:paraId="6B212C6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0.0136</w:t>
                  </w:r>
                </w:p>
              </w:tc>
              <w:tc>
                <w:tcPr>
                  <w:tcW w:w="224" w:type="pct"/>
                  <w:vMerge w:val="continue"/>
                  <w:tcBorders>
                    <w:tl2br w:val="nil"/>
                    <w:tr2bl w:val="nil"/>
                  </w:tcBorders>
                  <w:vAlign w:val="center"/>
                </w:tcPr>
                <w:p w14:paraId="25D7DC0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58A50060">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32F43A1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30</w:t>
                  </w:r>
                </w:p>
              </w:tc>
            </w:tr>
            <w:tr w14:paraId="75B7F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02A1AF6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shd w:val="clear" w:color="auto" w:fill="auto"/>
                  <w:vAlign w:val="center"/>
                </w:tcPr>
                <w:p w14:paraId="5601A6F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LAS</w:t>
                  </w:r>
                </w:p>
              </w:tc>
              <w:tc>
                <w:tcPr>
                  <w:tcW w:w="486" w:type="pct"/>
                  <w:tcBorders>
                    <w:tl2br w:val="nil"/>
                    <w:tr2bl w:val="nil"/>
                  </w:tcBorders>
                  <w:shd w:val="clear" w:color="auto" w:fill="auto"/>
                  <w:vAlign w:val="center"/>
                </w:tcPr>
                <w:p w14:paraId="4B43C81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4.92</w:t>
                  </w:r>
                </w:p>
              </w:tc>
              <w:tc>
                <w:tcPr>
                  <w:tcW w:w="464" w:type="pct"/>
                  <w:tcBorders>
                    <w:tl2br w:val="nil"/>
                    <w:tr2bl w:val="nil"/>
                  </w:tcBorders>
                  <w:shd w:val="clear" w:color="auto" w:fill="auto"/>
                  <w:vAlign w:val="center"/>
                </w:tcPr>
                <w:p w14:paraId="0D3BC2F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0.0038</w:t>
                  </w:r>
                </w:p>
              </w:tc>
              <w:tc>
                <w:tcPr>
                  <w:tcW w:w="353" w:type="pct"/>
                  <w:tcBorders>
                    <w:tl2br w:val="nil"/>
                    <w:tr2bl w:val="nil"/>
                  </w:tcBorders>
                  <w:shd w:val="clear" w:color="auto" w:fill="auto"/>
                  <w:vAlign w:val="center"/>
                </w:tcPr>
                <w:p w14:paraId="60C4B8C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50%</w:t>
                  </w:r>
                </w:p>
              </w:tc>
              <w:tc>
                <w:tcPr>
                  <w:tcW w:w="478" w:type="pct"/>
                  <w:tcBorders>
                    <w:tl2br w:val="nil"/>
                    <w:tr2bl w:val="nil"/>
                  </w:tcBorders>
                  <w:shd w:val="clear" w:color="auto" w:fill="auto"/>
                  <w:vAlign w:val="center"/>
                </w:tcPr>
                <w:p w14:paraId="1D5C805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2.46</w:t>
                  </w:r>
                </w:p>
              </w:tc>
              <w:tc>
                <w:tcPr>
                  <w:tcW w:w="438" w:type="pct"/>
                  <w:tcBorders>
                    <w:tl2br w:val="nil"/>
                    <w:tr2bl w:val="nil"/>
                  </w:tcBorders>
                  <w:shd w:val="clear" w:color="auto" w:fill="auto"/>
                  <w:vAlign w:val="center"/>
                </w:tcPr>
                <w:p w14:paraId="467DCCEA">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0.0019</w:t>
                  </w:r>
                </w:p>
              </w:tc>
              <w:tc>
                <w:tcPr>
                  <w:tcW w:w="224" w:type="pct"/>
                  <w:vMerge w:val="continue"/>
                  <w:tcBorders>
                    <w:tl2br w:val="nil"/>
                    <w:tr2bl w:val="nil"/>
                  </w:tcBorders>
                  <w:vAlign w:val="center"/>
                </w:tcPr>
                <w:p w14:paraId="7637B35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3C8935B6">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20EE7645">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20</w:t>
                  </w:r>
                </w:p>
              </w:tc>
            </w:tr>
            <w:tr w14:paraId="443CD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2D92216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shd w:val="clear" w:color="auto" w:fill="auto"/>
                  <w:vAlign w:val="center"/>
                </w:tcPr>
                <w:p w14:paraId="5CE931E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NH</w:t>
                  </w:r>
                  <w:r>
                    <w:rPr>
                      <w:rFonts w:ascii="Times New Roman" w:hAnsi="Times New Roman" w:eastAsia="宋体" w:cs="Times New Roman"/>
                      <w:color w:val="auto"/>
                      <w:sz w:val="21"/>
                      <w:highlight w:val="none"/>
                      <w:vertAlign w:val="subscript"/>
                    </w:rPr>
                    <w:t>3</w:t>
                  </w:r>
                  <w:r>
                    <w:rPr>
                      <w:rFonts w:ascii="Times New Roman" w:hAnsi="Times New Roman" w:eastAsia="宋体" w:cs="Times New Roman"/>
                      <w:color w:val="auto"/>
                      <w:sz w:val="21"/>
                      <w:highlight w:val="none"/>
                    </w:rPr>
                    <w:t>-N</w:t>
                  </w:r>
                </w:p>
              </w:tc>
              <w:tc>
                <w:tcPr>
                  <w:tcW w:w="486" w:type="pct"/>
                  <w:tcBorders>
                    <w:tl2br w:val="nil"/>
                    <w:tr2bl w:val="nil"/>
                  </w:tcBorders>
                  <w:shd w:val="clear" w:color="auto" w:fill="auto"/>
                  <w:vAlign w:val="center"/>
                </w:tcPr>
                <w:p w14:paraId="740032B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10.06</w:t>
                  </w:r>
                </w:p>
              </w:tc>
              <w:tc>
                <w:tcPr>
                  <w:tcW w:w="464" w:type="pct"/>
                  <w:tcBorders>
                    <w:tl2br w:val="nil"/>
                    <w:tr2bl w:val="nil"/>
                  </w:tcBorders>
                  <w:shd w:val="clear" w:color="auto" w:fill="auto"/>
                  <w:vAlign w:val="center"/>
                </w:tcPr>
                <w:p w14:paraId="44E1161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0.0078</w:t>
                  </w:r>
                </w:p>
              </w:tc>
              <w:tc>
                <w:tcPr>
                  <w:tcW w:w="353" w:type="pct"/>
                  <w:tcBorders>
                    <w:tl2br w:val="nil"/>
                    <w:tr2bl w:val="nil"/>
                  </w:tcBorders>
                  <w:shd w:val="clear" w:color="auto" w:fill="auto"/>
                  <w:vAlign w:val="center"/>
                </w:tcPr>
                <w:p w14:paraId="0039B7C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40%</w:t>
                  </w:r>
                </w:p>
              </w:tc>
              <w:tc>
                <w:tcPr>
                  <w:tcW w:w="478" w:type="pct"/>
                  <w:tcBorders>
                    <w:tl2br w:val="nil"/>
                    <w:tr2bl w:val="nil"/>
                  </w:tcBorders>
                  <w:shd w:val="clear" w:color="auto" w:fill="auto"/>
                  <w:vAlign w:val="center"/>
                </w:tcPr>
                <w:p w14:paraId="52318C6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6.03</w:t>
                  </w:r>
                </w:p>
              </w:tc>
              <w:tc>
                <w:tcPr>
                  <w:tcW w:w="438" w:type="pct"/>
                  <w:tcBorders>
                    <w:tl2br w:val="nil"/>
                    <w:tr2bl w:val="nil"/>
                  </w:tcBorders>
                  <w:shd w:val="clear" w:color="auto" w:fill="auto"/>
                  <w:vAlign w:val="center"/>
                </w:tcPr>
                <w:p w14:paraId="20296D0C">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0.0047</w:t>
                  </w:r>
                </w:p>
              </w:tc>
              <w:tc>
                <w:tcPr>
                  <w:tcW w:w="224" w:type="pct"/>
                  <w:vMerge w:val="continue"/>
                  <w:tcBorders>
                    <w:tl2br w:val="nil"/>
                    <w:tr2bl w:val="nil"/>
                  </w:tcBorders>
                  <w:vAlign w:val="center"/>
                </w:tcPr>
                <w:p w14:paraId="4FDE3CB9">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7DCADA6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2B81292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45</w:t>
                  </w:r>
                </w:p>
              </w:tc>
            </w:tr>
            <w:tr w14:paraId="1ACB8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6" w:type="pct"/>
                  <w:vMerge w:val="continue"/>
                  <w:tcBorders>
                    <w:tl2br w:val="nil"/>
                    <w:tr2bl w:val="nil"/>
                  </w:tcBorders>
                  <w:vAlign w:val="center"/>
                </w:tcPr>
                <w:p w14:paraId="5745E47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675" w:type="pct"/>
                  <w:tcBorders>
                    <w:tl2br w:val="nil"/>
                    <w:tr2bl w:val="nil"/>
                  </w:tcBorders>
                  <w:shd w:val="clear" w:color="auto" w:fill="auto"/>
                  <w:vAlign w:val="center"/>
                </w:tcPr>
                <w:p w14:paraId="133E0B71">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TN</w:t>
                  </w:r>
                </w:p>
              </w:tc>
              <w:tc>
                <w:tcPr>
                  <w:tcW w:w="486" w:type="pct"/>
                  <w:tcBorders>
                    <w:tl2br w:val="nil"/>
                    <w:tr2bl w:val="nil"/>
                  </w:tcBorders>
                  <w:shd w:val="clear" w:color="auto" w:fill="auto"/>
                  <w:vAlign w:val="center"/>
                </w:tcPr>
                <w:p w14:paraId="5939C9A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16.67</w:t>
                  </w:r>
                </w:p>
              </w:tc>
              <w:tc>
                <w:tcPr>
                  <w:tcW w:w="464" w:type="pct"/>
                  <w:tcBorders>
                    <w:tl2br w:val="nil"/>
                    <w:tr2bl w:val="nil"/>
                  </w:tcBorders>
                  <w:shd w:val="clear" w:color="auto" w:fill="auto"/>
                  <w:vAlign w:val="center"/>
                </w:tcPr>
                <w:p w14:paraId="6A34A1AE">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0.0130</w:t>
                  </w:r>
                </w:p>
              </w:tc>
              <w:tc>
                <w:tcPr>
                  <w:tcW w:w="353" w:type="pct"/>
                  <w:tcBorders>
                    <w:tl2br w:val="nil"/>
                    <w:tr2bl w:val="nil"/>
                  </w:tcBorders>
                  <w:shd w:val="clear" w:color="auto" w:fill="auto"/>
                  <w:vAlign w:val="center"/>
                </w:tcPr>
                <w:p w14:paraId="281C367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40%</w:t>
                  </w:r>
                </w:p>
              </w:tc>
              <w:tc>
                <w:tcPr>
                  <w:tcW w:w="478" w:type="pct"/>
                  <w:tcBorders>
                    <w:tl2br w:val="nil"/>
                    <w:tr2bl w:val="nil"/>
                  </w:tcBorders>
                  <w:shd w:val="clear" w:color="auto" w:fill="auto"/>
                  <w:vAlign w:val="center"/>
                </w:tcPr>
                <w:p w14:paraId="06E2897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lang w:val="en-US" w:eastAsia="zh-CN"/>
                    </w:rPr>
                  </w:pPr>
                  <w:r>
                    <w:rPr>
                      <w:rFonts w:ascii="Times New Roman" w:hAnsi="Times New Roman" w:eastAsia="宋体" w:cs="Times New Roman"/>
                      <w:color w:val="auto"/>
                      <w:sz w:val="21"/>
                      <w:highlight w:val="none"/>
                    </w:rPr>
                    <w:t>10.0</w:t>
                  </w:r>
                </w:p>
              </w:tc>
              <w:tc>
                <w:tcPr>
                  <w:tcW w:w="438" w:type="pct"/>
                  <w:tcBorders>
                    <w:tl2br w:val="nil"/>
                    <w:tr2bl w:val="nil"/>
                  </w:tcBorders>
                  <w:shd w:val="clear" w:color="auto" w:fill="auto"/>
                  <w:vAlign w:val="center"/>
                </w:tcPr>
                <w:p w14:paraId="1B8BBFCD">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0.0078</w:t>
                  </w:r>
                </w:p>
              </w:tc>
              <w:tc>
                <w:tcPr>
                  <w:tcW w:w="224" w:type="pct"/>
                  <w:vMerge w:val="continue"/>
                  <w:tcBorders>
                    <w:tl2br w:val="nil"/>
                    <w:tr2bl w:val="nil"/>
                  </w:tcBorders>
                  <w:vAlign w:val="center"/>
                </w:tcPr>
                <w:p w14:paraId="0EC96B1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1231" w:type="pct"/>
                  <w:vMerge w:val="continue"/>
                  <w:tcBorders>
                    <w:tl2br w:val="nil"/>
                    <w:tr2bl w:val="nil"/>
                  </w:tcBorders>
                  <w:vAlign w:val="center"/>
                </w:tcPr>
                <w:p w14:paraId="1004146B">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sz w:val="21"/>
                      <w:highlight w:val="none"/>
                    </w:rPr>
                  </w:pPr>
                </w:p>
              </w:tc>
              <w:tc>
                <w:tcPr>
                  <w:tcW w:w="428" w:type="pct"/>
                  <w:tcBorders>
                    <w:tl2br w:val="nil"/>
                    <w:tr2bl w:val="nil"/>
                  </w:tcBorders>
                  <w:shd w:val="clear" w:color="auto" w:fill="auto"/>
                  <w:vAlign w:val="center"/>
                </w:tcPr>
                <w:p w14:paraId="6F9878DF">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40</w:t>
                  </w:r>
                </w:p>
              </w:tc>
            </w:tr>
            <w:tr w14:paraId="3A168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9" w:hRule="exact"/>
                <w:jc w:val="center"/>
              </w:trPr>
              <w:tc>
                <w:tcPr>
                  <w:tcW w:w="5000" w:type="pct"/>
                  <w:gridSpan w:val="10"/>
                  <w:tcBorders>
                    <w:tl2br w:val="nil"/>
                    <w:tr2bl w:val="nil"/>
                  </w:tcBorders>
                  <w:vAlign w:val="center"/>
                </w:tcPr>
                <w:p w14:paraId="5077E3FC">
                  <w:pPr>
                    <w:keepNext w:val="0"/>
                    <w:keepLines w:val="0"/>
                    <w:pageBreakBefore w:val="0"/>
                    <w:kinsoku/>
                    <w:wordWrap/>
                    <w:overflowPunct/>
                    <w:topLinePunct w:val="0"/>
                    <w:autoSpaceDE/>
                    <w:autoSpaceDN/>
                    <w:bidi w:val="0"/>
                    <w:spacing w:line="240" w:lineRule="auto"/>
                    <w:ind w:left="0" w:leftChars="0" w:right="0" w:firstLine="0"/>
                    <w:jc w:val="both"/>
                    <w:rPr>
                      <w:rFonts w:ascii="Times New Roman" w:hAnsi="Times New Roman" w:eastAsia="宋体" w:cs="Times New Roman"/>
                      <w:color w:val="auto"/>
                      <w:spacing w:val="2"/>
                      <w:position w:val="1"/>
                      <w:sz w:val="21"/>
                      <w:szCs w:val="20"/>
                      <w:highlight w:val="none"/>
                    </w:rPr>
                  </w:pPr>
                  <w:r>
                    <w:rPr>
                      <w:rFonts w:ascii="Times New Roman" w:hAnsi="Times New Roman" w:eastAsia="宋体" w:cs="Times New Roman"/>
                      <w:color w:val="auto"/>
                      <w:spacing w:val="2"/>
                      <w:position w:val="1"/>
                      <w:sz w:val="21"/>
                      <w:szCs w:val="20"/>
                      <w:highlight w:val="none"/>
                    </w:rPr>
                    <w:t>注：废水净化效率取值依据为《污染源源强核算技术指南汽车制造》（HJ 1097-2020）、《废水污染控制技术手册》（化学工业出版社）。</w:t>
                  </w:r>
                </w:p>
              </w:tc>
            </w:tr>
          </w:tbl>
          <w:p w14:paraId="2B730333">
            <w:pPr>
              <w:pStyle w:val="5"/>
              <w:numPr>
                <w:ilvl w:val="3"/>
                <w:numId w:val="13"/>
              </w:numPr>
              <w:tabs>
                <w:tab w:val="left" w:pos="0"/>
              </w:tabs>
              <w:bidi w:val="0"/>
              <w:ind w:left="864" w:leftChars="0" w:hanging="864" w:firstLineChars="0"/>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生活污水</w:t>
            </w:r>
          </w:p>
          <w:p w14:paraId="3715D176">
            <w:pPr>
              <w:pStyle w:val="46"/>
              <w:ind w:firstLine="480"/>
              <w:rPr>
                <w:rFonts w:hint="eastAsia"/>
                <w:color w:val="auto"/>
                <w:highlight w:val="none"/>
                <w:lang w:val="en-US" w:eastAsia="zh-CN"/>
              </w:rPr>
            </w:pPr>
            <w:r>
              <w:rPr>
                <w:rFonts w:hint="eastAsia"/>
                <w:color w:val="auto"/>
                <w:highlight w:val="none"/>
                <w:lang w:val="en-US" w:eastAsia="zh-CN"/>
              </w:rPr>
              <w:t>本项目劳动定员30人，年生产300天，采用单班工作制。根据《建筑给水排水设计标准》（GB50015-2019），办公用水定额为日均25～40L/人•班，办公用水量取30L/人•班，由此得出项目员工生活用水总量为1.5m</w:t>
            </w:r>
            <w:r>
              <w:rPr>
                <w:rFonts w:hint="eastAsia"/>
                <w:color w:val="auto"/>
                <w:highlight w:val="none"/>
                <w:vertAlign w:val="superscript"/>
                <w:lang w:val="en-US" w:eastAsia="zh-CN"/>
              </w:rPr>
              <w:t>3</w:t>
            </w:r>
            <w:r>
              <w:rPr>
                <w:rFonts w:hint="eastAsia"/>
                <w:color w:val="auto"/>
                <w:highlight w:val="none"/>
                <w:lang w:val="en-US" w:eastAsia="zh-CN"/>
              </w:rPr>
              <w:t>/d（450m</w:t>
            </w:r>
            <w:r>
              <w:rPr>
                <w:rFonts w:hint="eastAsia"/>
                <w:color w:val="auto"/>
                <w:highlight w:val="none"/>
                <w:vertAlign w:val="superscript"/>
                <w:lang w:val="en-US" w:eastAsia="zh-CN"/>
              </w:rPr>
              <w:t>3</w:t>
            </w:r>
            <w:r>
              <w:rPr>
                <w:rFonts w:hint="eastAsia"/>
                <w:color w:val="auto"/>
                <w:highlight w:val="none"/>
                <w:lang w:val="en-US" w:eastAsia="zh-CN"/>
              </w:rPr>
              <w:t>/a）。生活污水产生量按照用水量的80%计算，则生活污水产生量为1.2m</w:t>
            </w:r>
            <w:r>
              <w:rPr>
                <w:rFonts w:hint="eastAsia"/>
                <w:color w:val="auto"/>
                <w:highlight w:val="none"/>
                <w:vertAlign w:val="superscript"/>
                <w:lang w:val="en-US" w:eastAsia="zh-CN"/>
              </w:rPr>
              <w:t>3</w:t>
            </w:r>
            <w:r>
              <w:rPr>
                <w:rFonts w:hint="eastAsia"/>
                <w:color w:val="auto"/>
                <w:highlight w:val="none"/>
                <w:lang w:val="en-US" w:eastAsia="zh-CN"/>
              </w:rPr>
              <w:t>/d，即360m</w:t>
            </w:r>
            <w:r>
              <w:rPr>
                <w:rFonts w:hint="eastAsia"/>
                <w:color w:val="auto"/>
                <w:highlight w:val="none"/>
                <w:vertAlign w:val="superscript"/>
                <w:lang w:val="en-US" w:eastAsia="zh-CN"/>
              </w:rPr>
              <w:t>3</w:t>
            </w:r>
            <w:r>
              <w:rPr>
                <w:rFonts w:hint="eastAsia"/>
                <w:color w:val="auto"/>
                <w:highlight w:val="none"/>
                <w:lang w:val="en-US" w:eastAsia="zh-CN"/>
              </w:rPr>
              <w:t>/a。</w:t>
            </w:r>
          </w:p>
          <w:p w14:paraId="7A052603">
            <w:pPr>
              <w:pStyle w:val="46"/>
              <w:ind w:firstLine="480"/>
              <w:rPr>
                <w:color w:val="auto"/>
                <w:highlight w:val="none"/>
              </w:rPr>
            </w:pPr>
            <w:r>
              <w:rPr>
                <w:color w:val="auto"/>
                <w:highlight w:val="none"/>
              </w:rPr>
              <w:t>本项目生活污水产生量为生活用水的80%，则生活污水产生量为</w:t>
            </w:r>
            <w:r>
              <w:rPr>
                <w:rFonts w:hint="eastAsia"/>
                <w:color w:val="auto"/>
                <w:highlight w:val="none"/>
                <w:lang w:val="en-US" w:eastAsia="zh-CN"/>
              </w:rPr>
              <w:t>360</w:t>
            </w:r>
            <w:r>
              <w:rPr>
                <w:color w:val="auto"/>
                <w:highlight w:val="none"/>
              </w:rPr>
              <w:t>t/a</w:t>
            </w:r>
            <w:r>
              <w:rPr>
                <w:rFonts w:hint="eastAsia"/>
                <w:color w:val="auto"/>
                <w:highlight w:val="none"/>
                <w:lang w:eastAsia="zh-CN"/>
              </w:rPr>
              <w:t>（</w:t>
            </w:r>
            <w:r>
              <w:rPr>
                <w:rFonts w:hint="eastAsia"/>
                <w:color w:val="auto"/>
                <w:highlight w:val="none"/>
                <w:lang w:val="en-US" w:eastAsia="zh-CN"/>
              </w:rPr>
              <w:t>1.2</w:t>
            </w:r>
            <w:r>
              <w:rPr>
                <w:color w:val="auto"/>
                <w:highlight w:val="none"/>
              </w:rPr>
              <w:t>t/d</w:t>
            </w:r>
            <w:r>
              <w:rPr>
                <w:rFonts w:hint="eastAsia"/>
                <w:color w:val="auto"/>
                <w:highlight w:val="none"/>
                <w:lang w:eastAsia="zh-CN"/>
              </w:rPr>
              <w:t>）</w:t>
            </w:r>
            <w:r>
              <w:rPr>
                <w:color w:val="auto"/>
                <w:highlight w:val="none"/>
              </w:rPr>
              <w:t>，</w:t>
            </w:r>
            <w:r>
              <w:rPr>
                <w:rFonts w:hint="eastAsia"/>
                <w:color w:val="auto"/>
                <w:highlight w:val="none"/>
              </w:rPr>
              <w:t>参考</w:t>
            </w:r>
            <w:r>
              <w:rPr>
                <w:color w:val="auto"/>
                <w:highlight w:val="none"/>
              </w:rPr>
              <w:t>根据《给排水设计手册》</w:t>
            </w:r>
            <w:r>
              <w:rPr>
                <w:rFonts w:hint="eastAsia"/>
                <w:color w:val="auto"/>
                <w:highlight w:val="none"/>
                <w:lang w:eastAsia="zh-CN"/>
              </w:rPr>
              <w:t>（</w:t>
            </w:r>
            <w:r>
              <w:rPr>
                <w:color w:val="auto"/>
                <w:highlight w:val="none"/>
              </w:rPr>
              <w:t>第五册城镇排水</w:t>
            </w:r>
            <w:r>
              <w:rPr>
                <w:rFonts w:hint="eastAsia"/>
                <w:color w:val="auto"/>
                <w:highlight w:val="none"/>
                <w:lang w:eastAsia="zh-CN"/>
              </w:rPr>
              <w:t>）</w:t>
            </w:r>
            <w:r>
              <w:rPr>
                <w:color w:val="auto"/>
                <w:highlight w:val="none"/>
              </w:rPr>
              <w:t>典型生活污水水质示例，本环评项目生活污水中主要污染指标浓度取值为COD400mg/L、BOD</w:t>
            </w:r>
            <w:r>
              <w:rPr>
                <w:color w:val="auto"/>
                <w:highlight w:val="none"/>
                <w:vertAlign w:val="subscript"/>
              </w:rPr>
              <w:t>5</w:t>
            </w:r>
            <w:r>
              <w:rPr>
                <w:color w:val="auto"/>
                <w:highlight w:val="none"/>
              </w:rPr>
              <w:t>200mg/L、SS</w:t>
            </w:r>
            <w:r>
              <w:rPr>
                <w:rFonts w:hint="eastAsia"/>
                <w:color w:val="auto"/>
                <w:highlight w:val="none"/>
                <w:lang w:eastAsia="zh-CN"/>
              </w:rPr>
              <w:t>200m</w:t>
            </w:r>
            <w:r>
              <w:rPr>
                <w:color w:val="auto"/>
                <w:highlight w:val="none"/>
              </w:rPr>
              <w:t>g/L、氨氮35mg/L，生活污水经化粪池处理</w:t>
            </w:r>
            <w:r>
              <w:rPr>
                <w:rFonts w:hint="eastAsia"/>
                <w:color w:val="auto"/>
                <w:highlight w:val="none"/>
                <w:lang w:eastAsia="zh-CN"/>
              </w:rPr>
              <w:t>达到</w:t>
            </w:r>
            <w:r>
              <w:rPr>
                <w:color w:val="auto"/>
                <w:highlight w:val="none"/>
              </w:rPr>
              <w:t>《污水综合排放标准》（GB8978-1996）表4中三级标准（其中氨氮执行《污水排入城镇下水道水质标准》（</w:t>
            </w:r>
            <w:r>
              <w:rPr>
                <w:rFonts w:hint="eastAsia"/>
                <w:color w:val="auto"/>
                <w:highlight w:val="none"/>
                <w:lang w:eastAsia="zh-CN"/>
              </w:rPr>
              <w:t>GB/T 31962-2015</w:t>
            </w:r>
            <w:r>
              <w:rPr>
                <w:color w:val="auto"/>
                <w:highlight w:val="none"/>
              </w:rPr>
              <w:t>）表1的B等级标准）后接入</w:t>
            </w:r>
            <w:r>
              <w:rPr>
                <w:rFonts w:hint="eastAsia"/>
                <w:color w:val="auto"/>
                <w:highlight w:val="none"/>
              </w:rPr>
              <w:t>市</w:t>
            </w:r>
            <w:r>
              <w:rPr>
                <w:color w:val="auto"/>
                <w:highlight w:val="none"/>
              </w:rPr>
              <w:t>政污水管网，排入福清市第二污水处理厂处理；废水净化效率取值依据为《污染源源强核算技术指南汽车制造》（HJ 1097-2020）、《废水污染控制技术手册》（化学工业出版社）</w:t>
            </w:r>
            <w:r>
              <w:rPr>
                <w:rFonts w:hint="eastAsia"/>
                <w:color w:val="auto"/>
                <w:highlight w:val="none"/>
                <w:lang w:eastAsia="zh-CN"/>
              </w:rPr>
              <w:t>，</w:t>
            </w:r>
            <w:r>
              <w:rPr>
                <w:color w:val="auto"/>
                <w:highlight w:val="none"/>
              </w:rPr>
              <w:t>则生活污水产生量及排放量见</w:t>
            </w:r>
            <w:r>
              <w:rPr>
                <w:rFonts w:hint="eastAsia"/>
                <w:color w:val="auto"/>
                <w:highlight w:val="none"/>
              </w:rPr>
              <w:t>表</w:t>
            </w:r>
            <w:r>
              <w:rPr>
                <w:rFonts w:hint="eastAsia"/>
                <w:color w:val="auto"/>
                <w:highlight w:val="none"/>
                <w:lang w:val="en-US" w:eastAsia="zh-CN"/>
              </w:rPr>
              <w:t>4.3-1、</w:t>
            </w:r>
            <w:r>
              <w:rPr>
                <w:rFonts w:hint="eastAsia"/>
                <w:color w:val="auto"/>
                <w:highlight w:val="none"/>
              </w:rPr>
              <w:t>表</w:t>
            </w:r>
            <w:r>
              <w:rPr>
                <w:rFonts w:hint="eastAsia"/>
                <w:color w:val="auto"/>
                <w:highlight w:val="none"/>
                <w:lang w:val="en-US" w:eastAsia="zh-CN"/>
              </w:rPr>
              <w:t>4.3-2</w:t>
            </w:r>
            <w:r>
              <w:rPr>
                <w:color w:val="auto"/>
                <w:highlight w:val="none"/>
              </w:rPr>
              <w:t>。</w:t>
            </w:r>
          </w:p>
          <w:p w14:paraId="55EB31CD">
            <w:pPr>
              <w:pStyle w:val="5"/>
              <w:numPr>
                <w:ilvl w:val="3"/>
                <w:numId w:val="13"/>
              </w:numPr>
              <w:tabs>
                <w:tab w:val="left" w:pos="0"/>
              </w:tabs>
              <w:bidi w:val="0"/>
              <w:ind w:left="864" w:leftChars="0" w:hanging="864" w:firstLineChars="0"/>
              <w:rPr>
                <w:rFonts w:hint="eastAsia"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生产废水</w:t>
            </w:r>
          </w:p>
          <w:p w14:paraId="14F9EEDE">
            <w:pPr>
              <w:pStyle w:val="46"/>
              <w:ind w:firstLine="480"/>
              <w:rPr>
                <w:rFonts w:hint="eastAsia"/>
                <w:color w:val="auto"/>
                <w:highlight w:val="none"/>
                <w:lang w:val="en-US" w:eastAsia="zh-CN"/>
              </w:rPr>
            </w:pPr>
            <w:r>
              <w:rPr>
                <w:color w:val="auto"/>
                <w:highlight w:val="none"/>
              </w:rPr>
              <w:t>项目废水主要为</w:t>
            </w:r>
            <w:r>
              <w:rPr>
                <w:rFonts w:hint="eastAsia"/>
                <w:color w:val="auto"/>
                <w:highlight w:val="none"/>
                <w:lang w:val="en-US" w:eastAsia="zh-CN"/>
              </w:rPr>
              <w:t>纯</w:t>
            </w:r>
            <w:r>
              <w:rPr>
                <w:rFonts w:hint="eastAsia"/>
                <w:color w:val="auto"/>
                <w:highlight w:val="none"/>
              </w:rPr>
              <w:t>水洗废水、脱脂废水、脱脂后水洗废水、硅烷后水洗废水、纯水制备尾水</w:t>
            </w:r>
            <w:r>
              <w:rPr>
                <w:rFonts w:hint="eastAsia"/>
                <w:color w:val="auto"/>
                <w:highlight w:val="none"/>
                <w:lang w:eastAsia="zh-CN"/>
              </w:rPr>
              <w:t>、</w:t>
            </w:r>
            <w:r>
              <w:rPr>
                <w:rFonts w:hint="eastAsia"/>
                <w:color w:val="auto"/>
                <w:highlight w:val="none"/>
                <w:lang w:val="en-US" w:eastAsia="zh-CN"/>
              </w:rPr>
              <w:t>水帘喷漆废水。</w:t>
            </w:r>
          </w:p>
          <w:p w14:paraId="71394BED">
            <w:pPr>
              <w:pStyle w:val="46"/>
              <w:ind w:firstLine="480"/>
              <w:rPr>
                <w:rFonts w:hint="eastAsia"/>
                <w:color w:val="auto"/>
                <w:highlight w:val="none"/>
                <w:lang w:val="en-US" w:eastAsia="zh-CN"/>
              </w:rPr>
            </w:pPr>
            <w:r>
              <w:rPr>
                <w:rFonts w:hint="eastAsia"/>
                <w:color w:val="auto"/>
                <w:highlight w:val="none"/>
                <w:lang w:val="en-US" w:eastAsia="zh-CN"/>
              </w:rPr>
              <w:t>（1）源强核算</w:t>
            </w:r>
          </w:p>
          <w:p w14:paraId="3D2464B2">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①脱脂废水W</w:t>
            </w:r>
            <w:r>
              <w:rPr>
                <w:rFonts w:hint="eastAsia"/>
                <w:color w:val="auto"/>
                <w:highlight w:val="none"/>
                <w:lang w:val="en-US" w:eastAsia="zh-CN"/>
              </w:rPr>
              <w:t>1</w:t>
            </w:r>
          </w:p>
          <w:p w14:paraId="6CEFFDA3">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项目脱脂槽液循环使用，定期更换（约6个月更换一次（33.9m</w:t>
            </w:r>
            <w:r>
              <w:rPr>
                <w:rFonts w:hint="eastAsia"/>
                <w:color w:val="auto"/>
                <w:highlight w:val="none"/>
                <w:vertAlign w:val="superscript"/>
              </w:rPr>
              <w:t>3</w:t>
            </w:r>
            <w:r>
              <w:rPr>
                <w:rFonts w:hint="eastAsia"/>
                <w:color w:val="auto"/>
                <w:highlight w:val="none"/>
              </w:rPr>
              <w:t>/次）），产生脱脂废水W</w:t>
            </w:r>
            <w:r>
              <w:rPr>
                <w:rFonts w:hint="eastAsia"/>
                <w:color w:val="auto"/>
                <w:highlight w:val="none"/>
                <w:lang w:val="en-US" w:eastAsia="zh-CN"/>
              </w:rPr>
              <w:t>1</w:t>
            </w:r>
            <w:r>
              <w:rPr>
                <w:rFonts w:hint="eastAsia"/>
                <w:color w:val="auto"/>
                <w:highlight w:val="none"/>
              </w:rPr>
              <w:t>，产生量为57m</w:t>
            </w:r>
            <w:r>
              <w:rPr>
                <w:rFonts w:hint="eastAsia"/>
                <w:color w:val="auto"/>
                <w:highlight w:val="none"/>
                <w:vertAlign w:val="superscript"/>
              </w:rPr>
              <w:t>3</w:t>
            </w:r>
            <w:r>
              <w:rPr>
                <w:rFonts w:hint="eastAsia"/>
                <w:color w:val="auto"/>
                <w:highlight w:val="none"/>
              </w:rPr>
              <w:t>/a。主要污染物为pH、CODcr、BOD</w:t>
            </w:r>
            <w:r>
              <w:rPr>
                <w:rFonts w:hint="eastAsia"/>
                <w:color w:val="auto"/>
                <w:highlight w:val="none"/>
                <w:vertAlign w:val="subscript"/>
              </w:rPr>
              <w:t>5</w:t>
            </w:r>
            <w:r>
              <w:rPr>
                <w:rFonts w:hint="eastAsia"/>
                <w:color w:val="auto"/>
                <w:highlight w:val="none"/>
              </w:rPr>
              <w:t>、SS、石油类、LAS。</w:t>
            </w:r>
          </w:p>
          <w:p w14:paraId="3BC2C0C5">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②脱脂后水洗废水W</w:t>
            </w:r>
            <w:r>
              <w:rPr>
                <w:rFonts w:hint="eastAsia"/>
                <w:color w:val="auto"/>
                <w:highlight w:val="none"/>
                <w:lang w:val="en-US" w:eastAsia="zh-CN"/>
              </w:rPr>
              <w:t>2</w:t>
            </w:r>
            <w:r>
              <w:rPr>
                <w:rFonts w:hint="eastAsia"/>
                <w:color w:val="auto"/>
                <w:highlight w:val="none"/>
              </w:rPr>
              <w:t>、W</w:t>
            </w:r>
            <w:r>
              <w:rPr>
                <w:rFonts w:hint="eastAsia"/>
                <w:color w:val="auto"/>
                <w:highlight w:val="none"/>
                <w:lang w:val="en-US" w:eastAsia="zh-CN"/>
              </w:rPr>
              <w:t>3</w:t>
            </w:r>
          </w:p>
          <w:p w14:paraId="0B4D46EB">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项目脱脂后需要进行水洗，包括2道水洗，每个水洗槽每周需要排水一次（2m</w:t>
            </w:r>
            <w:r>
              <w:rPr>
                <w:rFonts w:hint="eastAsia"/>
                <w:color w:val="auto"/>
                <w:highlight w:val="none"/>
                <w:vertAlign w:val="superscript"/>
              </w:rPr>
              <w:t>3</w:t>
            </w:r>
            <w:r>
              <w:rPr>
                <w:rFonts w:hint="eastAsia"/>
                <w:color w:val="auto"/>
                <w:highlight w:val="none"/>
              </w:rPr>
              <w:t>/次）。经核算，脱脂后水洗废水产生量为171m</w:t>
            </w:r>
            <w:r>
              <w:rPr>
                <w:rFonts w:hint="eastAsia"/>
                <w:color w:val="auto"/>
                <w:highlight w:val="none"/>
                <w:vertAlign w:val="superscript"/>
              </w:rPr>
              <w:t>3</w:t>
            </w:r>
            <w:r>
              <w:rPr>
                <w:rFonts w:hint="eastAsia"/>
                <w:color w:val="auto"/>
                <w:highlight w:val="none"/>
              </w:rPr>
              <w:t>/a。主要污染物为pH、CODcr、BOD</w:t>
            </w:r>
            <w:r>
              <w:rPr>
                <w:rFonts w:hint="eastAsia"/>
                <w:color w:val="auto"/>
                <w:highlight w:val="none"/>
                <w:vertAlign w:val="subscript"/>
              </w:rPr>
              <w:t>5</w:t>
            </w:r>
            <w:r>
              <w:rPr>
                <w:rFonts w:hint="eastAsia"/>
                <w:color w:val="auto"/>
                <w:highlight w:val="none"/>
              </w:rPr>
              <w:t>、SS、石油类、LAS。</w:t>
            </w:r>
          </w:p>
          <w:p w14:paraId="0C0E4B56">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③硅烷后水洗废水W</w:t>
            </w:r>
            <w:r>
              <w:rPr>
                <w:rFonts w:hint="eastAsia"/>
                <w:color w:val="auto"/>
                <w:highlight w:val="none"/>
                <w:lang w:val="en-US" w:eastAsia="zh-CN"/>
              </w:rPr>
              <w:t>4</w:t>
            </w:r>
            <w:r>
              <w:rPr>
                <w:rFonts w:hint="eastAsia"/>
                <w:color w:val="auto"/>
                <w:highlight w:val="none"/>
              </w:rPr>
              <w:t>、W</w:t>
            </w:r>
            <w:r>
              <w:rPr>
                <w:rFonts w:hint="eastAsia"/>
                <w:color w:val="auto"/>
                <w:highlight w:val="none"/>
                <w:lang w:val="en-US" w:eastAsia="zh-CN"/>
              </w:rPr>
              <w:t>5</w:t>
            </w:r>
          </w:p>
          <w:p w14:paraId="6A28F5D5">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项目硅烷后需要进行水洗，包括1道水洗，1道纯水洗，每个水洗槽每周需要排水一次（2m</w:t>
            </w:r>
            <w:r>
              <w:rPr>
                <w:rFonts w:hint="eastAsia"/>
                <w:color w:val="auto"/>
                <w:highlight w:val="none"/>
                <w:vertAlign w:val="superscript"/>
              </w:rPr>
              <w:t>3</w:t>
            </w:r>
            <w:r>
              <w:rPr>
                <w:rFonts w:hint="eastAsia"/>
                <w:color w:val="auto"/>
                <w:highlight w:val="none"/>
              </w:rPr>
              <w:t>/次）。经核算，硅烷后水洗废水产生量为171m</w:t>
            </w:r>
            <w:r>
              <w:rPr>
                <w:rFonts w:hint="eastAsia"/>
                <w:color w:val="auto"/>
                <w:highlight w:val="none"/>
                <w:vertAlign w:val="superscript"/>
              </w:rPr>
              <w:t>3</w:t>
            </w:r>
            <w:r>
              <w:rPr>
                <w:rFonts w:hint="eastAsia"/>
                <w:color w:val="auto"/>
                <w:highlight w:val="none"/>
              </w:rPr>
              <w:t>/a。主要污染物为pH、CODcr、BOD</w:t>
            </w:r>
            <w:r>
              <w:rPr>
                <w:rFonts w:hint="eastAsia"/>
                <w:color w:val="auto"/>
                <w:highlight w:val="none"/>
                <w:vertAlign w:val="subscript"/>
              </w:rPr>
              <w:t>5</w:t>
            </w:r>
            <w:r>
              <w:rPr>
                <w:rFonts w:hint="eastAsia"/>
                <w:color w:val="auto"/>
                <w:highlight w:val="none"/>
              </w:rPr>
              <w:t>、NH</w:t>
            </w:r>
            <w:r>
              <w:rPr>
                <w:rFonts w:hint="eastAsia"/>
                <w:color w:val="auto"/>
                <w:highlight w:val="none"/>
                <w:vertAlign w:val="subscript"/>
              </w:rPr>
              <w:t>3</w:t>
            </w:r>
            <w:r>
              <w:rPr>
                <w:rFonts w:hint="eastAsia"/>
                <w:color w:val="auto"/>
                <w:highlight w:val="none"/>
              </w:rPr>
              <w:t>-N、SS、TN。</w:t>
            </w:r>
          </w:p>
          <w:p w14:paraId="370FED29">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eastAsia="宋体"/>
                <w:color w:val="auto"/>
                <w:highlight w:val="none"/>
                <w:lang w:eastAsia="zh-CN"/>
              </w:rPr>
            </w:pPr>
            <w:r>
              <w:rPr>
                <w:rFonts w:hint="eastAsia"/>
                <w:color w:val="auto"/>
                <w:highlight w:val="none"/>
              </w:rPr>
              <w:t>④</w:t>
            </w:r>
            <w:r>
              <w:rPr>
                <w:rFonts w:hint="eastAsia"/>
                <w:color w:val="auto"/>
                <w:highlight w:val="none"/>
                <w:lang w:val="en-US" w:eastAsia="zh-CN"/>
              </w:rPr>
              <w:t>纯水洗2</w:t>
            </w:r>
            <w:r>
              <w:rPr>
                <w:rFonts w:hint="eastAsia"/>
                <w:color w:val="auto"/>
                <w:highlight w:val="none"/>
              </w:rPr>
              <w:t>废水W</w:t>
            </w:r>
            <w:r>
              <w:rPr>
                <w:rFonts w:hint="eastAsia"/>
                <w:color w:val="auto"/>
                <w:highlight w:val="none"/>
                <w:lang w:val="en-US" w:eastAsia="zh-CN"/>
              </w:rPr>
              <w:t>6</w:t>
            </w:r>
          </w:p>
          <w:p w14:paraId="001EB628">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项目水洗槽清洗水循环使用，定期更换（约1周更换一次（2.565m</w:t>
            </w:r>
            <w:r>
              <w:rPr>
                <w:rFonts w:hint="eastAsia"/>
                <w:color w:val="auto"/>
                <w:highlight w:val="none"/>
                <w:vertAlign w:val="superscript"/>
              </w:rPr>
              <w:t>3</w:t>
            </w:r>
            <w:r>
              <w:rPr>
                <w:rFonts w:hint="eastAsia"/>
                <w:color w:val="auto"/>
                <w:highlight w:val="none"/>
              </w:rPr>
              <w:t>/次）），产生</w:t>
            </w:r>
            <w:r>
              <w:rPr>
                <w:rFonts w:hint="eastAsia"/>
                <w:color w:val="auto"/>
                <w:highlight w:val="none"/>
                <w:lang w:val="en-US" w:eastAsia="zh-CN"/>
              </w:rPr>
              <w:t>纯</w:t>
            </w:r>
            <w:r>
              <w:rPr>
                <w:rFonts w:hint="eastAsia"/>
                <w:color w:val="auto"/>
                <w:highlight w:val="none"/>
              </w:rPr>
              <w:t>水洗废水W</w:t>
            </w:r>
            <w:r>
              <w:rPr>
                <w:rFonts w:hint="eastAsia"/>
                <w:color w:val="auto"/>
                <w:highlight w:val="none"/>
                <w:lang w:val="en-US" w:eastAsia="zh-CN"/>
              </w:rPr>
              <w:t>6</w:t>
            </w:r>
            <w:r>
              <w:rPr>
                <w:rFonts w:hint="eastAsia"/>
                <w:color w:val="auto"/>
                <w:highlight w:val="none"/>
              </w:rPr>
              <w:t>，产生量为111m</w:t>
            </w:r>
            <w:r>
              <w:rPr>
                <w:rFonts w:hint="eastAsia"/>
                <w:color w:val="auto"/>
                <w:highlight w:val="none"/>
                <w:vertAlign w:val="superscript"/>
              </w:rPr>
              <w:t>3</w:t>
            </w:r>
            <w:r>
              <w:rPr>
                <w:rFonts w:hint="eastAsia"/>
                <w:color w:val="auto"/>
                <w:highlight w:val="none"/>
              </w:rPr>
              <w:t>/a。主要污染物为pH、CODcr、BOD</w:t>
            </w:r>
            <w:r>
              <w:rPr>
                <w:rFonts w:hint="eastAsia"/>
                <w:color w:val="auto"/>
                <w:highlight w:val="none"/>
                <w:vertAlign w:val="subscript"/>
              </w:rPr>
              <w:t>5</w:t>
            </w:r>
            <w:r>
              <w:rPr>
                <w:rFonts w:hint="eastAsia"/>
                <w:color w:val="auto"/>
                <w:highlight w:val="none"/>
              </w:rPr>
              <w:t>、SS、石油类。</w:t>
            </w:r>
          </w:p>
          <w:p w14:paraId="61270D1C">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⑤纯水制备尾水W7</w:t>
            </w:r>
          </w:p>
          <w:p w14:paraId="492835EF">
            <w:pPr>
              <w:pStyle w:val="46"/>
              <w:keepNext w:val="0"/>
              <w:keepLines w:val="0"/>
              <w:pageBreakBefore w:val="0"/>
              <w:widowControl w:val="0"/>
              <w:kinsoku/>
              <w:wordWrap/>
              <w:overflowPunct/>
              <w:topLinePunct w:val="0"/>
              <w:autoSpaceDE w:val="0"/>
              <w:autoSpaceDN w:val="0"/>
              <w:bidi w:val="0"/>
              <w:adjustRightInd/>
              <w:snapToGrid/>
              <w:ind w:firstLine="480"/>
              <w:textAlignment w:val="auto"/>
              <w:rPr>
                <w:rFonts w:hint="eastAsia"/>
                <w:color w:val="auto"/>
                <w:highlight w:val="none"/>
              </w:rPr>
            </w:pPr>
            <w:r>
              <w:rPr>
                <w:rFonts w:hint="eastAsia"/>
                <w:color w:val="auto"/>
                <w:highlight w:val="none"/>
              </w:rPr>
              <w:t>本项目纯水制备过程会有纯水制备尾水产生。根据项目设计方案，项目纯水用量为30m</w:t>
            </w:r>
            <w:r>
              <w:rPr>
                <w:rFonts w:hint="eastAsia"/>
                <w:color w:val="auto"/>
                <w:highlight w:val="none"/>
                <w:vertAlign w:val="superscript"/>
              </w:rPr>
              <w:t>3</w:t>
            </w:r>
            <w:r>
              <w:rPr>
                <w:rFonts w:hint="eastAsia"/>
                <w:color w:val="auto"/>
                <w:highlight w:val="none"/>
              </w:rPr>
              <w:t>/a，纯水制备率约40%，则纯水制备尾水的产生量为18m</w:t>
            </w:r>
            <w:r>
              <w:rPr>
                <w:rFonts w:hint="eastAsia"/>
                <w:color w:val="auto"/>
                <w:highlight w:val="none"/>
                <w:vertAlign w:val="superscript"/>
              </w:rPr>
              <w:t>3</w:t>
            </w:r>
            <w:r>
              <w:rPr>
                <w:rFonts w:hint="eastAsia"/>
                <w:color w:val="auto"/>
                <w:highlight w:val="none"/>
              </w:rPr>
              <w:t>/a，主要污染物为pH、CODcr、SS。纯水制备尾水回用于硅烷后水洗3工序。</w:t>
            </w:r>
          </w:p>
          <w:p w14:paraId="5D15ECD9">
            <w:pPr>
              <w:pStyle w:val="46"/>
              <w:ind w:firstLine="480"/>
              <w:rPr>
                <w:rFonts w:hint="default" w:ascii="Times New Roman" w:hAnsi="Times New Roman" w:eastAsia="宋体" w:cs="宋体"/>
                <w:color w:val="auto"/>
                <w:highlight w:val="none"/>
                <w:lang w:val="en-US" w:eastAsia="zh-CN"/>
              </w:rPr>
            </w:pPr>
            <w:r>
              <w:rPr>
                <w:rFonts w:hint="eastAsia" w:ascii="微软雅黑" w:hAnsi="微软雅黑" w:eastAsia="微软雅黑" w:cs="微软雅黑"/>
                <w:color w:val="auto"/>
                <w:highlight w:val="none"/>
              </w:rPr>
              <w:t>⑥</w:t>
            </w:r>
            <w:r>
              <w:rPr>
                <w:rFonts w:hint="eastAsia" w:ascii="Times New Roman" w:hAnsi="Times New Roman" w:eastAsia="宋体" w:cs="宋体"/>
                <w:color w:val="auto"/>
                <w:highlight w:val="none"/>
                <w:lang w:val="en-US" w:eastAsia="zh-CN"/>
              </w:rPr>
              <w:t>水帘喷漆废水</w:t>
            </w:r>
            <w:r>
              <w:rPr>
                <w:rFonts w:hint="eastAsia"/>
                <w:color w:val="auto"/>
                <w:highlight w:val="none"/>
              </w:rPr>
              <w:t>W</w:t>
            </w:r>
            <w:r>
              <w:rPr>
                <w:rFonts w:hint="eastAsia"/>
                <w:color w:val="auto"/>
                <w:highlight w:val="none"/>
                <w:lang w:val="en-US" w:eastAsia="zh-CN"/>
              </w:rPr>
              <w:t>9</w:t>
            </w:r>
          </w:p>
          <w:p w14:paraId="1BB3A5AF">
            <w:pPr>
              <w:pStyle w:val="46"/>
              <w:ind w:firstLine="480"/>
              <w:rPr>
                <w:rFonts w:hint="eastAsia"/>
                <w:color w:val="000000" w:themeColor="text1"/>
                <w:highlight w:val="none"/>
                <w14:textFill>
                  <w14:solidFill>
                    <w14:schemeClr w14:val="tx1"/>
                  </w14:solidFill>
                </w14:textFill>
              </w:rPr>
            </w:pPr>
            <w:r>
              <w:rPr>
                <w:rFonts w:hint="eastAsia"/>
                <w:color w:val="auto"/>
                <w:highlight w:val="none"/>
              </w:rPr>
              <w:t>由于水帘喷漆台用水对水质要求不高，其主要功能为拦截喷漆过程中产生的漆雾（颗粒物）</w:t>
            </w:r>
            <w:r>
              <w:rPr>
                <w:rFonts w:hint="eastAsia"/>
                <w:color w:val="auto"/>
                <w:highlight w:val="none"/>
                <w:lang w:eastAsia="zh-CN"/>
              </w:rPr>
              <w:t>且</w:t>
            </w:r>
            <w:r>
              <w:rPr>
                <w:rFonts w:hint="eastAsia"/>
                <w:color w:val="auto"/>
                <w:highlight w:val="none"/>
              </w:rPr>
              <w:t>该用水不与产品直接接触，故对产品质量无影响，具备循环使用条件；项目采取循环使用10天后更换的方案，可通过定期更换控制循环水中漆渣等污染物浓度、确保漆雾处理效率。项</w:t>
            </w:r>
            <w:r>
              <w:rPr>
                <w:rFonts w:hint="eastAsia"/>
                <w:color w:val="000000" w:themeColor="text1"/>
                <w:highlight w:val="none"/>
                <w14:textFill>
                  <w14:solidFill>
                    <w14:schemeClr w14:val="tx1"/>
                  </w14:solidFill>
                </w14:textFill>
              </w:rPr>
              <w:t>目水帘喷漆台用水循环使用10天后排入自建废水处理系统后排放</w:t>
            </w:r>
            <w:r>
              <w:rPr>
                <w:rFonts w:hint="eastAsia"/>
                <w:color w:val="000000" w:themeColor="text1"/>
                <w:highlight w:val="none"/>
                <w:lang w:val="en-US" w:eastAsia="zh-CN"/>
                <w14:textFill>
                  <w14:solidFill>
                    <w14:schemeClr w14:val="tx1"/>
                  </w14:solidFill>
                </w14:textFill>
              </w:rPr>
              <w:t>至厂区污水管网，废水纳入福清市第二污水处理厂处理</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则</w:t>
            </w:r>
            <w:r>
              <w:rPr>
                <w:rFonts w:hint="eastAsia"/>
                <w:color w:val="000000" w:themeColor="text1"/>
                <w:highlight w:val="none"/>
                <w14:textFill>
                  <w14:solidFill>
                    <w14:schemeClr w14:val="tx1"/>
                  </w14:solidFill>
                </w14:textFill>
              </w:rPr>
              <w:t>废水</w:t>
            </w:r>
            <w:r>
              <w:rPr>
                <w:rFonts w:hint="eastAsia"/>
                <w:color w:val="000000" w:themeColor="text1"/>
                <w:highlight w:val="none"/>
                <w:lang w:val="en-US" w:eastAsia="zh-CN"/>
                <w14:textFill>
                  <w14:solidFill>
                    <w14:schemeClr w14:val="tx1"/>
                  </w14:solidFill>
                </w14:textFill>
              </w:rPr>
              <w:t>排放次数为</w:t>
            </w:r>
            <w:r>
              <w:rPr>
                <w:rFonts w:hint="eastAsia"/>
                <w:color w:val="000000" w:themeColor="text1"/>
                <w:highlight w:val="none"/>
                <w14:textFill>
                  <w14:solidFill>
                    <w14:schemeClr w14:val="tx1"/>
                  </w14:solidFill>
                </w14:textFill>
              </w:rPr>
              <w:t>30次/a，则</w:t>
            </w:r>
            <w:r>
              <w:rPr>
                <w:rFonts w:hint="eastAsia"/>
                <w:color w:val="000000" w:themeColor="text1"/>
                <w:highlight w:val="none"/>
                <w:lang w:val="en-US" w:eastAsia="zh-CN"/>
                <w14:textFill>
                  <w14:solidFill>
                    <w14:schemeClr w14:val="tx1"/>
                  </w14:solidFill>
                </w14:textFill>
              </w:rPr>
              <w:t>排放</w:t>
            </w:r>
            <w:r>
              <w:rPr>
                <w:rFonts w:hint="eastAsia"/>
                <w:color w:val="000000" w:themeColor="text1"/>
                <w:highlight w:val="none"/>
                <w14:textFill>
                  <w14:solidFill>
                    <w14:schemeClr w14:val="tx1"/>
                  </w14:solidFill>
                </w14:textFill>
              </w:rPr>
              <w:t>水量为</w:t>
            </w:r>
            <w:r>
              <w:rPr>
                <w:rFonts w:hint="eastAsia"/>
                <w:color w:val="000000" w:themeColor="text1"/>
                <w:highlight w:val="none"/>
                <w:lang w:val="en-US" w:eastAsia="zh-CN"/>
                <w14:textFill>
                  <w14:solidFill>
                    <w14:schemeClr w14:val="tx1"/>
                  </w14:solidFill>
                </w14:textFill>
              </w:rPr>
              <w:t>270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（0.9t/d）</w:t>
            </w:r>
            <w:r>
              <w:rPr>
                <w:rFonts w:hint="eastAsia"/>
                <w:color w:val="000000" w:themeColor="text1"/>
                <w:highlight w:val="none"/>
                <w14:textFill>
                  <w14:solidFill>
                    <w14:schemeClr w14:val="tx1"/>
                  </w14:solidFill>
                </w14:textFill>
              </w:rPr>
              <w:t>。</w:t>
            </w:r>
            <w:r>
              <w:rPr>
                <w:rFonts w:hint="eastAsia"/>
                <w:color w:val="auto"/>
                <w:highlight w:val="none"/>
              </w:rPr>
              <w:t>主要污染物为pH、CODcr、BOD</w:t>
            </w:r>
            <w:r>
              <w:rPr>
                <w:rFonts w:hint="eastAsia"/>
                <w:color w:val="auto"/>
                <w:highlight w:val="none"/>
                <w:vertAlign w:val="subscript"/>
              </w:rPr>
              <w:t>5</w:t>
            </w:r>
            <w:r>
              <w:rPr>
                <w:rFonts w:hint="eastAsia"/>
                <w:color w:val="auto"/>
                <w:highlight w:val="none"/>
              </w:rPr>
              <w:t>、SS、NH</w:t>
            </w:r>
            <w:r>
              <w:rPr>
                <w:rFonts w:hint="eastAsia"/>
                <w:color w:val="auto"/>
                <w:highlight w:val="none"/>
                <w:vertAlign w:val="subscript"/>
              </w:rPr>
              <w:t>3</w:t>
            </w:r>
            <w:r>
              <w:rPr>
                <w:rFonts w:hint="eastAsia"/>
                <w:color w:val="auto"/>
                <w:highlight w:val="none"/>
              </w:rPr>
              <w:t>-N。</w:t>
            </w:r>
          </w:p>
          <w:p w14:paraId="0615EF4A">
            <w:pPr>
              <w:pStyle w:val="46"/>
              <w:ind w:firstLine="480"/>
              <w:rPr>
                <w:rFonts w:hint="eastAsia"/>
                <w:color w:val="auto"/>
                <w:highlight w:val="none"/>
                <w:lang w:val="en-US" w:eastAsia="zh-CN"/>
              </w:rPr>
            </w:pPr>
            <w:r>
              <w:rPr>
                <w:rFonts w:hint="eastAsia"/>
                <w:color w:val="auto"/>
                <w:highlight w:val="none"/>
                <w:lang w:val="en-US" w:eastAsia="zh-CN"/>
              </w:rPr>
              <w:t>本项目废水源强类比同类企业（延锋安道拓座椅有限公司，该企业主要从事汽车零部件制造，生产工艺与本项目类似，具有较好的可类比性）。</w:t>
            </w:r>
          </w:p>
          <w:p w14:paraId="2D140756">
            <w:pPr>
              <w:pStyle w:val="46"/>
              <w:ind w:firstLine="480"/>
              <w:rPr>
                <w:rFonts w:hint="eastAsia"/>
                <w:color w:val="auto"/>
                <w:highlight w:val="none"/>
                <w:lang w:val="en-US" w:eastAsia="zh-CN"/>
              </w:rPr>
            </w:pPr>
            <w:r>
              <w:rPr>
                <w:rFonts w:hint="eastAsia"/>
                <w:color w:val="auto"/>
                <w:highlight w:val="none"/>
                <w:lang w:val="en-US" w:eastAsia="zh-CN"/>
              </w:rPr>
              <w:t>本项目废水产生情况见下表。</w:t>
            </w:r>
          </w:p>
          <w:p w14:paraId="3EDE8F95">
            <w:pPr>
              <w:pStyle w:val="44"/>
              <w:keepNext/>
              <w:keepLines/>
              <w:pageBreakBefore w:val="0"/>
              <w:widowControl w:val="0"/>
              <w:numPr>
                <w:ilvl w:val="7"/>
                <w:numId w:val="1"/>
              </w:numPr>
              <w:kinsoku/>
              <w:wordWrap/>
              <w:overflowPunct/>
              <w:topLinePunct w:val="0"/>
              <w:autoSpaceDE/>
              <w:autoSpaceDN/>
              <w:bidi w:val="0"/>
              <w:adjustRightInd/>
              <w:snapToGrid/>
              <w:spacing w:before="157" w:beforeLines="50" w:after="0"/>
              <w:ind w:left="210" w:leftChars="0"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本项目主要水污染物产生情况一览表</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453"/>
              <w:gridCol w:w="1453"/>
              <w:gridCol w:w="1470"/>
              <w:gridCol w:w="1457"/>
              <w:gridCol w:w="1456"/>
            </w:tblGrid>
            <w:tr w14:paraId="0094E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62C8584C">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b/>
                      <w:bCs/>
                      <w:color w:val="auto"/>
                      <w:spacing w:val="4"/>
                      <w:sz w:val="21"/>
                      <w:highlight w:val="none"/>
                    </w:rPr>
                    <w:t>代号</w:t>
                  </w:r>
                </w:p>
              </w:tc>
              <w:tc>
                <w:tcPr>
                  <w:tcW w:w="1453" w:type="dxa"/>
                  <w:vMerge w:val="restart"/>
                  <w:tcBorders>
                    <w:tl2br w:val="nil"/>
                    <w:tr2bl w:val="nil"/>
                  </w:tcBorders>
                  <w:shd w:val="clear" w:color="auto" w:fill="auto"/>
                  <w:vAlign w:val="center"/>
                </w:tcPr>
                <w:p w14:paraId="250D23BA">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b/>
                      <w:bCs/>
                      <w:color w:val="auto"/>
                      <w:spacing w:val="4"/>
                      <w:sz w:val="21"/>
                      <w:highlight w:val="none"/>
                    </w:rPr>
                    <w:t>源名</w:t>
                  </w:r>
                </w:p>
              </w:tc>
              <w:tc>
                <w:tcPr>
                  <w:tcW w:w="1453" w:type="dxa"/>
                  <w:vMerge w:val="restart"/>
                  <w:tcBorders>
                    <w:tl2br w:val="nil"/>
                    <w:tr2bl w:val="nil"/>
                  </w:tcBorders>
                  <w:shd w:val="clear" w:color="auto" w:fill="auto"/>
                  <w:vAlign w:val="center"/>
                </w:tcPr>
                <w:p w14:paraId="77E8F5EE">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废水量</w:t>
                  </w:r>
                </w:p>
                <w:p w14:paraId="76808B6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b/>
                      <w:bCs/>
                      <w:color w:val="auto"/>
                      <w:spacing w:val="2"/>
                      <w:sz w:val="21"/>
                      <w:szCs w:val="20"/>
                      <w:highlight w:val="none"/>
                    </w:rPr>
                    <w:t>(m</w:t>
                  </w:r>
                  <w:r>
                    <w:rPr>
                      <w:rFonts w:ascii="Times New Roman" w:hAnsi="Times New Roman" w:eastAsia="宋体" w:cs="Times New Roman"/>
                      <w:b/>
                      <w:bCs/>
                      <w:color w:val="auto"/>
                      <w:spacing w:val="2"/>
                      <w:position w:val="6"/>
                      <w:sz w:val="21"/>
                      <w:szCs w:val="13"/>
                      <w:highlight w:val="none"/>
                    </w:rPr>
                    <w:t>3</w:t>
                  </w:r>
                  <w:r>
                    <w:rPr>
                      <w:rFonts w:ascii="Times New Roman" w:hAnsi="Times New Roman" w:eastAsia="宋体" w:cs="Times New Roman"/>
                      <w:b/>
                      <w:bCs/>
                      <w:color w:val="auto"/>
                      <w:spacing w:val="2"/>
                      <w:sz w:val="21"/>
                      <w:szCs w:val="20"/>
                      <w:highlight w:val="none"/>
                    </w:rPr>
                    <w:t>/a)</w:t>
                  </w:r>
                </w:p>
              </w:tc>
              <w:tc>
                <w:tcPr>
                  <w:tcW w:w="4383" w:type="dxa"/>
                  <w:gridSpan w:val="3"/>
                  <w:tcBorders>
                    <w:tl2br w:val="nil"/>
                    <w:tr2bl w:val="nil"/>
                  </w:tcBorders>
                  <w:shd w:val="clear" w:color="auto" w:fill="auto"/>
                  <w:vAlign w:val="center"/>
                </w:tcPr>
                <w:p w14:paraId="335D9F89">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ascii="Times New Roman" w:hAnsi="Times New Roman" w:eastAsia="宋体"/>
                      <w:b/>
                      <w:bCs/>
                      <w:color w:val="auto"/>
                      <w:spacing w:val="6"/>
                      <w:sz w:val="21"/>
                      <w:highlight w:val="none"/>
                    </w:rPr>
                    <w:t>产生情况</w:t>
                  </w:r>
                </w:p>
              </w:tc>
            </w:tr>
            <w:tr w14:paraId="4B020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4E65A9B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00C972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72F376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506E1CBF">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ascii="Times New Roman" w:hAnsi="Times New Roman" w:eastAsia="宋体"/>
                      <w:b/>
                      <w:bCs/>
                      <w:color w:val="auto"/>
                      <w:spacing w:val="5"/>
                      <w:sz w:val="21"/>
                      <w:highlight w:val="none"/>
                    </w:rPr>
                    <w:t>污染物</w:t>
                  </w:r>
                </w:p>
              </w:tc>
              <w:tc>
                <w:tcPr>
                  <w:tcW w:w="1457" w:type="dxa"/>
                  <w:tcBorders>
                    <w:tl2br w:val="nil"/>
                    <w:tr2bl w:val="nil"/>
                  </w:tcBorders>
                  <w:shd w:val="clear" w:color="auto" w:fill="auto"/>
                  <w:vAlign w:val="center"/>
                </w:tcPr>
                <w:p w14:paraId="5F425E5D">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产生浓度</w:t>
                  </w:r>
                </w:p>
                <w:p w14:paraId="22A22F7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b/>
                      <w:bCs/>
                      <w:color w:val="auto"/>
                      <w:spacing w:val="4"/>
                      <w:sz w:val="21"/>
                      <w:szCs w:val="20"/>
                      <w:highlight w:val="none"/>
                    </w:rPr>
                    <w:t>(</w:t>
                  </w:r>
                  <w:r>
                    <w:rPr>
                      <w:rFonts w:ascii="Times New Roman" w:hAnsi="Times New Roman" w:eastAsia="宋体" w:cs="Times New Roman"/>
                      <w:b/>
                      <w:bCs/>
                      <w:color w:val="auto"/>
                      <w:sz w:val="21"/>
                      <w:szCs w:val="20"/>
                      <w:highlight w:val="none"/>
                    </w:rPr>
                    <w:t>mg</w:t>
                  </w:r>
                  <w:r>
                    <w:rPr>
                      <w:rFonts w:ascii="Times New Roman" w:hAnsi="Times New Roman" w:eastAsia="宋体" w:cs="Times New Roman"/>
                      <w:b/>
                      <w:bCs/>
                      <w:color w:val="auto"/>
                      <w:spacing w:val="4"/>
                      <w:sz w:val="21"/>
                      <w:szCs w:val="20"/>
                      <w:highlight w:val="none"/>
                    </w:rPr>
                    <w:t>/L)</w:t>
                  </w:r>
                </w:p>
              </w:tc>
              <w:tc>
                <w:tcPr>
                  <w:tcW w:w="1456" w:type="dxa"/>
                  <w:tcBorders>
                    <w:tl2br w:val="nil"/>
                    <w:tr2bl w:val="nil"/>
                  </w:tcBorders>
                  <w:shd w:val="clear" w:color="auto" w:fill="auto"/>
                  <w:vAlign w:val="center"/>
                </w:tcPr>
                <w:p w14:paraId="71A92AB5">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产生量</w:t>
                  </w:r>
                </w:p>
                <w:p w14:paraId="75FBEE9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b/>
                      <w:bCs/>
                      <w:color w:val="auto"/>
                      <w:spacing w:val="1"/>
                      <w:sz w:val="21"/>
                      <w:szCs w:val="20"/>
                      <w:highlight w:val="none"/>
                    </w:rPr>
                    <w:t>(t/a)</w:t>
                  </w:r>
                </w:p>
              </w:tc>
            </w:tr>
            <w:tr w14:paraId="7B06A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2762BFB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4"/>
                      <w:position w:val="2"/>
                      <w:sz w:val="21"/>
                      <w:szCs w:val="20"/>
                      <w:highlight w:val="none"/>
                    </w:rPr>
                    <w:t>W</w:t>
                  </w:r>
                  <w:r>
                    <w:rPr>
                      <w:rFonts w:hint="eastAsia" w:ascii="Times New Roman" w:hAnsi="Times New Roman" w:eastAsia="宋体" w:cs="Times New Roman"/>
                      <w:color w:val="auto"/>
                      <w:spacing w:val="4"/>
                      <w:position w:val="2"/>
                      <w:sz w:val="21"/>
                      <w:szCs w:val="20"/>
                      <w:highlight w:val="none"/>
                      <w:lang w:val="en-US" w:eastAsia="zh-CN"/>
                    </w:rPr>
                    <w:t>1</w:t>
                  </w:r>
                </w:p>
              </w:tc>
              <w:tc>
                <w:tcPr>
                  <w:tcW w:w="1453" w:type="dxa"/>
                  <w:vMerge w:val="restart"/>
                  <w:tcBorders>
                    <w:tl2br w:val="nil"/>
                    <w:tr2bl w:val="nil"/>
                  </w:tcBorders>
                  <w:shd w:val="clear" w:color="auto" w:fill="auto"/>
                  <w:vAlign w:val="center"/>
                </w:tcPr>
                <w:p w14:paraId="6D9DC4E1">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7"/>
                      <w:sz w:val="21"/>
                      <w:highlight w:val="none"/>
                    </w:rPr>
                    <w:t>脱脂废水</w:t>
                  </w:r>
                </w:p>
              </w:tc>
              <w:tc>
                <w:tcPr>
                  <w:tcW w:w="1453" w:type="dxa"/>
                  <w:vMerge w:val="restart"/>
                  <w:tcBorders>
                    <w:tl2br w:val="nil"/>
                    <w:tr2bl w:val="nil"/>
                  </w:tcBorders>
                  <w:shd w:val="clear" w:color="auto" w:fill="auto"/>
                  <w:vAlign w:val="center"/>
                </w:tcPr>
                <w:p w14:paraId="20653BD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57</w:t>
                  </w:r>
                </w:p>
              </w:tc>
              <w:tc>
                <w:tcPr>
                  <w:tcW w:w="1470" w:type="dxa"/>
                  <w:tcBorders>
                    <w:tl2br w:val="nil"/>
                    <w:tr2bl w:val="nil"/>
                  </w:tcBorders>
                  <w:shd w:val="clear" w:color="auto" w:fill="auto"/>
                  <w:vAlign w:val="center"/>
                </w:tcPr>
                <w:p w14:paraId="63E18100">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1EEAE31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5"/>
                      <w:position w:val="1"/>
                      <w:sz w:val="21"/>
                      <w:szCs w:val="20"/>
                      <w:highlight w:val="none"/>
                    </w:rPr>
                    <w:t>8~10</w:t>
                  </w:r>
                </w:p>
              </w:tc>
              <w:tc>
                <w:tcPr>
                  <w:tcW w:w="1456" w:type="dxa"/>
                  <w:tcBorders>
                    <w:tl2br w:val="nil"/>
                    <w:tr2bl w:val="nil"/>
                  </w:tcBorders>
                  <w:shd w:val="clear" w:color="auto" w:fill="auto"/>
                  <w:vAlign w:val="center"/>
                </w:tcPr>
                <w:p w14:paraId="7941141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w:t>
                  </w:r>
                </w:p>
              </w:tc>
            </w:tr>
            <w:tr w14:paraId="64159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DFE7FC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E7570B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68782F6">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B0D412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2BFC9E0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2000</w:t>
                  </w:r>
                </w:p>
              </w:tc>
              <w:tc>
                <w:tcPr>
                  <w:tcW w:w="1456" w:type="dxa"/>
                  <w:tcBorders>
                    <w:tl2br w:val="nil"/>
                    <w:tr2bl w:val="nil"/>
                  </w:tcBorders>
                  <w:shd w:val="clear" w:color="auto" w:fill="auto"/>
                  <w:vAlign w:val="center"/>
                </w:tcPr>
                <w:p w14:paraId="13B48B6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sz w:val="21"/>
                      <w:szCs w:val="20"/>
                      <w:highlight w:val="none"/>
                    </w:rPr>
                    <w:t>0.114</w:t>
                  </w:r>
                </w:p>
              </w:tc>
            </w:tr>
            <w:tr w14:paraId="6C3F9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78AFB336">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28BC4A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72160B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C7E9C4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698A548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position w:val="1"/>
                      <w:sz w:val="21"/>
                      <w:szCs w:val="20"/>
                      <w:highlight w:val="none"/>
                    </w:rPr>
                    <w:t>800</w:t>
                  </w:r>
                </w:p>
              </w:tc>
              <w:tc>
                <w:tcPr>
                  <w:tcW w:w="1456" w:type="dxa"/>
                  <w:tcBorders>
                    <w:tl2br w:val="nil"/>
                    <w:tr2bl w:val="nil"/>
                  </w:tcBorders>
                  <w:shd w:val="clear" w:color="auto" w:fill="auto"/>
                  <w:vAlign w:val="center"/>
                </w:tcPr>
                <w:p w14:paraId="3BD2EC8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0.0456</w:t>
                  </w:r>
                </w:p>
              </w:tc>
            </w:tr>
            <w:tr w14:paraId="00D7E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7D0B3441">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671AA1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A763AA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26C2D34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1682D14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sz w:val="21"/>
                      <w:szCs w:val="20"/>
                      <w:highlight w:val="none"/>
                    </w:rPr>
                    <w:t>600</w:t>
                  </w:r>
                </w:p>
              </w:tc>
              <w:tc>
                <w:tcPr>
                  <w:tcW w:w="1456" w:type="dxa"/>
                  <w:tcBorders>
                    <w:tl2br w:val="nil"/>
                    <w:tr2bl w:val="nil"/>
                  </w:tcBorders>
                  <w:shd w:val="clear" w:color="auto" w:fill="auto"/>
                  <w:vAlign w:val="center"/>
                </w:tcPr>
                <w:p w14:paraId="1E279DA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0.0342</w:t>
                  </w:r>
                </w:p>
              </w:tc>
            </w:tr>
            <w:tr w14:paraId="333F7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5BBE4D0">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BDBB98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851095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BC48BE0">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ascii="Times New Roman" w:hAnsi="Times New Roman" w:eastAsia="宋体"/>
                      <w:color w:val="auto"/>
                      <w:spacing w:val="6"/>
                      <w:sz w:val="21"/>
                      <w:highlight w:val="none"/>
                    </w:rPr>
                    <w:t>石油类</w:t>
                  </w:r>
                </w:p>
              </w:tc>
              <w:tc>
                <w:tcPr>
                  <w:tcW w:w="1457" w:type="dxa"/>
                  <w:tcBorders>
                    <w:tl2br w:val="nil"/>
                    <w:tr2bl w:val="nil"/>
                  </w:tcBorders>
                  <w:shd w:val="clear" w:color="auto" w:fill="auto"/>
                  <w:vAlign w:val="center"/>
                </w:tcPr>
                <w:p w14:paraId="178199E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position w:val="1"/>
                      <w:sz w:val="21"/>
                      <w:szCs w:val="20"/>
                      <w:highlight w:val="none"/>
                    </w:rPr>
                    <w:t>800</w:t>
                  </w:r>
                </w:p>
              </w:tc>
              <w:tc>
                <w:tcPr>
                  <w:tcW w:w="1456" w:type="dxa"/>
                  <w:tcBorders>
                    <w:tl2br w:val="nil"/>
                    <w:tr2bl w:val="nil"/>
                  </w:tcBorders>
                  <w:shd w:val="clear" w:color="auto" w:fill="auto"/>
                  <w:vAlign w:val="center"/>
                </w:tcPr>
                <w:p w14:paraId="01F0E0F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0.0456</w:t>
                  </w:r>
                </w:p>
              </w:tc>
            </w:tr>
            <w:tr w14:paraId="60998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E07A6D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73F83E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0A7EA3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EEF6F5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LAS</w:t>
                  </w:r>
                </w:p>
              </w:tc>
              <w:tc>
                <w:tcPr>
                  <w:tcW w:w="1457" w:type="dxa"/>
                  <w:tcBorders>
                    <w:tl2br w:val="nil"/>
                    <w:tr2bl w:val="nil"/>
                  </w:tcBorders>
                  <w:shd w:val="clear" w:color="auto" w:fill="auto"/>
                  <w:vAlign w:val="center"/>
                </w:tcPr>
                <w:p w14:paraId="47F41F8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position w:val="1"/>
                      <w:sz w:val="21"/>
                      <w:szCs w:val="20"/>
                      <w:highlight w:val="none"/>
                    </w:rPr>
                    <w:t>30</w:t>
                  </w:r>
                </w:p>
              </w:tc>
              <w:tc>
                <w:tcPr>
                  <w:tcW w:w="1456" w:type="dxa"/>
                  <w:tcBorders>
                    <w:tl2br w:val="nil"/>
                    <w:tr2bl w:val="nil"/>
                  </w:tcBorders>
                  <w:shd w:val="clear" w:color="auto" w:fill="auto"/>
                  <w:vAlign w:val="center"/>
                </w:tcPr>
                <w:p w14:paraId="57EC5DA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0.00171</w:t>
                  </w:r>
                </w:p>
              </w:tc>
            </w:tr>
            <w:tr w14:paraId="6BDBD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38DBA322">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7"/>
                      <w:position w:val="2"/>
                      <w:sz w:val="21"/>
                      <w:highlight w:val="none"/>
                    </w:rPr>
                    <w:t>W</w:t>
                  </w:r>
                  <w:r>
                    <w:rPr>
                      <w:rFonts w:hint="eastAsia" w:ascii="Times New Roman" w:hAnsi="Times New Roman" w:eastAsia="宋体" w:cs="Times New Roman"/>
                      <w:color w:val="auto"/>
                      <w:spacing w:val="-7"/>
                      <w:position w:val="2"/>
                      <w:sz w:val="21"/>
                      <w:highlight w:val="none"/>
                      <w:lang w:val="en-US" w:eastAsia="zh-CN"/>
                    </w:rPr>
                    <w:t>2</w:t>
                  </w:r>
                  <w:r>
                    <w:rPr>
                      <w:rFonts w:ascii="Times New Roman" w:hAnsi="Times New Roman" w:eastAsia="宋体"/>
                      <w:color w:val="auto"/>
                      <w:spacing w:val="-7"/>
                      <w:position w:val="2"/>
                      <w:sz w:val="21"/>
                      <w:highlight w:val="none"/>
                    </w:rPr>
                    <w:t>、</w:t>
                  </w:r>
                  <w:r>
                    <w:rPr>
                      <w:rFonts w:ascii="Times New Roman" w:hAnsi="Times New Roman" w:eastAsia="宋体" w:cs="Times New Roman"/>
                      <w:color w:val="auto"/>
                      <w:spacing w:val="-7"/>
                      <w:position w:val="2"/>
                      <w:sz w:val="21"/>
                      <w:highlight w:val="none"/>
                    </w:rPr>
                    <w:t>W</w:t>
                  </w:r>
                  <w:r>
                    <w:rPr>
                      <w:rFonts w:hint="eastAsia" w:ascii="Times New Roman" w:hAnsi="Times New Roman" w:eastAsia="宋体" w:cs="Times New Roman"/>
                      <w:color w:val="auto"/>
                      <w:spacing w:val="-7"/>
                      <w:position w:val="2"/>
                      <w:sz w:val="21"/>
                      <w:highlight w:val="none"/>
                      <w:lang w:val="en-US" w:eastAsia="zh-CN"/>
                    </w:rPr>
                    <w:t>3</w:t>
                  </w:r>
                </w:p>
              </w:tc>
              <w:tc>
                <w:tcPr>
                  <w:tcW w:w="1453" w:type="dxa"/>
                  <w:vMerge w:val="restart"/>
                  <w:tcBorders>
                    <w:tl2br w:val="nil"/>
                    <w:tr2bl w:val="nil"/>
                  </w:tcBorders>
                  <w:shd w:val="clear" w:color="auto" w:fill="auto"/>
                  <w:vAlign w:val="center"/>
                </w:tcPr>
                <w:p w14:paraId="0AAE1082">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8"/>
                      <w:sz w:val="21"/>
                      <w:highlight w:val="none"/>
                    </w:rPr>
                    <w:t>脱脂后水洗废</w:t>
                  </w:r>
                  <w:r>
                    <w:rPr>
                      <w:rFonts w:ascii="Times New Roman" w:hAnsi="Times New Roman" w:eastAsia="宋体"/>
                      <w:color w:val="auto"/>
                      <w:sz w:val="21"/>
                      <w:highlight w:val="none"/>
                    </w:rPr>
                    <w:t>水</w:t>
                  </w:r>
                </w:p>
              </w:tc>
              <w:tc>
                <w:tcPr>
                  <w:tcW w:w="1453" w:type="dxa"/>
                  <w:vMerge w:val="restart"/>
                  <w:tcBorders>
                    <w:tl2br w:val="nil"/>
                    <w:tr2bl w:val="nil"/>
                  </w:tcBorders>
                  <w:shd w:val="clear" w:color="auto" w:fill="auto"/>
                  <w:vAlign w:val="center"/>
                </w:tcPr>
                <w:p w14:paraId="5C0882C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2"/>
                      <w:sz w:val="21"/>
                      <w:szCs w:val="20"/>
                      <w:highlight w:val="none"/>
                    </w:rPr>
                    <w:t>171</w:t>
                  </w:r>
                </w:p>
              </w:tc>
              <w:tc>
                <w:tcPr>
                  <w:tcW w:w="1470" w:type="dxa"/>
                  <w:tcBorders>
                    <w:tl2br w:val="nil"/>
                    <w:tr2bl w:val="nil"/>
                  </w:tcBorders>
                  <w:shd w:val="clear" w:color="auto" w:fill="auto"/>
                  <w:vAlign w:val="center"/>
                </w:tcPr>
                <w:p w14:paraId="554D44F8">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3E77ECA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position w:val="1"/>
                      <w:sz w:val="21"/>
                      <w:szCs w:val="20"/>
                      <w:highlight w:val="none"/>
                    </w:rPr>
                    <w:t>7~9</w:t>
                  </w:r>
                </w:p>
              </w:tc>
              <w:tc>
                <w:tcPr>
                  <w:tcW w:w="1456" w:type="dxa"/>
                  <w:tcBorders>
                    <w:tl2br w:val="nil"/>
                    <w:tr2bl w:val="nil"/>
                  </w:tcBorders>
                  <w:shd w:val="clear" w:color="auto" w:fill="auto"/>
                  <w:vAlign w:val="center"/>
                </w:tcPr>
                <w:p w14:paraId="01227F9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w:t>
                  </w:r>
                </w:p>
              </w:tc>
            </w:tr>
            <w:tr w14:paraId="57144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183CB8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44294B0">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BAD290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8B461F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302BE5E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800</w:t>
                  </w:r>
                </w:p>
              </w:tc>
              <w:tc>
                <w:tcPr>
                  <w:tcW w:w="1456" w:type="dxa"/>
                  <w:tcBorders>
                    <w:tl2br w:val="nil"/>
                    <w:tr2bl w:val="nil"/>
                  </w:tcBorders>
                  <w:shd w:val="clear" w:color="auto" w:fill="auto"/>
                  <w:vAlign w:val="center"/>
                </w:tcPr>
                <w:p w14:paraId="440CC09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0.1368</w:t>
                  </w:r>
                </w:p>
              </w:tc>
            </w:tr>
            <w:tr w14:paraId="2AE1C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795424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EB7BD1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9CBD07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22EE886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653CD5F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sz w:val="21"/>
                      <w:szCs w:val="20"/>
                      <w:highlight w:val="none"/>
                    </w:rPr>
                    <w:t>300</w:t>
                  </w:r>
                </w:p>
              </w:tc>
              <w:tc>
                <w:tcPr>
                  <w:tcW w:w="1456" w:type="dxa"/>
                  <w:tcBorders>
                    <w:tl2br w:val="nil"/>
                    <w:tr2bl w:val="nil"/>
                  </w:tcBorders>
                  <w:shd w:val="clear" w:color="auto" w:fill="auto"/>
                  <w:vAlign w:val="center"/>
                </w:tcPr>
                <w:p w14:paraId="44BDBCD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0.0513</w:t>
                  </w:r>
                </w:p>
              </w:tc>
            </w:tr>
            <w:tr w14:paraId="2D4D5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09B04C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761D72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AFA7341">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D918F7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28403E8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position w:val="1"/>
                      <w:sz w:val="21"/>
                      <w:szCs w:val="20"/>
                      <w:highlight w:val="none"/>
                    </w:rPr>
                    <w:t>400</w:t>
                  </w:r>
                </w:p>
              </w:tc>
              <w:tc>
                <w:tcPr>
                  <w:tcW w:w="1456" w:type="dxa"/>
                  <w:tcBorders>
                    <w:tl2br w:val="nil"/>
                    <w:tr2bl w:val="nil"/>
                  </w:tcBorders>
                  <w:shd w:val="clear" w:color="auto" w:fill="auto"/>
                  <w:vAlign w:val="center"/>
                </w:tcPr>
                <w:p w14:paraId="041079E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0.0684</w:t>
                  </w:r>
                </w:p>
              </w:tc>
            </w:tr>
            <w:tr w14:paraId="1DD01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465C6F6B">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7C90DE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2E2BCF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BEC17B6">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宋体"/>
                      <w:color w:val="auto"/>
                      <w:kern w:val="2"/>
                      <w:sz w:val="21"/>
                      <w:szCs w:val="24"/>
                      <w:highlight w:val="none"/>
                      <w:lang w:val="en-US" w:eastAsia="zh-CN" w:bidi="ar-SA"/>
                    </w:rPr>
                  </w:pPr>
                  <w:r>
                    <w:rPr>
                      <w:rFonts w:ascii="Times New Roman" w:hAnsi="Times New Roman" w:eastAsia="宋体"/>
                      <w:color w:val="auto"/>
                      <w:spacing w:val="6"/>
                      <w:sz w:val="21"/>
                      <w:highlight w:val="none"/>
                    </w:rPr>
                    <w:t>石油类</w:t>
                  </w:r>
                </w:p>
              </w:tc>
              <w:tc>
                <w:tcPr>
                  <w:tcW w:w="1457" w:type="dxa"/>
                  <w:tcBorders>
                    <w:tl2br w:val="nil"/>
                    <w:tr2bl w:val="nil"/>
                  </w:tcBorders>
                  <w:shd w:val="clear" w:color="auto" w:fill="auto"/>
                  <w:vAlign w:val="center"/>
                </w:tcPr>
                <w:p w14:paraId="42092A0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140</w:t>
                  </w:r>
                </w:p>
              </w:tc>
              <w:tc>
                <w:tcPr>
                  <w:tcW w:w="1456" w:type="dxa"/>
                  <w:tcBorders>
                    <w:tl2br w:val="nil"/>
                    <w:tr2bl w:val="nil"/>
                  </w:tcBorders>
                  <w:shd w:val="clear" w:color="auto" w:fill="auto"/>
                  <w:vAlign w:val="center"/>
                </w:tcPr>
                <w:p w14:paraId="2E10AC0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0.0239</w:t>
                  </w:r>
                </w:p>
              </w:tc>
            </w:tr>
            <w:tr w14:paraId="63D0F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77A5C71B">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FBA9417">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77E85F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3ECF061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LAS</w:t>
                  </w:r>
                </w:p>
              </w:tc>
              <w:tc>
                <w:tcPr>
                  <w:tcW w:w="1457" w:type="dxa"/>
                  <w:tcBorders>
                    <w:tl2br w:val="nil"/>
                    <w:tr2bl w:val="nil"/>
                  </w:tcBorders>
                  <w:shd w:val="clear" w:color="auto" w:fill="auto"/>
                  <w:vAlign w:val="center"/>
                </w:tcPr>
                <w:p w14:paraId="4CA9A20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5</w:t>
                  </w:r>
                </w:p>
              </w:tc>
              <w:tc>
                <w:tcPr>
                  <w:tcW w:w="1456" w:type="dxa"/>
                  <w:tcBorders>
                    <w:tl2br w:val="nil"/>
                    <w:tr2bl w:val="nil"/>
                  </w:tcBorders>
                  <w:shd w:val="clear" w:color="auto" w:fill="auto"/>
                  <w:vAlign w:val="center"/>
                </w:tcPr>
                <w:p w14:paraId="6701CEB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0.0008</w:t>
                  </w:r>
                </w:p>
              </w:tc>
            </w:tr>
            <w:tr w14:paraId="3ED31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7BFE5112">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7"/>
                      <w:position w:val="2"/>
                      <w:sz w:val="21"/>
                      <w:highlight w:val="none"/>
                    </w:rPr>
                    <w:t>W</w:t>
                  </w:r>
                  <w:r>
                    <w:rPr>
                      <w:rFonts w:hint="eastAsia" w:ascii="Times New Roman" w:hAnsi="Times New Roman" w:eastAsia="宋体" w:cs="Times New Roman"/>
                      <w:color w:val="auto"/>
                      <w:spacing w:val="-7"/>
                      <w:position w:val="2"/>
                      <w:sz w:val="21"/>
                      <w:highlight w:val="none"/>
                      <w:lang w:val="en-US" w:eastAsia="zh-CN"/>
                    </w:rPr>
                    <w:t>4</w:t>
                  </w:r>
                  <w:r>
                    <w:rPr>
                      <w:rFonts w:ascii="Times New Roman" w:hAnsi="Times New Roman" w:eastAsia="宋体"/>
                      <w:color w:val="auto"/>
                      <w:spacing w:val="-7"/>
                      <w:position w:val="2"/>
                      <w:sz w:val="21"/>
                      <w:highlight w:val="none"/>
                    </w:rPr>
                    <w:t>、</w:t>
                  </w:r>
                  <w:r>
                    <w:rPr>
                      <w:rFonts w:ascii="Times New Roman" w:hAnsi="Times New Roman" w:eastAsia="宋体" w:cs="Times New Roman"/>
                      <w:color w:val="auto"/>
                      <w:spacing w:val="-7"/>
                      <w:position w:val="2"/>
                      <w:sz w:val="21"/>
                      <w:highlight w:val="none"/>
                    </w:rPr>
                    <w:t>W</w:t>
                  </w:r>
                  <w:r>
                    <w:rPr>
                      <w:rFonts w:hint="eastAsia" w:ascii="Times New Roman" w:hAnsi="Times New Roman" w:eastAsia="宋体" w:cs="Times New Roman"/>
                      <w:color w:val="auto"/>
                      <w:spacing w:val="-7"/>
                      <w:position w:val="2"/>
                      <w:sz w:val="21"/>
                      <w:highlight w:val="none"/>
                      <w:lang w:val="en-US" w:eastAsia="zh-CN"/>
                    </w:rPr>
                    <w:t>5</w:t>
                  </w:r>
                </w:p>
              </w:tc>
              <w:tc>
                <w:tcPr>
                  <w:tcW w:w="1453" w:type="dxa"/>
                  <w:vMerge w:val="restart"/>
                  <w:tcBorders>
                    <w:tl2br w:val="nil"/>
                    <w:tr2bl w:val="nil"/>
                  </w:tcBorders>
                  <w:shd w:val="clear" w:color="auto" w:fill="auto"/>
                  <w:vAlign w:val="center"/>
                </w:tcPr>
                <w:p w14:paraId="4DFB371D">
                  <w:pPr>
                    <w:pStyle w:val="115"/>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8"/>
                      <w:sz w:val="21"/>
                      <w:highlight w:val="none"/>
                    </w:rPr>
                    <w:t>硅烷后水洗废</w:t>
                  </w:r>
                  <w:r>
                    <w:rPr>
                      <w:rFonts w:ascii="Times New Roman" w:hAnsi="Times New Roman" w:eastAsia="宋体"/>
                      <w:color w:val="auto"/>
                      <w:sz w:val="21"/>
                      <w:highlight w:val="none"/>
                    </w:rPr>
                    <w:t>水</w:t>
                  </w:r>
                </w:p>
              </w:tc>
              <w:tc>
                <w:tcPr>
                  <w:tcW w:w="1453" w:type="dxa"/>
                  <w:vMerge w:val="restart"/>
                  <w:tcBorders>
                    <w:tl2br w:val="nil"/>
                    <w:tr2bl w:val="nil"/>
                  </w:tcBorders>
                  <w:shd w:val="clear" w:color="auto" w:fill="auto"/>
                  <w:vAlign w:val="center"/>
                </w:tcPr>
                <w:p w14:paraId="43B68A5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2"/>
                      <w:sz w:val="21"/>
                      <w:szCs w:val="20"/>
                      <w:highlight w:val="none"/>
                    </w:rPr>
                    <w:t>171</w:t>
                  </w:r>
                </w:p>
              </w:tc>
              <w:tc>
                <w:tcPr>
                  <w:tcW w:w="1470" w:type="dxa"/>
                  <w:tcBorders>
                    <w:tl2br w:val="nil"/>
                    <w:tr2bl w:val="nil"/>
                  </w:tcBorders>
                  <w:shd w:val="clear" w:color="auto" w:fill="auto"/>
                  <w:vAlign w:val="center"/>
                </w:tcPr>
                <w:p w14:paraId="156748DE">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52A652E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1"/>
                      <w:sz w:val="21"/>
                      <w:szCs w:val="20"/>
                      <w:highlight w:val="none"/>
                    </w:rPr>
                    <w:t>6~7</w:t>
                  </w:r>
                </w:p>
              </w:tc>
              <w:tc>
                <w:tcPr>
                  <w:tcW w:w="1456" w:type="dxa"/>
                  <w:tcBorders>
                    <w:tl2br w:val="nil"/>
                    <w:tr2bl w:val="nil"/>
                  </w:tcBorders>
                  <w:shd w:val="clear" w:color="auto" w:fill="auto"/>
                  <w:vAlign w:val="center"/>
                </w:tcPr>
                <w:p w14:paraId="54D2179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w:t>
                  </w:r>
                </w:p>
              </w:tc>
            </w:tr>
            <w:tr w14:paraId="411AA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C52771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4C9779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82810B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E698DE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671D71E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800</w:t>
                  </w:r>
                </w:p>
              </w:tc>
              <w:tc>
                <w:tcPr>
                  <w:tcW w:w="1456" w:type="dxa"/>
                  <w:tcBorders>
                    <w:tl2br w:val="nil"/>
                    <w:tr2bl w:val="nil"/>
                  </w:tcBorders>
                  <w:shd w:val="clear" w:color="auto" w:fill="auto"/>
                  <w:vAlign w:val="center"/>
                </w:tcPr>
                <w:p w14:paraId="0E07BC2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0.1368</w:t>
                  </w:r>
                </w:p>
              </w:tc>
            </w:tr>
            <w:tr w14:paraId="4D068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B6BC8F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8FDD48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2A1DAE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4162710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60D01C1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sz w:val="21"/>
                      <w:szCs w:val="20"/>
                      <w:highlight w:val="none"/>
                    </w:rPr>
                    <w:t>300</w:t>
                  </w:r>
                </w:p>
              </w:tc>
              <w:tc>
                <w:tcPr>
                  <w:tcW w:w="1456" w:type="dxa"/>
                  <w:tcBorders>
                    <w:tl2br w:val="nil"/>
                    <w:tr2bl w:val="nil"/>
                  </w:tcBorders>
                  <w:shd w:val="clear" w:color="auto" w:fill="auto"/>
                  <w:vAlign w:val="center"/>
                </w:tcPr>
                <w:p w14:paraId="5981C3B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0.0513</w:t>
                  </w:r>
                </w:p>
              </w:tc>
            </w:tr>
            <w:tr w14:paraId="16997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3F2A03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C4ECF1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9E63A3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D805C2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NH</w:t>
                  </w:r>
                  <w:r>
                    <w:rPr>
                      <w:rFonts w:ascii="Times New Roman" w:hAnsi="Times New Roman" w:eastAsia="宋体" w:cs="Times New Roman"/>
                      <w:color w:val="auto"/>
                      <w:spacing w:val="9"/>
                      <w:sz w:val="21"/>
                      <w:szCs w:val="13"/>
                      <w:highlight w:val="none"/>
                      <w:vertAlign w:val="subscript"/>
                    </w:rPr>
                    <w:t>3</w:t>
                  </w:r>
                  <w:r>
                    <w:rPr>
                      <w:rFonts w:ascii="Times New Roman" w:hAnsi="Times New Roman" w:eastAsia="宋体" w:cs="Times New Roman"/>
                      <w:color w:val="auto"/>
                      <w:spacing w:val="9"/>
                      <w:sz w:val="21"/>
                      <w:szCs w:val="20"/>
                      <w:highlight w:val="none"/>
                    </w:rPr>
                    <w:t>-N</w:t>
                  </w:r>
                </w:p>
              </w:tc>
              <w:tc>
                <w:tcPr>
                  <w:tcW w:w="1457" w:type="dxa"/>
                  <w:tcBorders>
                    <w:tl2br w:val="nil"/>
                    <w:tr2bl w:val="nil"/>
                  </w:tcBorders>
                  <w:shd w:val="clear" w:color="auto" w:fill="auto"/>
                  <w:vAlign w:val="center"/>
                </w:tcPr>
                <w:p w14:paraId="0F3EAF8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30</w:t>
                  </w:r>
                </w:p>
              </w:tc>
              <w:tc>
                <w:tcPr>
                  <w:tcW w:w="1456" w:type="dxa"/>
                  <w:tcBorders>
                    <w:tl2br w:val="nil"/>
                    <w:tr2bl w:val="nil"/>
                  </w:tcBorders>
                  <w:shd w:val="clear" w:color="auto" w:fill="auto"/>
                  <w:vAlign w:val="center"/>
                </w:tcPr>
                <w:p w14:paraId="4FE0BBB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0.00513</w:t>
                  </w:r>
                </w:p>
              </w:tc>
            </w:tr>
            <w:tr w14:paraId="667EE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6FEE791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2529840">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B17AC4D">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52C19E3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44BB609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400</w:t>
                  </w:r>
                </w:p>
              </w:tc>
              <w:tc>
                <w:tcPr>
                  <w:tcW w:w="1456" w:type="dxa"/>
                  <w:tcBorders>
                    <w:tl2br w:val="nil"/>
                    <w:tr2bl w:val="nil"/>
                  </w:tcBorders>
                  <w:shd w:val="clear" w:color="auto" w:fill="auto"/>
                  <w:vAlign w:val="center"/>
                </w:tcPr>
                <w:p w14:paraId="239F289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0.0684</w:t>
                  </w:r>
                </w:p>
              </w:tc>
            </w:tr>
            <w:tr w14:paraId="39E19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2B537D1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4AC086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9BC347B">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B8E9F0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sz w:val="21"/>
                      <w:szCs w:val="20"/>
                      <w:highlight w:val="none"/>
                    </w:rPr>
                    <w:t>TN</w:t>
                  </w:r>
                </w:p>
              </w:tc>
              <w:tc>
                <w:tcPr>
                  <w:tcW w:w="1457" w:type="dxa"/>
                  <w:tcBorders>
                    <w:tl2br w:val="nil"/>
                    <w:tr2bl w:val="nil"/>
                  </w:tcBorders>
                  <w:shd w:val="clear" w:color="auto" w:fill="auto"/>
                  <w:vAlign w:val="center"/>
                </w:tcPr>
                <w:p w14:paraId="2701975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50</w:t>
                  </w:r>
                </w:p>
              </w:tc>
              <w:tc>
                <w:tcPr>
                  <w:tcW w:w="1456" w:type="dxa"/>
                  <w:tcBorders>
                    <w:tl2br w:val="nil"/>
                    <w:tr2bl w:val="nil"/>
                  </w:tcBorders>
                  <w:shd w:val="clear" w:color="auto" w:fill="auto"/>
                  <w:vAlign w:val="center"/>
                </w:tcPr>
                <w:p w14:paraId="46E12A0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0.0085</w:t>
                  </w:r>
                </w:p>
              </w:tc>
            </w:tr>
            <w:tr w14:paraId="6B260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vAlign w:val="center"/>
                </w:tcPr>
                <w:p w14:paraId="509410F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14"/>
                      <w:position w:val="2"/>
                      <w:sz w:val="21"/>
                      <w:szCs w:val="20"/>
                      <w:highlight w:val="none"/>
                    </w:rPr>
                    <w:t>W</w:t>
                  </w:r>
                  <w:r>
                    <w:rPr>
                      <w:rFonts w:hint="eastAsia" w:ascii="Times New Roman" w:hAnsi="Times New Roman" w:eastAsia="宋体" w:cs="Times New Roman"/>
                      <w:color w:val="auto"/>
                      <w:spacing w:val="14"/>
                      <w:position w:val="2"/>
                      <w:sz w:val="21"/>
                      <w:szCs w:val="20"/>
                      <w:highlight w:val="none"/>
                      <w:lang w:val="en-US" w:eastAsia="zh-CN"/>
                    </w:rPr>
                    <w:t>6</w:t>
                  </w:r>
                </w:p>
              </w:tc>
              <w:tc>
                <w:tcPr>
                  <w:tcW w:w="1453" w:type="dxa"/>
                  <w:vMerge w:val="restart"/>
                  <w:tcBorders>
                    <w:tl2br w:val="nil"/>
                    <w:tr2bl w:val="nil"/>
                  </w:tcBorders>
                  <w:vAlign w:val="center"/>
                </w:tcPr>
                <w:p w14:paraId="7665831C">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hint="eastAsia" w:ascii="Times New Roman" w:hAnsi="Times New Roman" w:eastAsia="宋体"/>
                      <w:color w:val="auto"/>
                      <w:spacing w:val="6"/>
                      <w:sz w:val="21"/>
                      <w:highlight w:val="none"/>
                      <w:lang w:val="en-US" w:eastAsia="zh-CN"/>
                    </w:rPr>
                    <w:t>纯</w:t>
                  </w:r>
                  <w:r>
                    <w:rPr>
                      <w:rFonts w:ascii="Times New Roman" w:hAnsi="Times New Roman" w:eastAsia="宋体"/>
                      <w:color w:val="auto"/>
                      <w:spacing w:val="6"/>
                      <w:sz w:val="21"/>
                      <w:highlight w:val="none"/>
                    </w:rPr>
                    <w:t>水洗</w:t>
                  </w:r>
                  <w:r>
                    <w:rPr>
                      <w:rFonts w:hint="eastAsia" w:ascii="Times New Roman" w:hAnsi="Times New Roman"/>
                      <w:color w:val="auto"/>
                      <w:spacing w:val="6"/>
                      <w:sz w:val="21"/>
                      <w:highlight w:val="none"/>
                      <w:lang w:val="en-US" w:eastAsia="zh-CN"/>
                    </w:rPr>
                    <w:t>2</w:t>
                  </w:r>
                  <w:r>
                    <w:rPr>
                      <w:rFonts w:ascii="Times New Roman" w:hAnsi="Times New Roman" w:eastAsia="宋体"/>
                      <w:color w:val="auto"/>
                      <w:spacing w:val="6"/>
                      <w:sz w:val="21"/>
                      <w:highlight w:val="none"/>
                    </w:rPr>
                    <w:t>废水</w:t>
                  </w:r>
                </w:p>
              </w:tc>
              <w:tc>
                <w:tcPr>
                  <w:tcW w:w="1453" w:type="dxa"/>
                  <w:vMerge w:val="restart"/>
                  <w:tcBorders>
                    <w:tl2br w:val="nil"/>
                    <w:tr2bl w:val="nil"/>
                  </w:tcBorders>
                  <w:vAlign w:val="center"/>
                </w:tcPr>
                <w:p w14:paraId="6529EBC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7"/>
                      <w:position w:val="1"/>
                      <w:sz w:val="21"/>
                      <w:szCs w:val="20"/>
                      <w:highlight w:val="none"/>
                    </w:rPr>
                    <w:t>111</w:t>
                  </w:r>
                </w:p>
              </w:tc>
              <w:tc>
                <w:tcPr>
                  <w:tcW w:w="1470" w:type="dxa"/>
                  <w:tcBorders>
                    <w:tl2br w:val="nil"/>
                    <w:tr2bl w:val="nil"/>
                  </w:tcBorders>
                  <w:shd w:val="clear" w:color="auto" w:fill="auto"/>
                  <w:vAlign w:val="center"/>
                </w:tcPr>
                <w:p w14:paraId="533520CB">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79A6803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1"/>
                      <w:position w:val="1"/>
                      <w:sz w:val="21"/>
                      <w:szCs w:val="20"/>
                      <w:highlight w:val="none"/>
                    </w:rPr>
                    <w:t>6~9</w:t>
                  </w:r>
                </w:p>
              </w:tc>
              <w:tc>
                <w:tcPr>
                  <w:tcW w:w="1456" w:type="dxa"/>
                  <w:tcBorders>
                    <w:tl2br w:val="nil"/>
                    <w:tr2bl w:val="nil"/>
                  </w:tcBorders>
                  <w:shd w:val="clear" w:color="auto" w:fill="auto"/>
                  <w:vAlign w:val="center"/>
                </w:tcPr>
                <w:p w14:paraId="2BCF24F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1"/>
                      <w:position w:val="-2"/>
                      <w:sz w:val="21"/>
                      <w:szCs w:val="20"/>
                      <w:highlight w:val="none"/>
                    </w:rPr>
                    <w:t>-----</w:t>
                  </w:r>
                </w:p>
              </w:tc>
            </w:tr>
            <w:tr w14:paraId="1393E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3A0477E7">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76A3B547">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18B4656">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425BB43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723249C3">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4"/>
                      <w:sz w:val="21"/>
                      <w:szCs w:val="20"/>
                      <w:highlight w:val="none"/>
                    </w:rPr>
                    <w:t>450</w:t>
                  </w:r>
                </w:p>
              </w:tc>
              <w:tc>
                <w:tcPr>
                  <w:tcW w:w="1456" w:type="dxa"/>
                  <w:tcBorders>
                    <w:tl2br w:val="nil"/>
                    <w:tr2bl w:val="nil"/>
                  </w:tcBorders>
                  <w:shd w:val="clear" w:color="auto" w:fill="auto"/>
                  <w:vAlign w:val="center"/>
                </w:tcPr>
                <w:p w14:paraId="403E0A3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sz w:val="21"/>
                      <w:szCs w:val="20"/>
                      <w:highlight w:val="none"/>
                    </w:rPr>
                    <w:t>0.0499</w:t>
                  </w:r>
                </w:p>
              </w:tc>
            </w:tr>
            <w:tr w14:paraId="6CB39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71C7B5B4">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CA7E592">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98FE6BD">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36E5587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75F7715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2"/>
                      <w:sz w:val="21"/>
                      <w:szCs w:val="20"/>
                      <w:highlight w:val="none"/>
                    </w:rPr>
                    <w:t>200</w:t>
                  </w:r>
                </w:p>
              </w:tc>
              <w:tc>
                <w:tcPr>
                  <w:tcW w:w="1456" w:type="dxa"/>
                  <w:tcBorders>
                    <w:tl2br w:val="nil"/>
                    <w:tr2bl w:val="nil"/>
                  </w:tcBorders>
                  <w:shd w:val="clear" w:color="auto" w:fill="auto"/>
                  <w:vAlign w:val="center"/>
                </w:tcPr>
                <w:p w14:paraId="67F4B0F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sz w:val="21"/>
                      <w:szCs w:val="20"/>
                      <w:highlight w:val="none"/>
                    </w:rPr>
                    <w:t>0.0222</w:t>
                  </w:r>
                </w:p>
              </w:tc>
            </w:tr>
            <w:tr w14:paraId="08B3A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2588D98">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58172BB">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AD2450D">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147FB3D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13B8E5E1">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position w:val="1"/>
                      <w:sz w:val="21"/>
                      <w:szCs w:val="20"/>
                      <w:highlight w:val="none"/>
                    </w:rPr>
                    <w:t>800</w:t>
                  </w:r>
                </w:p>
              </w:tc>
              <w:tc>
                <w:tcPr>
                  <w:tcW w:w="1456" w:type="dxa"/>
                  <w:tcBorders>
                    <w:tl2br w:val="nil"/>
                    <w:tr2bl w:val="nil"/>
                  </w:tcBorders>
                  <w:shd w:val="clear" w:color="auto" w:fill="auto"/>
                  <w:vAlign w:val="center"/>
                </w:tcPr>
                <w:p w14:paraId="55755C2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position w:val="1"/>
                      <w:sz w:val="21"/>
                      <w:szCs w:val="20"/>
                      <w:highlight w:val="none"/>
                    </w:rPr>
                    <w:t>0.0888</w:t>
                  </w:r>
                </w:p>
              </w:tc>
            </w:tr>
            <w:tr w14:paraId="44BF5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39A1C1FF">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0FAC17C">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A8F4421">
                  <w:pPr>
                    <w:pStyle w:val="46"/>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533858E">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olor w:val="auto"/>
                      <w:spacing w:val="6"/>
                      <w:sz w:val="21"/>
                      <w:highlight w:val="none"/>
                    </w:rPr>
                  </w:pPr>
                  <w:r>
                    <w:rPr>
                      <w:rFonts w:ascii="Times New Roman" w:hAnsi="Times New Roman" w:eastAsia="宋体"/>
                      <w:color w:val="auto"/>
                      <w:spacing w:val="6"/>
                      <w:sz w:val="21"/>
                      <w:highlight w:val="none"/>
                    </w:rPr>
                    <w:t>石油类</w:t>
                  </w:r>
                </w:p>
              </w:tc>
              <w:tc>
                <w:tcPr>
                  <w:tcW w:w="1457" w:type="dxa"/>
                  <w:tcBorders>
                    <w:tl2br w:val="nil"/>
                    <w:tr2bl w:val="nil"/>
                  </w:tcBorders>
                  <w:shd w:val="clear" w:color="auto" w:fill="auto"/>
                  <w:vAlign w:val="center"/>
                </w:tcPr>
                <w:p w14:paraId="2D58132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position w:val="1"/>
                      <w:sz w:val="21"/>
                      <w:szCs w:val="20"/>
                      <w:highlight w:val="none"/>
                    </w:rPr>
                    <w:t>180</w:t>
                  </w:r>
                </w:p>
              </w:tc>
              <w:tc>
                <w:tcPr>
                  <w:tcW w:w="1456" w:type="dxa"/>
                  <w:tcBorders>
                    <w:tl2br w:val="nil"/>
                    <w:tr2bl w:val="nil"/>
                  </w:tcBorders>
                  <w:shd w:val="clear" w:color="auto" w:fill="auto"/>
                  <w:vAlign w:val="center"/>
                </w:tcPr>
                <w:p w14:paraId="322DB55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3"/>
                      <w:position w:val="1"/>
                      <w:sz w:val="21"/>
                      <w:szCs w:val="20"/>
                      <w:highlight w:val="none"/>
                    </w:rPr>
                  </w:pPr>
                  <w:r>
                    <w:rPr>
                      <w:rFonts w:ascii="Times New Roman" w:hAnsi="Times New Roman" w:eastAsia="宋体" w:cs="Times New Roman"/>
                      <w:color w:val="auto"/>
                      <w:spacing w:val="3"/>
                      <w:position w:val="1"/>
                      <w:sz w:val="21"/>
                      <w:szCs w:val="20"/>
                      <w:highlight w:val="none"/>
                    </w:rPr>
                    <w:t>0.0199</w:t>
                  </w:r>
                </w:p>
              </w:tc>
            </w:tr>
            <w:tr w14:paraId="5EAC6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1E89A8D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6"/>
                      <w:sz w:val="21"/>
                      <w:szCs w:val="20"/>
                      <w:highlight w:val="none"/>
                    </w:rPr>
                    <w:t>W7</w:t>
                  </w:r>
                </w:p>
              </w:tc>
              <w:tc>
                <w:tcPr>
                  <w:tcW w:w="1453" w:type="dxa"/>
                  <w:vMerge w:val="restart"/>
                  <w:tcBorders>
                    <w:tl2br w:val="nil"/>
                    <w:tr2bl w:val="nil"/>
                  </w:tcBorders>
                  <w:shd w:val="clear" w:color="auto" w:fill="auto"/>
                  <w:vAlign w:val="center"/>
                </w:tcPr>
                <w:p w14:paraId="555CD3BC">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7"/>
                      <w:sz w:val="21"/>
                      <w:highlight w:val="none"/>
                    </w:rPr>
                    <w:t>纯水制备尾水</w:t>
                  </w:r>
                </w:p>
              </w:tc>
              <w:tc>
                <w:tcPr>
                  <w:tcW w:w="1453" w:type="dxa"/>
                  <w:vMerge w:val="restart"/>
                  <w:tcBorders>
                    <w:tl2br w:val="nil"/>
                    <w:tr2bl w:val="nil"/>
                  </w:tcBorders>
                  <w:shd w:val="clear" w:color="auto" w:fill="auto"/>
                  <w:vAlign w:val="center"/>
                </w:tcPr>
                <w:p w14:paraId="450DE6C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8"/>
                      <w:position w:val="2"/>
                      <w:sz w:val="21"/>
                      <w:szCs w:val="20"/>
                      <w:highlight w:val="none"/>
                    </w:rPr>
                    <w:t>18</w:t>
                  </w:r>
                </w:p>
              </w:tc>
              <w:tc>
                <w:tcPr>
                  <w:tcW w:w="1470" w:type="dxa"/>
                  <w:tcBorders>
                    <w:tl2br w:val="nil"/>
                    <w:tr2bl w:val="nil"/>
                  </w:tcBorders>
                  <w:shd w:val="clear" w:color="auto" w:fill="auto"/>
                  <w:vAlign w:val="center"/>
                </w:tcPr>
                <w:p w14:paraId="3A134CD6">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114414B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1"/>
                      <w:sz w:val="21"/>
                      <w:szCs w:val="20"/>
                      <w:highlight w:val="none"/>
                    </w:rPr>
                    <w:t>6~9</w:t>
                  </w:r>
                </w:p>
              </w:tc>
              <w:tc>
                <w:tcPr>
                  <w:tcW w:w="1456" w:type="dxa"/>
                  <w:tcBorders>
                    <w:tl2br w:val="nil"/>
                    <w:tr2bl w:val="nil"/>
                  </w:tcBorders>
                  <w:shd w:val="clear" w:color="auto" w:fill="auto"/>
                  <w:vAlign w:val="center"/>
                </w:tcPr>
                <w:p w14:paraId="325E2B7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w:t>
                  </w:r>
                </w:p>
              </w:tc>
            </w:tr>
            <w:tr w14:paraId="69157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5811EA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B583DD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508B8B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7DDAE4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3"/>
                      <w:sz w:val="21"/>
                      <w:szCs w:val="20"/>
                      <w:highlight w:val="none"/>
                    </w:rPr>
                    <w:t>COD</w:t>
                  </w:r>
                  <w:r>
                    <w:rPr>
                      <w:rFonts w:ascii="Times New Roman" w:hAnsi="Times New Roman" w:eastAsia="宋体" w:cs="Times New Roman"/>
                      <w:color w:val="auto"/>
                      <w:spacing w:val="3"/>
                      <w:position w:val="-1"/>
                      <w:sz w:val="21"/>
                      <w:szCs w:val="13"/>
                      <w:highlight w:val="none"/>
                    </w:rPr>
                    <w:t>cr</w:t>
                  </w:r>
                </w:p>
              </w:tc>
              <w:tc>
                <w:tcPr>
                  <w:tcW w:w="1457" w:type="dxa"/>
                  <w:tcBorders>
                    <w:tl2br w:val="nil"/>
                    <w:tr2bl w:val="nil"/>
                  </w:tcBorders>
                  <w:shd w:val="clear" w:color="auto" w:fill="auto"/>
                  <w:vAlign w:val="center"/>
                </w:tcPr>
                <w:p w14:paraId="082835C2">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150</w:t>
                  </w:r>
                </w:p>
              </w:tc>
              <w:tc>
                <w:tcPr>
                  <w:tcW w:w="1456" w:type="dxa"/>
                  <w:tcBorders>
                    <w:tl2br w:val="nil"/>
                    <w:tr2bl w:val="nil"/>
                  </w:tcBorders>
                  <w:shd w:val="clear" w:color="auto" w:fill="auto"/>
                  <w:vAlign w:val="center"/>
                </w:tcPr>
                <w:p w14:paraId="53863E6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0.0027</w:t>
                  </w:r>
                </w:p>
              </w:tc>
            </w:tr>
            <w:tr w14:paraId="5FAF9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8E3AD3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169726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8FF51B1">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8A7305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0C80A43A">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100</w:t>
                  </w:r>
                </w:p>
              </w:tc>
              <w:tc>
                <w:tcPr>
                  <w:tcW w:w="1456" w:type="dxa"/>
                  <w:tcBorders>
                    <w:tl2br w:val="nil"/>
                    <w:tr2bl w:val="nil"/>
                  </w:tcBorders>
                  <w:shd w:val="clear" w:color="auto" w:fill="auto"/>
                  <w:vAlign w:val="center"/>
                </w:tcPr>
                <w:p w14:paraId="478FA0C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0.0018</w:t>
                  </w:r>
                </w:p>
              </w:tc>
            </w:tr>
            <w:tr w14:paraId="24B47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shd w:val="clear" w:color="auto" w:fill="auto"/>
                  <w:vAlign w:val="center"/>
                </w:tcPr>
                <w:p w14:paraId="6A2BF9D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s="Times New Roman"/>
                      <w:color w:val="auto"/>
                      <w:spacing w:val="4"/>
                      <w:position w:val="2"/>
                      <w:sz w:val="21"/>
                      <w:szCs w:val="20"/>
                      <w:highlight w:val="none"/>
                    </w:rPr>
                    <w:t>W8</w:t>
                  </w:r>
                </w:p>
              </w:tc>
              <w:tc>
                <w:tcPr>
                  <w:tcW w:w="1453" w:type="dxa"/>
                  <w:vMerge w:val="restart"/>
                  <w:tcBorders>
                    <w:tl2br w:val="nil"/>
                    <w:tr2bl w:val="nil"/>
                  </w:tcBorders>
                  <w:shd w:val="clear" w:color="auto" w:fill="auto"/>
                  <w:vAlign w:val="center"/>
                </w:tcPr>
                <w:p w14:paraId="703334CD">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z w:val="21"/>
                      <w:highlight w:val="none"/>
                      <w:vertAlign w:val="baseline"/>
                      <w:lang w:val="en-US" w:eastAsia="zh-CN"/>
                    </w:rPr>
                  </w:pPr>
                  <w:r>
                    <w:rPr>
                      <w:rFonts w:ascii="Times New Roman" w:hAnsi="Times New Roman" w:eastAsia="宋体"/>
                      <w:color w:val="auto"/>
                      <w:spacing w:val="6"/>
                      <w:sz w:val="21"/>
                      <w:highlight w:val="none"/>
                    </w:rPr>
                    <w:t>生活污水</w:t>
                  </w:r>
                </w:p>
              </w:tc>
              <w:tc>
                <w:tcPr>
                  <w:tcW w:w="1453" w:type="dxa"/>
                  <w:vMerge w:val="restart"/>
                  <w:tcBorders>
                    <w:tl2br w:val="nil"/>
                    <w:tr2bl w:val="nil"/>
                  </w:tcBorders>
                  <w:shd w:val="clear" w:color="auto" w:fill="auto"/>
                  <w:vAlign w:val="center"/>
                </w:tcPr>
                <w:p w14:paraId="33CE250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olor w:val="auto"/>
                      <w:sz w:val="21"/>
                      <w:highlight w:val="none"/>
                      <w:vertAlign w:val="baseline"/>
                      <w:lang w:val="en-US" w:eastAsia="zh-CN"/>
                    </w:rPr>
                  </w:pPr>
                  <w:r>
                    <w:rPr>
                      <w:rFonts w:hint="eastAsia" w:ascii="Times New Roman" w:hAnsi="Times New Roman" w:eastAsia="宋体" w:cs="Times New Roman"/>
                      <w:color w:val="auto"/>
                      <w:spacing w:val="1"/>
                      <w:position w:val="2"/>
                      <w:sz w:val="21"/>
                      <w:szCs w:val="20"/>
                      <w:highlight w:val="none"/>
                      <w:lang w:val="en-US" w:eastAsia="zh-CN"/>
                    </w:rPr>
                    <w:t>360</w:t>
                  </w:r>
                </w:p>
              </w:tc>
              <w:tc>
                <w:tcPr>
                  <w:tcW w:w="1470" w:type="dxa"/>
                  <w:tcBorders>
                    <w:tl2br w:val="nil"/>
                    <w:tr2bl w:val="nil"/>
                  </w:tcBorders>
                  <w:shd w:val="clear" w:color="auto" w:fill="auto"/>
                  <w:vAlign w:val="center"/>
                </w:tcPr>
                <w:p w14:paraId="0687964B">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073DDE5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1"/>
                      <w:sz w:val="21"/>
                      <w:szCs w:val="20"/>
                      <w:highlight w:val="none"/>
                    </w:rPr>
                    <w:t>6~9</w:t>
                  </w:r>
                </w:p>
              </w:tc>
              <w:tc>
                <w:tcPr>
                  <w:tcW w:w="1456" w:type="dxa"/>
                  <w:tcBorders>
                    <w:tl2br w:val="nil"/>
                    <w:tr2bl w:val="nil"/>
                  </w:tcBorders>
                  <w:shd w:val="clear" w:color="auto" w:fill="auto"/>
                  <w:vAlign w:val="center"/>
                </w:tcPr>
                <w:p w14:paraId="7CE6E62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highlight w:val="none"/>
                    </w:rPr>
                    <w:t>-----</w:t>
                  </w:r>
                </w:p>
              </w:tc>
            </w:tr>
            <w:tr w14:paraId="1EFC0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022F96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B93FA3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90CC98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121D758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CODcr</w:t>
                  </w:r>
                </w:p>
              </w:tc>
              <w:tc>
                <w:tcPr>
                  <w:tcW w:w="1457" w:type="dxa"/>
                  <w:tcBorders>
                    <w:tl2br w:val="nil"/>
                    <w:tr2bl w:val="nil"/>
                  </w:tcBorders>
                  <w:shd w:val="clear" w:color="auto" w:fill="auto"/>
                  <w:vAlign w:val="center"/>
                </w:tcPr>
                <w:p w14:paraId="625B2DF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position w:val="2"/>
                      <w:sz w:val="21"/>
                      <w:szCs w:val="20"/>
                      <w:highlight w:val="none"/>
                    </w:rPr>
                    <w:t>300</w:t>
                  </w:r>
                </w:p>
              </w:tc>
              <w:tc>
                <w:tcPr>
                  <w:tcW w:w="1456" w:type="dxa"/>
                  <w:tcBorders>
                    <w:tl2br w:val="nil"/>
                    <w:tr2bl w:val="nil"/>
                  </w:tcBorders>
                  <w:shd w:val="clear" w:color="auto" w:fill="auto"/>
                  <w:vAlign w:val="center"/>
                </w:tcPr>
                <w:p w14:paraId="1D4B36F7">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highlight w:val="none"/>
                      <w:lang w:val="en-US" w:eastAsia="zh-CN"/>
                    </w:rPr>
                    <w:t>0.108</w:t>
                  </w:r>
                </w:p>
              </w:tc>
            </w:tr>
            <w:tr w14:paraId="0885F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AD40B5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6373ADF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C6B6084">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B795C2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297E117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position w:val="1"/>
                      <w:sz w:val="21"/>
                      <w:szCs w:val="20"/>
                      <w:highlight w:val="none"/>
                    </w:rPr>
                    <w:t>150</w:t>
                  </w:r>
                </w:p>
              </w:tc>
              <w:tc>
                <w:tcPr>
                  <w:tcW w:w="1456" w:type="dxa"/>
                  <w:tcBorders>
                    <w:tl2br w:val="nil"/>
                    <w:tr2bl w:val="nil"/>
                  </w:tcBorders>
                  <w:shd w:val="clear" w:color="auto" w:fill="auto"/>
                  <w:vAlign w:val="center"/>
                </w:tcPr>
                <w:p w14:paraId="4FB03ED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highlight w:val="none"/>
                      <w:lang w:val="en-US" w:eastAsia="zh-CN"/>
                    </w:rPr>
                    <w:t>0.054</w:t>
                  </w:r>
                </w:p>
              </w:tc>
            </w:tr>
            <w:tr w14:paraId="00D94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041C805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1C2D21B">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9DE010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1431A49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NH</w:t>
                  </w:r>
                  <w:r>
                    <w:rPr>
                      <w:rFonts w:ascii="Times New Roman" w:hAnsi="Times New Roman" w:eastAsia="宋体" w:cs="Times New Roman"/>
                      <w:color w:val="auto"/>
                      <w:spacing w:val="9"/>
                      <w:sz w:val="21"/>
                      <w:szCs w:val="13"/>
                      <w:highlight w:val="none"/>
                      <w:vertAlign w:val="subscript"/>
                    </w:rPr>
                    <w:t>3</w:t>
                  </w:r>
                  <w:r>
                    <w:rPr>
                      <w:rFonts w:ascii="Times New Roman" w:hAnsi="Times New Roman" w:eastAsia="宋体" w:cs="Times New Roman"/>
                      <w:color w:val="auto"/>
                      <w:spacing w:val="9"/>
                      <w:sz w:val="21"/>
                      <w:szCs w:val="20"/>
                      <w:highlight w:val="none"/>
                    </w:rPr>
                    <w:t>-N</w:t>
                  </w:r>
                </w:p>
              </w:tc>
              <w:tc>
                <w:tcPr>
                  <w:tcW w:w="1457" w:type="dxa"/>
                  <w:tcBorders>
                    <w:tl2br w:val="nil"/>
                    <w:tr2bl w:val="nil"/>
                  </w:tcBorders>
                  <w:shd w:val="clear" w:color="auto" w:fill="auto"/>
                  <w:vAlign w:val="center"/>
                </w:tcPr>
                <w:p w14:paraId="1314AF0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1"/>
                      <w:sz w:val="21"/>
                      <w:szCs w:val="20"/>
                      <w:highlight w:val="none"/>
                    </w:rPr>
                    <w:t>25</w:t>
                  </w:r>
                </w:p>
              </w:tc>
              <w:tc>
                <w:tcPr>
                  <w:tcW w:w="1456" w:type="dxa"/>
                  <w:tcBorders>
                    <w:tl2br w:val="nil"/>
                    <w:tr2bl w:val="nil"/>
                  </w:tcBorders>
                  <w:shd w:val="clear" w:color="auto" w:fill="auto"/>
                  <w:vAlign w:val="center"/>
                </w:tcPr>
                <w:p w14:paraId="31768E93">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highlight w:val="none"/>
                      <w:lang w:val="en-US" w:eastAsia="zh-CN"/>
                    </w:rPr>
                    <w:t>0.009</w:t>
                  </w:r>
                </w:p>
              </w:tc>
            </w:tr>
            <w:tr w14:paraId="3FB51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0FA2D9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FCB842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DA73DE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5E857AF5">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7386537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position w:val="1"/>
                      <w:sz w:val="21"/>
                      <w:szCs w:val="20"/>
                      <w:highlight w:val="none"/>
                    </w:rPr>
                    <w:t>200</w:t>
                  </w:r>
                </w:p>
              </w:tc>
              <w:tc>
                <w:tcPr>
                  <w:tcW w:w="1456" w:type="dxa"/>
                  <w:tcBorders>
                    <w:tl2br w:val="nil"/>
                    <w:tr2bl w:val="nil"/>
                  </w:tcBorders>
                  <w:shd w:val="clear" w:color="auto" w:fill="auto"/>
                  <w:vAlign w:val="center"/>
                </w:tcPr>
                <w:p w14:paraId="7C352262">
                  <w:pPr>
                    <w:pStyle w:val="98"/>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color w:val="auto"/>
                      <w:kern w:val="2"/>
                      <w:sz w:val="21"/>
                      <w:szCs w:val="20"/>
                      <w:highlight w:val="none"/>
                      <w:lang w:val="en-US" w:eastAsia="zh-CN" w:bidi="ar-SA"/>
                    </w:rPr>
                  </w:pPr>
                  <w:r>
                    <w:rPr>
                      <w:rFonts w:hint="eastAsia" w:ascii="Times New Roman" w:hAnsi="Times New Roman" w:cs="Times New Roman"/>
                      <w:color w:val="auto"/>
                      <w:sz w:val="21"/>
                      <w:highlight w:val="none"/>
                      <w:lang w:val="en-US" w:eastAsia="zh-CN"/>
                    </w:rPr>
                    <w:t>0.072</w:t>
                  </w:r>
                </w:p>
              </w:tc>
            </w:tr>
            <w:tr w14:paraId="39CF7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22DE441F">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1FD16B2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416F011E">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37AFD06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sz w:val="21"/>
                      <w:szCs w:val="20"/>
                      <w:highlight w:val="none"/>
                    </w:rPr>
                    <w:t>TN</w:t>
                  </w:r>
                </w:p>
              </w:tc>
              <w:tc>
                <w:tcPr>
                  <w:tcW w:w="1457" w:type="dxa"/>
                  <w:tcBorders>
                    <w:tl2br w:val="nil"/>
                    <w:tr2bl w:val="nil"/>
                  </w:tcBorders>
                  <w:shd w:val="clear" w:color="auto" w:fill="auto"/>
                  <w:vAlign w:val="center"/>
                </w:tcPr>
                <w:p w14:paraId="1634439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2"/>
                      <w:position w:val="1"/>
                      <w:sz w:val="21"/>
                      <w:szCs w:val="20"/>
                      <w:highlight w:val="none"/>
                    </w:rPr>
                    <w:t>40</w:t>
                  </w:r>
                </w:p>
              </w:tc>
              <w:tc>
                <w:tcPr>
                  <w:tcW w:w="1456" w:type="dxa"/>
                  <w:tcBorders>
                    <w:tl2br w:val="nil"/>
                    <w:tr2bl w:val="nil"/>
                  </w:tcBorders>
                  <w:shd w:val="clear" w:color="auto" w:fill="auto"/>
                  <w:vAlign w:val="center"/>
                </w:tcPr>
                <w:p w14:paraId="5132141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3"/>
                      <w:position w:val="1"/>
                      <w:sz w:val="21"/>
                      <w:szCs w:val="20"/>
                      <w:highlight w:val="none"/>
                      <w:lang w:val="en-US" w:eastAsia="zh-CN"/>
                    </w:rPr>
                    <w:t>0.0144</w:t>
                  </w:r>
                </w:p>
              </w:tc>
            </w:tr>
            <w:tr w14:paraId="5D074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tcBorders>
                    <w:tl2br w:val="nil"/>
                    <w:tr2bl w:val="nil"/>
                  </w:tcBorders>
                  <w:vAlign w:val="center"/>
                </w:tcPr>
                <w:p w14:paraId="07AFA08F">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olor w:val="auto"/>
                      <w:spacing w:val="6"/>
                      <w:sz w:val="21"/>
                      <w:highlight w:val="none"/>
                      <w:lang w:val="en-US" w:eastAsia="zh-CN"/>
                    </w:rPr>
                  </w:pPr>
                  <w:r>
                    <w:rPr>
                      <w:rFonts w:hint="eastAsia" w:ascii="Times New Roman" w:hAnsi="Times New Roman" w:eastAsia="宋体"/>
                      <w:color w:val="auto"/>
                      <w:spacing w:val="6"/>
                      <w:sz w:val="21"/>
                      <w:highlight w:val="none"/>
                      <w:lang w:val="en-US" w:eastAsia="zh-CN"/>
                    </w:rPr>
                    <w:t>W9</w:t>
                  </w:r>
                </w:p>
              </w:tc>
              <w:tc>
                <w:tcPr>
                  <w:tcW w:w="1453" w:type="dxa"/>
                  <w:vMerge w:val="restart"/>
                  <w:tcBorders>
                    <w:tl2br w:val="nil"/>
                    <w:tr2bl w:val="nil"/>
                  </w:tcBorders>
                  <w:vAlign w:val="center"/>
                </w:tcPr>
                <w:p w14:paraId="5EE4FB0A">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olor w:val="auto"/>
                      <w:spacing w:val="6"/>
                      <w:sz w:val="21"/>
                      <w:highlight w:val="none"/>
                      <w:lang w:val="en-US" w:eastAsia="zh-CN"/>
                    </w:rPr>
                  </w:pPr>
                  <w:r>
                    <w:rPr>
                      <w:rFonts w:hint="eastAsia" w:ascii="Times New Roman" w:hAnsi="Times New Roman" w:eastAsia="宋体"/>
                      <w:color w:val="auto"/>
                      <w:spacing w:val="6"/>
                      <w:sz w:val="21"/>
                      <w:highlight w:val="none"/>
                      <w:lang w:val="en-US" w:eastAsia="zh-CN"/>
                    </w:rPr>
                    <w:t>水帘喷漆废水</w:t>
                  </w:r>
                </w:p>
              </w:tc>
              <w:tc>
                <w:tcPr>
                  <w:tcW w:w="1453" w:type="dxa"/>
                  <w:vMerge w:val="restart"/>
                  <w:tcBorders>
                    <w:tl2br w:val="nil"/>
                    <w:tr2bl w:val="nil"/>
                  </w:tcBorders>
                  <w:vAlign w:val="center"/>
                </w:tcPr>
                <w:p w14:paraId="0AB88D5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default" w:ascii="Times New Roman" w:hAnsi="Times New Roman" w:eastAsia="宋体"/>
                      <w:color w:val="auto"/>
                      <w:sz w:val="21"/>
                      <w:highlight w:val="none"/>
                      <w:vertAlign w:val="baseline"/>
                      <w:lang w:val="en-US" w:eastAsia="zh-CN"/>
                    </w:rPr>
                  </w:pPr>
                  <w:r>
                    <w:rPr>
                      <w:rFonts w:hint="eastAsia"/>
                      <w:color w:val="auto"/>
                      <w:sz w:val="21"/>
                      <w:highlight w:val="none"/>
                      <w:vertAlign w:val="baseline"/>
                      <w:lang w:val="en-US" w:eastAsia="zh-CN"/>
                    </w:rPr>
                    <w:t>270</w:t>
                  </w:r>
                </w:p>
              </w:tc>
              <w:tc>
                <w:tcPr>
                  <w:tcW w:w="1470" w:type="dxa"/>
                  <w:tcBorders>
                    <w:tl2br w:val="nil"/>
                    <w:tr2bl w:val="nil"/>
                  </w:tcBorders>
                  <w:shd w:val="clear" w:color="auto" w:fill="auto"/>
                  <w:vAlign w:val="center"/>
                </w:tcPr>
                <w:p w14:paraId="3CE3A8DA">
                  <w:pPr>
                    <w:pStyle w:val="115"/>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Times New Roman"/>
                      <w:color w:val="auto"/>
                      <w:sz w:val="21"/>
                      <w:highlight w:val="none"/>
                    </w:rPr>
                    <w:t>pH</w:t>
                  </w:r>
                  <w:r>
                    <w:rPr>
                      <w:rFonts w:hint="eastAsia" w:ascii="Times New Roman" w:hAnsi="Times New Roman" w:cs="Times New Roman"/>
                      <w:color w:val="auto"/>
                      <w:sz w:val="21"/>
                      <w:highlight w:val="none"/>
                      <w:lang w:eastAsia="zh-CN"/>
                    </w:rPr>
                    <w:t>（</w:t>
                  </w:r>
                  <w:r>
                    <w:rPr>
                      <w:rFonts w:ascii="Times New Roman" w:hAnsi="Times New Roman" w:eastAsia="宋体"/>
                      <w:color w:val="auto"/>
                      <w:spacing w:val="9"/>
                      <w:sz w:val="21"/>
                      <w:highlight w:val="none"/>
                    </w:rPr>
                    <w:t>无量纲</w:t>
                  </w:r>
                  <w:r>
                    <w:rPr>
                      <w:rFonts w:hint="eastAsia" w:ascii="Times New Roman" w:hAnsi="Times New Roman"/>
                      <w:color w:val="auto"/>
                      <w:spacing w:val="9"/>
                      <w:sz w:val="21"/>
                      <w:highlight w:val="none"/>
                      <w:lang w:eastAsia="zh-CN"/>
                    </w:rPr>
                    <w:t>）</w:t>
                  </w:r>
                </w:p>
              </w:tc>
              <w:tc>
                <w:tcPr>
                  <w:tcW w:w="1457" w:type="dxa"/>
                  <w:tcBorders>
                    <w:tl2br w:val="nil"/>
                    <w:tr2bl w:val="nil"/>
                  </w:tcBorders>
                  <w:shd w:val="clear" w:color="auto" w:fill="auto"/>
                  <w:vAlign w:val="center"/>
                </w:tcPr>
                <w:p w14:paraId="77003D0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ascii="Times New Roman" w:hAnsi="Times New Roman" w:eastAsia="宋体" w:cs="Times New Roman"/>
                      <w:color w:val="auto"/>
                      <w:spacing w:val="2"/>
                      <w:position w:val="1"/>
                      <w:sz w:val="21"/>
                      <w:szCs w:val="20"/>
                      <w:highlight w:val="none"/>
                    </w:rPr>
                  </w:pPr>
                  <w:r>
                    <w:rPr>
                      <w:rFonts w:ascii="Times New Roman" w:hAnsi="Times New Roman" w:eastAsia="宋体" w:cs="Times New Roman"/>
                      <w:color w:val="auto"/>
                      <w:spacing w:val="1"/>
                      <w:position w:val="1"/>
                      <w:sz w:val="21"/>
                      <w:szCs w:val="20"/>
                      <w:highlight w:val="none"/>
                    </w:rPr>
                    <w:t>6~9</w:t>
                  </w:r>
                </w:p>
              </w:tc>
              <w:tc>
                <w:tcPr>
                  <w:tcW w:w="1456" w:type="dxa"/>
                  <w:tcBorders>
                    <w:tl2br w:val="nil"/>
                    <w:tr2bl w:val="nil"/>
                  </w:tcBorders>
                  <w:shd w:val="clear" w:color="auto" w:fill="auto"/>
                  <w:vAlign w:val="center"/>
                </w:tcPr>
                <w:p w14:paraId="38265CCC">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pacing w:val="3"/>
                      <w:position w:val="1"/>
                      <w:sz w:val="21"/>
                      <w:szCs w:val="20"/>
                      <w:highlight w:val="none"/>
                      <w:lang w:val="en-US" w:eastAsia="zh-CN"/>
                    </w:rPr>
                  </w:pPr>
                  <w:r>
                    <w:rPr>
                      <w:rFonts w:ascii="Times New Roman" w:hAnsi="Times New Roman" w:eastAsia="宋体" w:cs="Times New Roman"/>
                      <w:color w:val="auto"/>
                      <w:spacing w:val="1"/>
                      <w:position w:val="-2"/>
                      <w:sz w:val="21"/>
                      <w:szCs w:val="20"/>
                      <w:highlight w:val="none"/>
                    </w:rPr>
                    <w:t>-----</w:t>
                  </w:r>
                </w:p>
              </w:tc>
            </w:tr>
            <w:tr w14:paraId="4571B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10F8A9DA">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color w:val="auto"/>
                      <w:sz w:val="21"/>
                      <w:highlight w:val="none"/>
                      <w:vertAlign w:val="baseline"/>
                      <w:lang w:val="en-US" w:eastAsia="zh-CN"/>
                    </w:rPr>
                  </w:pPr>
                </w:p>
              </w:tc>
              <w:tc>
                <w:tcPr>
                  <w:tcW w:w="1453" w:type="dxa"/>
                  <w:vMerge w:val="continue"/>
                  <w:tcBorders>
                    <w:tl2br w:val="nil"/>
                    <w:tr2bl w:val="nil"/>
                  </w:tcBorders>
                  <w:vAlign w:val="center"/>
                </w:tcPr>
                <w:p w14:paraId="754AFCB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33A45E7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779828E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sz w:val="21"/>
                      <w:szCs w:val="20"/>
                      <w:highlight w:val="none"/>
                    </w:rPr>
                    <w:t>CODcr</w:t>
                  </w:r>
                </w:p>
              </w:tc>
              <w:tc>
                <w:tcPr>
                  <w:tcW w:w="1457" w:type="dxa"/>
                  <w:tcBorders>
                    <w:tl2br w:val="nil"/>
                    <w:tr2bl w:val="nil"/>
                  </w:tcBorders>
                  <w:shd w:val="clear" w:color="auto" w:fill="auto"/>
                  <w:vAlign w:val="center"/>
                </w:tcPr>
                <w:p w14:paraId="59026770">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850</w:t>
                  </w:r>
                </w:p>
              </w:tc>
              <w:tc>
                <w:tcPr>
                  <w:tcW w:w="1456" w:type="dxa"/>
                  <w:tcBorders>
                    <w:tl2br w:val="nil"/>
                    <w:tr2bl w:val="nil"/>
                  </w:tcBorders>
                  <w:shd w:val="clear" w:color="auto" w:fill="auto"/>
                  <w:vAlign w:val="center"/>
                </w:tcPr>
                <w:p w14:paraId="722B2FC4">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0.2316</w:t>
                  </w:r>
                </w:p>
              </w:tc>
            </w:tr>
            <w:tr w14:paraId="1CBBC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602168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color w:val="auto"/>
                      <w:sz w:val="21"/>
                      <w:highlight w:val="none"/>
                      <w:vertAlign w:val="baseline"/>
                      <w:lang w:val="en-US" w:eastAsia="zh-CN"/>
                    </w:rPr>
                  </w:pPr>
                </w:p>
              </w:tc>
              <w:tc>
                <w:tcPr>
                  <w:tcW w:w="1453" w:type="dxa"/>
                  <w:vMerge w:val="continue"/>
                  <w:tcBorders>
                    <w:tl2br w:val="nil"/>
                    <w:tr2bl w:val="nil"/>
                  </w:tcBorders>
                  <w:vAlign w:val="center"/>
                </w:tcPr>
                <w:p w14:paraId="5B2CFE6B">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27825E28">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591824F">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13"/>
                      <w:highlight w:val="none"/>
                      <w:lang w:val="en-US" w:eastAsia="zh-CN" w:bidi="ar-SA"/>
                    </w:rPr>
                  </w:pPr>
                  <w:r>
                    <w:rPr>
                      <w:rFonts w:ascii="Times New Roman" w:hAnsi="Times New Roman" w:eastAsia="宋体" w:cs="Times New Roman"/>
                      <w:color w:val="auto"/>
                      <w:spacing w:val="5"/>
                      <w:sz w:val="21"/>
                      <w:szCs w:val="20"/>
                      <w:highlight w:val="none"/>
                    </w:rPr>
                    <w:t>BOD</w:t>
                  </w:r>
                  <w:r>
                    <w:rPr>
                      <w:rFonts w:ascii="Times New Roman" w:hAnsi="Times New Roman" w:eastAsia="宋体" w:cs="Times New Roman"/>
                      <w:color w:val="auto"/>
                      <w:spacing w:val="5"/>
                      <w:position w:val="-1"/>
                      <w:sz w:val="21"/>
                      <w:szCs w:val="13"/>
                      <w:highlight w:val="none"/>
                      <w:vertAlign w:val="subscript"/>
                    </w:rPr>
                    <w:t>5</w:t>
                  </w:r>
                </w:p>
              </w:tc>
              <w:tc>
                <w:tcPr>
                  <w:tcW w:w="1457" w:type="dxa"/>
                  <w:tcBorders>
                    <w:tl2br w:val="nil"/>
                    <w:tr2bl w:val="nil"/>
                  </w:tcBorders>
                  <w:shd w:val="clear" w:color="auto" w:fill="auto"/>
                  <w:vAlign w:val="center"/>
                </w:tcPr>
                <w:p w14:paraId="29CBBB48">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350</w:t>
                  </w:r>
                </w:p>
              </w:tc>
              <w:tc>
                <w:tcPr>
                  <w:tcW w:w="1456" w:type="dxa"/>
                  <w:tcBorders>
                    <w:tl2br w:val="nil"/>
                    <w:tr2bl w:val="nil"/>
                  </w:tcBorders>
                  <w:shd w:val="clear" w:color="auto" w:fill="auto"/>
                  <w:vAlign w:val="center"/>
                </w:tcPr>
                <w:p w14:paraId="4A48D1CE">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0.0902</w:t>
                  </w:r>
                </w:p>
              </w:tc>
            </w:tr>
            <w:tr w14:paraId="745D2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50C2BEB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color w:val="auto"/>
                      <w:sz w:val="21"/>
                      <w:highlight w:val="none"/>
                      <w:vertAlign w:val="baseline"/>
                      <w:lang w:val="en-US" w:eastAsia="zh-CN"/>
                    </w:rPr>
                  </w:pPr>
                </w:p>
              </w:tc>
              <w:tc>
                <w:tcPr>
                  <w:tcW w:w="1453" w:type="dxa"/>
                  <w:vMerge w:val="continue"/>
                  <w:tcBorders>
                    <w:tl2br w:val="nil"/>
                    <w:tr2bl w:val="nil"/>
                  </w:tcBorders>
                  <w:vAlign w:val="center"/>
                </w:tcPr>
                <w:p w14:paraId="0DEABDC5">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5E924143">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6F61175D">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sz w:val="21"/>
                      <w:szCs w:val="20"/>
                      <w:highlight w:val="none"/>
                    </w:rPr>
                    <w:t>SS</w:t>
                  </w:r>
                </w:p>
              </w:tc>
              <w:tc>
                <w:tcPr>
                  <w:tcW w:w="1457" w:type="dxa"/>
                  <w:tcBorders>
                    <w:tl2br w:val="nil"/>
                    <w:tr2bl w:val="nil"/>
                  </w:tcBorders>
                  <w:shd w:val="clear" w:color="auto" w:fill="auto"/>
                  <w:vAlign w:val="center"/>
                </w:tcPr>
                <w:p w14:paraId="7A10CA3B">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10</w:t>
                  </w:r>
                </w:p>
              </w:tc>
              <w:tc>
                <w:tcPr>
                  <w:tcW w:w="1456" w:type="dxa"/>
                  <w:tcBorders>
                    <w:tl2br w:val="nil"/>
                    <w:tr2bl w:val="nil"/>
                  </w:tcBorders>
                  <w:shd w:val="clear" w:color="auto" w:fill="auto"/>
                  <w:vAlign w:val="center"/>
                </w:tcPr>
                <w:p w14:paraId="770E33C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0.0027</w:t>
                  </w:r>
                </w:p>
              </w:tc>
            </w:tr>
            <w:tr w14:paraId="263B3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tcBorders>
                    <w:tl2br w:val="nil"/>
                    <w:tr2bl w:val="nil"/>
                  </w:tcBorders>
                  <w:vAlign w:val="center"/>
                </w:tcPr>
                <w:p w14:paraId="20982612">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color w:val="auto"/>
                      <w:sz w:val="21"/>
                      <w:highlight w:val="none"/>
                      <w:vertAlign w:val="baseline"/>
                      <w:lang w:val="en-US" w:eastAsia="zh-CN"/>
                    </w:rPr>
                  </w:pPr>
                </w:p>
              </w:tc>
              <w:tc>
                <w:tcPr>
                  <w:tcW w:w="1453" w:type="dxa"/>
                  <w:vMerge w:val="continue"/>
                  <w:tcBorders>
                    <w:tl2br w:val="nil"/>
                    <w:tr2bl w:val="nil"/>
                  </w:tcBorders>
                  <w:vAlign w:val="center"/>
                </w:tcPr>
                <w:p w14:paraId="44CA6A6C">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53" w:type="dxa"/>
                  <w:vMerge w:val="continue"/>
                  <w:tcBorders>
                    <w:tl2br w:val="nil"/>
                    <w:tr2bl w:val="nil"/>
                  </w:tcBorders>
                  <w:vAlign w:val="center"/>
                </w:tcPr>
                <w:p w14:paraId="08A2FCE9">
                  <w:pPr>
                    <w:pStyle w:val="46"/>
                    <w:keepNext w:val="0"/>
                    <w:keepLines w:val="0"/>
                    <w:pageBreakBefore w:val="0"/>
                    <w:widowControl w:val="0"/>
                    <w:kinsoku/>
                    <w:wordWrap/>
                    <w:overflowPunct/>
                    <w:topLinePunct w:val="0"/>
                    <w:bidi w:val="0"/>
                    <w:adjustRightInd/>
                    <w:snapToGrid/>
                    <w:spacing w:line="240" w:lineRule="auto"/>
                    <w:ind w:left="0" w:firstLine="0" w:firstLineChars="0"/>
                    <w:jc w:val="center"/>
                    <w:textAlignment w:val="auto"/>
                    <w:rPr>
                      <w:rFonts w:hint="eastAsia" w:ascii="Times New Roman" w:hAnsi="Times New Roman" w:eastAsia="宋体"/>
                      <w:color w:val="auto"/>
                      <w:sz w:val="21"/>
                      <w:highlight w:val="none"/>
                      <w:vertAlign w:val="baseline"/>
                      <w:lang w:val="en-US" w:eastAsia="zh-CN"/>
                    </w:rPr>
                  </w:pPr>
                </w:p>
              </w:tc>
              <w:tc>
                <w:tcPr>
                  <w:tcW w:w="1470" w:type="dxa"/>
                  <w:tcBorders>
                    <w:tl2br w:val="nil"/>
                    <w:tr2bl w:val="nil"/>
                  </w:tcBorders>
                  <w:shd w:val="clear" w:color="auto" w:fill="auto"/>
                  <w:vAlign w:val="center"/>
                </w:tcPr>
                <w:p w14:paraId="0D36A3B7">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z w:val="21"/>
                      <w:szCs w:val="20"/>
                      <w:highlight w:val="none"/>
                    </w:rPr>
                    <w:t>NH</w:t>
                  </w:r>
                  <w:r>
                    <w:rPr>
                      <w:rFonts w:ascii="Times New Roman" w:hAnsi="Times New Roman" w:eastAsia="宋体" w:cs="Times New Roman"/>
                      <w:color w:val="auto"/>
                      <w:spacing w:val="9"/>
                      <w:sz w:val="21"/>
                      <w:szCs w:val="13"/>
                      <w:highlight w:val="none"/>
                      <w:vertAlign w:val="subscript"/>
                    </w:rPr>
                    <w:t>3</w:t>
                  </w:r>
                  <w:r>
                    <w:rPr>
                      <w:rFonts w:ascii="Times New Roman" w:hAnsi="Times New Roman" w:eastAsia="宋体" w:cs="Times New Roman"/>
                      <w:color w:val="auto"/>
                      <w:spacing w:val="9"/>
                      <w:sz w:val="21"/>
                      <w:szCs w:val="20"/>
                      <w:highlight w:val="none"/>
                    </w:rPr>
                    <w:t>-N</w:t>
                  </w:r>
                </w:p>
              </w:tc>
              <w:tc>
                <w:tcPr>
                  <w:tcW w:w="1457" w:type="dxa"/>
                  <w:tcBorders>
                    <w:tl2br w:val="nil"/>
                    <w:tr2bl w:val="nil"/>
                  </w:tcBorders>
                  <w:shd w:val="clear" w:color="auto" w:fill="auto"/>
                  <w:vAlign w:val="center"/>
                </w:tcPr>
                <w:p w14:paraId="4450BD29">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500</w:t>
                  </w:r>
                </w:p>
              </w:tc>
              <w:tc>
                <w:tcPr>
                  <w:tcW w:w="1456" w:type="dxa"/>
                  <w:tcBorders>
                    <w:tl2br w:val="nil"/>
                    <w:tr2bl w:val="nil"/>
                  </w:tcBorders>
                  <w:shd w:val="clear" w:color="auto" w:fill="auto"/>
                  <w:vAlign w:val="center"/>
                </w:tcPr>
                <w:p w14:paraId="741C2236">
                  <w:pPr>
                    <w:keepNext w:val="0"/>
                    <w:keepLines w:val="0"/>
                    <w:pageBreakBefore w:val="0"/>
                    <w:widowControl w:val="0"/>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0.1375</w:t>
                  </w:r>
                </w:p>
              </w:tc>
            </w:tr>
          </w:tbl>
          <w:p w14:paraId="0F8BF2F6">
            <w:pPr>
              <w:pStyle w:val="46"/>
              <w:numPr>
                <w:ilvl w:val="0"/>
                <w:numId w:val="16"/>
              </w:numPr>
              <w:ind w:firstLine="480"/>
              <w:rPr>
                <w:rFonts w:hint="eastAsia"/>
                <w:color w:val="auto"/>
                <w:highlight w:val="none"/>
                <w:lang w:val="en-US" w:eastAsia="zh-CN"/>
              </w:rPr>
            </w:pPr>
            <w:r>
              <w:rPr>
                <w:rFonts w:hint="eastAsia"/>
                <w:color w:val="auto"/>
                <w:highlight w:val="none"/>
                <w:lang w:val="en-US" w:eastAsia="zh-CN"/>
              </w:rPr>
              <w:t>防治措施</w:t>
            </w:r>
          </w:p>
          <w:p w14:paraId="7FF91D73">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1）生活污水处理可行性分析</w:t>
            </w:r>
          </w:p>
          <w:p w14:paraId="3A5CF68E">
            <w:pPr>
              <w:pStyle w:val="162"/>
              <w:rPr>
                <w:rFonts w:hint="eastAsia" w:cs="Times New Roman"/>
                <w:color w:val="auto"/>
                <w:lang w:bidi="he-IL"/>
              </w:rPr>
            </w:pPr>
            <w:r>
              <w:rPr>
                <w:rFonts w:hint="eastAsia" w:cs="Times New Roman"/>
                <w:color w:val="auto"/>
                <w:lang w:bidi="he-IL"/>
              </w:rPr>
              <w:t>本项目生活污水</w:t>
            </w:r>
            <w:r>
              <w:rPr>
                <w:rFonts w:hint="eastAsia" w:cs="Times New Roman"/>
                <w:color w:val="auto"/>
                <w:highlight w:val="none"/>
                <w:lang w:bidi="he-IL"/>
              </w:rPr>
              <w:t>依托</w:t>
            </w:r>
            <w:r>
              <w:rPr>
                <w:rFonts w:hint="eastAsia" w:ascii="Times New Roman" w:hAnsi="Times New Roman" w:eastAsia="宋体" w:cs="Times New Roman"/>
                <w:color w:val="auto"/>
                <w:sz w:val="24"/>
                <w:szCs w:val="24"/>
                <w:highlight w:val="none"/>
                <w:lang w:eastAsia="zh-CN"/>
              </w:rPr>
              <w:t>福州鼎力机械有限公司</w:t>
            </w:r>
            <w:r>
              <w:rPr>
                <w:rFonts w:hint="eastAsia" w:cs="Times New Roman"/>
                <w:color w:val="auto"/>
                <w:lang w:bidi="he-IL"/>
              </w:rPr>
              <w:t>现有化粪池处理，化粪池采用三格化粪池，由相连的三个池子组成，中间由过粪管连通，主要是利用厌氧发酵、中层过粪和寄生虫卵比重大于一般混合液比重而易于沉淀的原理，以达到沉淀或杀灭粪便中寄生虫卵和肠道致病菌的目的，生活污水经化粪池处理后可以满足</w:t>
            </w:r>
            <w:r>
              <w:rPr>
                <w:rFonts w:hint="eastAsia" w:ascii="Times New Roman" w:hAnsi="Times New Roman" w:eastAsia="宋体" w:cs="Times New Roman"/>
                <w:color w:val="auto"/>
                <w:sz w:val="24"/>
                <w:szCs w:val="24"/>
                <w:highlight w:val="none"/>
                <w:lang w:val="en-US" w:eastAsia="zh-CN"/>
              </w:rPr>
              <w:t>福清市第二污水处理厂</w:t>
            </w:r>
            <w:r>
              <w:rPr>
                <w:rFonts w:hint="eastAsia" w:cs="Times New Roman"/>
                <w:color w:val="auto"/>
                <w:lang w:bidi="he-IL"/>
              </w:rPr>
              <w:t>纳管标准。</w:t>
            </w:r>
          </w:p>
          <w:p w14:paraId="358C5979">
            <w:pPr>
              <w:pStyle w:val="162"/>
              <w:rPr>
                <w:rFonts w:hint="default" w:ascii="Times New Roman" w:hAnsi="Times New Roman" w:eastAsia="宋体" w:cs="Times New Roman"/>
                <w:b w:val="0"/>
                <w:bCs w:val="0"/>
                <w:i w:val="0"/>
                <w:iCs w:val="0"/>
                <w:color w:val="auto"/>
                <w:kern w:val="0"/>
                <w:sz w:val="24"/>
                <w:szCs w:val="24"/>
                <w:highlight w:val="none"/>
                <w:lang w:val="en-US" w:eastAsia="zh-CN" w:bidi="ar"/>
              </w:rPr>
            </w:pPr>
            <w:r>
              <w:rPr>
                <w:rFonts w:hint="eastAsia" w:ascii="Times New Roman" w:hAnsi="Times New Roman" w:eastAsia="宋体" w:cs="Times New Roman"/>
                <w:color w:val="auto"/>
                <w:sz w:val="24"/>
                <w:szCs w:val="24"/>
                <w:highlight w:val="none"/>
                <w:lang w:eastAsia="zh-CN"/>
              </w:rPr>
              <w:t>福州鼎力机械有限公司</w:t>
            </w:r>
            <w:r>
              <w:rPr>
                <w:rFonts w:hint="eastAsia" w:cs="Times New Roman"/>
                <w:b w:val="0"/>
                <w:bCs w:val="0"/>
                <w:color w:val="auto"/>
                <w:lang w:bidi="he-IL"/>
              </w:rPr>
              <w:t>现有化粪池</w:t>
            </w:r>
            <w:r>
              <w:rPr>
                <w:rFonts w:hint="eastAsia" w:cs="Times New Roman"/>
                <w:b w:val="0"/>
                <w:bCs w:val="0"/>
                <w:color w:val="auto"/>
                <w:lang w:val="en-US" w:eastAsia="zh-CN" w:bidi="he-IL"/>
              </w:rPr>
              <w:t>容积20</w:t>
            </w:r>
            <w:r>
              <w:rPr>
                <w:rFonts w:hint="eastAsia" w:cs="Times New Roman"/>
                <w:color w:val="auto"/>
                <w:lang w:bidi="he-IL"/>
              </w:rPr>
              <w:t>m</w:t>
            </w:r>
            <w:r>
              <w:rPr>
                <w:rFonts w:hint="eastAsia" w:cs="Times New Roman"/>
                <w:color w:val="auto"/>
                <w:vertAlign w:val="superscript"/>
                <w:lang w:bidi="he-IL"/>
              </w:rPr>
              <w:t>3</w:t>
            </w:r>
            <w:r>
              <w:rPr>
                <w:rFonts w:hint="eastAsia" w:cs="Times New Roman"/>
                <w:color w:val="auto"/>
                <w:lang w:bidi="he-IL"/>
              </w:rPr>
              <w:t>，</w:t>
            </w:r>
            <w:r>
              <w:rPr>
                <w:rFonts w:hint="eastAsia" w:cs="Times New Roman"/>
                <w:color w:val="auto"/>
                <w:lang w:val="en-US" w:eastAsia="zh-CN" w:bidi="he-IL"/>
              </w:rPr>
              <w:t>据现场实际勘探以及</w:t>
            </w:r>
            <w:r>
              <w:rPr>
                <w:rFonts w:hint="eastAsia" w:ascii="Times New Roman" w:hAnsi="Times New Roman" w:eastAsia="宋体" w:cs="Times New Roman"/>
                <w:color w:val="auto"/>
                <w:sz w:val="24"/>
                <w:szCs w:val="24"/>
                <w:highlight w:val="none"/>
                <w:lang w:eastAsia="zh-CN"/>
              </w:rPr>
              <w:t>福州鼎力机械有限公司</w:t>
            </w:r>
            <w:r>
              <w:rPr>
                <w:rFonts w:hint="eastAsia" w:ascii="Times New Roman" w:hAnsi="Times New Roman" w:eastAsia="宋体" w:cs="Times New Roman"/>
                <w:color w:val="auto"/>
                <w:sz w:val="24"/>
                <w:szCs w:val="24"/>
                <w:highlight w:val="none"/>
                <w:lang w:val="en-US" w:eastAsia="zh-CN"/>
              </w:rPr>
              <w:t>提供的资料，</w:t>
            </w:r>
            <w:r>
              <w:rPr>
                <w:rFonts w:hint="eastAsia" w:cs="Times New Roman"/>
                <w:color w:val="auto"/>
                <w:sz w:val="24"/>
                <w:szCs w:val="24"/>
                <w:highlight w:val="none"/>
                <w:lang w:val="en-US" w:eastAsia="zh-CN"/>
              </w:rPr>
              <w:t>该化粪池可供铸造车间1号使用，未接管厂区内的其他厂房，故该化粪池可单独供本项目使用。</w:t>
            </w:r>
            <w:r>
              <w:rPr>
                <w:rFonts w:hint="eastAsia" w:ascii="Times New Roman" w:hAnsi="Times New Roman" w:eastAsia="宋体" w:cs="Times New Roman"/>
                <w:color w:val="auto"/>
                <w:sz w:val="24"/>
                <w:szCs w:val="24"/>
                <w:highlight w:val="none"/>
                <w:lang w:val="en-US" w:eastAsia="zh-CN"/>
              </w:rPr>
              <w:t>化粪池</w:t>
            </w:r>
            <w:r>
              <w:rPr>
                <w:rFonts w:hint="eastAsia" w:cs="Times New Roman"/>
                <w:color w:val="auto"/>
                <w:sz w:val="24"/>
                <w:szCs w:val="24"/>
                <w:highlight w:val="none"/>
                <w:lang w:val="en-US" w:eastAsia="zh-CN"/>
              </w:rPr>
              <w:t>有效容积约为20</w:t>
            </w:r>
            <w:r>
              <w:rPr>
                <w:rFonts w:hint="eastAsia" w:cs="Times New Roman"/>
                <w:color w:val="auto"/>
                <w:lang w:bidi="he-IL"/>
              </w:rPr>
              <w:t>m</w:t>
            </w:r>
            <w:r>
              <w:rPr>
                <w:rFonts w:hint="eastAsia" w:cs="Times New Roman"/>
                <w:color w:val="auto"/>
                <w:vertAlign w:val="superscript"/>
                <w:lang w:bidi="he-IL"/>
              </w:rPr>
              <w:t>3</w:t>
            </w:r>
            <w:r>
              <w:rPr>
                <w:rFonts w:hint="eastAsia" w:cs="Times New Roman"/>
                <w:color w:val="auto"/>
                <w:vertAlign w:val="baseline"/>
                <w:lang w:val="en-US" w:eastAsia="zh-CN" w:bidi="he-IL"/>
              </w:rPr>
              <w:t>/d，</w:t>
            </w:r>
            <w:r>
              <w:rPr>
                <w:rFonts w:hint="eastAsia" w:cs="Times New Roman"/>
                <w:color w:val="auto"/>
                <w:lang w:bidi="he-IL"/>
              </w:rPr>
              <w:t>本项目</w:t>
            </w:r>
            <w:r>
              <w:rPr>
                <w:rFonts w:hint="eastAsia" w:cs="Times New Roman"/>
                <w:color w:val="auto"/>
                <w:lang w:val="en-US" w:eastAsia="zh-CN" w:bidi="he-IL"/>
              </w:rPr>
              <w:t>新增生活污水排放量为1.2</w:t>
            </w:r>
            <w:r>
              <w:rPr>
                <w:rFonts w:hint="eastAsia" w:cs="Times New Roman"/>
                <w:color w:val="auto"/>
                <w:lang w:bidi="he-IL"/>
              </w:rPr>
              <w:t>m</w:t>
            </w:r>
            <w:r>
              <w:rPr>
                <w:rFonts w:hint="eastAsia" w:cs="Times New Roman"/>
                <w:color w:val="auto"/>
                <w:vertAlign w:val="superscript"/>
                <w:lang w:bidi="he-IL"/>
              </w:rPr>
              <w:t>3</w:t>
            </w:r>
            <w:r>
              <w:rPr>
                <w:rFonts w:hint="eastAsia" w:cs="Times New Roman"/>
                <w:color w:val="auto"/>
                <w:vertAlign w:val="baseline"/>
                <w:lang w:val="en-US" w:eastAsia="zh-CN" w:bidi="he-IL"/>
              </w:rPr>
              <w:t>/d，可满足生活污水停留时间</w:t>
            </w:r>
            <w:r>
              <w:rPr>
                <w:rFonts w:cs="Times New Roman"/>
                <w:color w:val="auto"/>
                <w:lang w:bidi="he-IL"/>
              </w:rPr>
              <w:t>不低于12h</w:t>
            </w:r>
            <w:r>
              <w:rPr>
                <w:rFonts w:hint="eastAsia" w:cs="Times New Roman"/>
                <w:color w:val="auto"/>
                <w:lang w:bidi="he-IL"/>
              </w:rPr>
              <w:t>要求</w:t>
            </w:r>
            <w:r>
              <w:rPr>
                <w:rFonts w:hint="eastAsia" w:cs="Times New Roman"/>
                <w:color w:val="auto"/>
                <w:vertAlign w:val="baseline"/>
                <w:lang w:val="en-US" w:eastAsia="zh-CN" w:bidi="he-IL"/>
              </w:rPr>
              <w:t>，</w:t>
            </w:r>
            <w:r>
              <w:rPr>
                <w:rFonts w:hint="eastAsia" w:ascii="Times New Roman" w:hAnsi="Times New Roman" w:eastAsia="宋体" w:cs="Times New Roman"/>
                <w:b w:val="0"/>
                <w:bCs w:val="0"/>
                <w:i w:val="0"/>
                <w:iCs w:val="0"/>
                <w:color w:val="auto"/>
                <w:kern w:val="0"/>
                <w:sz w:val="24"/>
                <w:szCs w:val="24"/>
                <w:highlight w:val="none"/>
                <w:lang w:val="en-US" w:eastAsia="zh-CN" w:bidi="ar"/>
              </w:rPr>
              <w:t>可见</w:t>
            </w:r>
            <w:r>
              <w:rPr>
                <w:rFonts w:hint="eastAsia" w:ascii="Times New Roman" w:hAnsi="Times New Roman" w:eastAsia="宋体" w:cs="Times New Roman"/>
                <w:color w:val="auto"/>
                <w:sz w:val="24"/>
                <w:szCs w:val="24"/>
                <w:highlight w:val="none"/>
                <w:lang w:eastAsia="zh-CN"/>
              </w:rPr>
              <w:t>福州鼎力机械有限公司</w:t>
            </w:r>
            <w:r>
              <w:rPr>
                <w:rFonts w:hint="default" w:ascii="Times New Roman" w:hAnsi="Times New Roman" w:eastAsia="宋体" w:cs="Times New Roman"/>
                <w:b w:val="0"/>
                <w:bCs w:val="0"/>
                <w:i w:val="0"/>
                <w:iCs w:val="0"/>
                <w:color w:val="auto"/>
                <w:kern w:val="0"/>
                <w:sz w:val="24"/>
                <w:szCs w:val="24"/>
                <w:highlight w:val="none"/>
                <w:lang w:val="en-US" w:eastAsia="zh-CN" w:bidi="ar"/>
              </w:rPr>
              <w:t>化粪池处理能力可满足本项目生活污水处理需求</w:t>
            </w:r>
            <w:r>
              <w:rPr>
                <w:rFonts w:hint="eastAsia" w:cs="Times New Roman"/>
                <w:b w:val="0"/>
                <w:bCs w:val="0"/>
                <w:i w:val="0"/>
                <w:iCs w:val="0"/>
                <w:color w:val="auto"/>
                <w:kern w:val="0"/>
                <w:sz w:val="24"/>
                <w:szCs w:val="24"/>
                <w:highlight w:val="none"/>
                <w:lang w:val="en-US" w:eastAsia="zh-CN" w:bidi="ar"/>
              </w:rPr>
              <w:t>且</w:t>
            </w:r>
            <w:r>
              <w:rPr>
                <w:rFonts w:hint="default" w:ascii="Times New Roman" w:hAnsi="Times New Roman" w:eastAsia="宋体" w:cs="Times New Roman"/>
                <w:b w:val="0"/>
                <w:bCs w:val="0"/>
                <w:i w:val="0"/>
                <w:iCs w:val="0"/>
                <w:color w:val="auto"/>
                <w:kern w:val="0"/>
                <w:sz w:val="24"/>
                <w:szCs w:val="24"/>
                <w:highlight w:val="none"/>
                <w:lang w:val="en-US" w:eastAsia="zh-CN" w:bidi="ar"/>
              </w:rPr>
              <w:t>还有剩余容量抗负荷波动，因此项目生活污水依托出租方厂区内已建化粪池处理可行。</w:t>
            </w:r>
            <w:r>
              <w:rPr>
                <w:rFonts w:hint="eastAsia" w:ascii="Times New Roman" w:hAnsi="Times New Roman" w:eastAsia="宋体" w:cs="Times New Roman"/>
                <w:b w:val="0"/>
                <w:bCs w:val="0"/>
                <w:i w:val="0"/>
                <w:iCs w:val="0"/>
                <w:color w:val="auto"/>
                <w:kern w:val="0"/>
                <w:sz w:val="24"/>
                <w:szCs w:val="24"/>
                <w:highlight w:val="none"/>
                <w:lang w:val="en-US" w:eastAsia="zh-CN" w:bidi="ar"/>
              </w:rPr>
              <w:t>（</w:t>
            </w:r>
            <w:r>
              <w:rPr>
                <w:rFonts w:hint="eastAsia" w:cs="Times New Roman"/>
                <w:b w:val="0"/>
                <w:bCs w:val="0"/>
                <w:i w:val="0"/>
                <w:iCs w:val="0"/>
                <w:color w:val="auto"/>
                <w:kern w:val="0"/>
                <w:sz w:val="24"/>
                <w:szCs w:val="24"/>
                <w:highlight w:val="none"/>
                <w:lang w:val="en-US" w:eastAsia="zh-CN" w:bidi="ar"/>
              </w:rPr>
              <w:t>生活污水</w:t>
            </w:r>
            <w:r>
              <w:rPr>
                <w:rFonts w:hint="eastAsia" w:ascii="Times New Roman" w:hAnsi="Times New Roman" w:eastAsia="宋体" w:cs="Times New Roman"/>
                <w:b w:val="0"/>
                <w:bCs w:val="0"/>
                <w:i w:val="0"/>
                <w:iCs w:val="0"/>
                <w:color w:val="auto"/>
                <w:kern w:val="0"/>
                <w:sz w:val="24"/>
                <w:szCs w:val="24"/>
                <w:highlight w:val="none"/>
                <w:lang w:val="en-US" w:eastAsia="zh-CN" w:bidi="ar"/>
              </w:rPr>
              <w:t>处理情况说明见附件20）</w:t>
            </w:r>
          </w:p>
          <w:p w14:paraId="4797B13F">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2）生产污水处理可行性分析</w:t>
            </w:r>
          </w:p>
          <w:p w14:paraId="474EEF21">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本项目将配套建设1座</w:t>
            </w:r>
            <w:r>
              <w:rPr>
                <w:rFonts w:hint="eastAsia" w:cs="宋体"/>
                <w:color w:val="auto"/>
                <w:highlight w:val="none"/>
                <w:lang w:val="en-US" w:eastAsia="zh-CN"/>
              </w:rPr>
              <w:t>废水处理设施</w:t>
            </w:r>
            <w:r>
              <w:rPr>
                <w:rFonts w:hint="eastAsia" w:ascii="Times New Roman" w:hAnsi="Times New Roman" w:eastAsia="宋体" w:cs="宋体"/>
                <w:color w:val="auto"/>
                <w:highlight w:val="none"/>
                <w:lang w:val="en-US" w:eastAsia="zh-CN"/>
              </w:rPr>
              <w:t>处理工艺为“</w:t>
            </w:r>
            <w:r>
              <w:rPr>
                <w:rFonts w:hint="eastAsia" w:cs="宋体"/>
                <w:color w:val="auto"/>
                <w:highlight w:val="none"/>
                <w:lang w:val="en-US" w:eastAsia="zh-CN"/>
              </w:rPr>
              <w:t>物化+A/O+沉淀</w:t>
            </w:r>
            <w:r>
              <w:rPr>
                <w:rFonts w:hint="eastAsia" w:ascii="Times New Roman" w:hAnsi="Times New Roman" w:eastAsia="宋体" w:cs="宋体"/>
                <w:color w:val="auto"/>
                <w:highlight w:val="none"/>
                <w:lang w:val="en-US" w:eastAsia="zh-CN"/>
              </w:rPr>
              <w:t>”，设计处理能力为2m</w:t>
            </w:r>
            <w:r>
              <w:rPr>
                <w:rFonts w:hint="eastAsia" w:ascii="Times New Roman" w:hAnsi="Times New Roman" w:eastAsia="宋体" w:cs="宋体"/>
                <w:color w:val="auto"/>
                <w:highlight w:val="none"/>
                <w:vertAlign w:val="superscript"/>
                <w:lang w:val="en-US" w:eastAsia="zh-CN"/>
              </w:rPr>
              <w:t>3</w:t>
            </w:r>
            <w:r>
              <w:rPr>
                <w:rFonts w:hint="eastAsia" w:ascii="Times New Roman" w:hAnsi="Times New Roman" w:eastAsia="宋体" w:cs="宋体"/>
                <w:color w:val="auto"/>
                <w:highlight w:val="none"/>
                <w:lang w:val="en-US" w:eastAsia="zh-CN"/>
              </w:rPr>
              <w:t>/d）。</w:t>
            </w:r>
          </w:p>
          <w:p w14:paraId="35B807FB">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本项目脱脂废水、脱脂后水洗废水、硅烷后水洗废水</w:t>
            </w:r>
            <w:r>
              <w:rPr>
                <w:rFonts w:hint="eastAsia" w:cs="宋体"/>
                <w:color w:val="auto"/>
                <w:highlight w:val="none"/>
                <w:lang w:val="en-US" w:eastAsia="zh-CN"/>
              </w:rPr>
              <w:t>纯</w:t>
            </w:r>
            <w:r>
              <w:rPr>
                <w:rFonts w:hint="eastAsia" w:ascii="Times New Roman" w:hAnsi="Times New Roman" w:eastAsia="宋体" w:cs="宋体"/>
                <w:color w:val="auto"/>
                <w:highlight w:val="none"/>
                <w:lang w:val="en-US" w:eastAsia="zh-CN"/>
              </w:rPr>
              <w:t>水洗</w:t>
            </w:r>
            <w:r>
              <w:rPr>
                <w:rFonts w:hint="eastAsia" w:cs="宋体"/>
                <w:color w:val="auto"/>
                <w:highlight w:val="none"/>
                <w:lang w:val="en-US" w:eastAsia="zh-CN"/>
              </w:rPr>
              <w:t>2</w:t>
            </w:r>
            <w:r>
              <w:rPr>
                <w:rFonts w:hint="eastAsia" w:ascii="Times New Roman" w:hAnsi="Times New Roman" w:eastAsia="宋体" w:cs="宋体"/>
                <w:color w:val="auto"/>
                <w:highlight w:val="none"/>
                <w:lang w:val="en-US" w:eastAsia="zh-CN"/>
              </w:rPr>
              <w:t>废水</w:t>
            </w:r>
            <w:r>
              <w:rPr>
                <w:rFonts w:hint="eastAsia" w:cs="宋体"/>
                <w:color w:val="auto"/>
                <w:highlight w:val="none"/>
                <w:lang w:val="en-US" w:eastAsia="zh-CN"/>
              </w:rPr>
              <w:t>等生产废水</w:t>
            </w:r>
            <w:r>
              <w:rPr>
                <w:rFonts w:hint="eastAsia" w:ascii="Times New Roman" w:hAnsi="Times New Roman" w:eastAsia="宋体" w:cs="宋体"/>
                <w:color w:val="auto"/>
                <w:highlight w:val="none"/>
                <w:lang w:val="en-US" w:eastAsia="zh-CN"/>
              </w:rPr>
              <w:t>经收集后进入</w:t>
            </w:r>
            <w:r>
              <w:rPr>
                <w:rFonts w:hint="eastAsia" w:cs="宋体"/>
                <w:color w:val="auto"/>
                <w:highlight w:val="none"/>
                <w:lang w:val="en-US" w:eastAsia="zh-CN"/>
              </w:rPr>
              <w:t>废水处理设施</w:t>
            </w:r>
            <w:r>
              <w:rPr>
                <w:rFonts w:hint="eastAsia" w:ascii="Times New Roman" w:hAnsi="Times New Roman" w:eastAsia="宋体" w:cs="宋体"/>
                <w:color w:val="auto"/>
                <w:highlight w:val="none"/>
                <w:lang w:val="en-US" w:eastAsia="zh-CN"/>
              </w:rPr>
              <w:t>净化处理后，出水进入厂区污水管道；生活污水单独进入厂区污水管道；项目废水最终纳入市政污水管网，进入</w:t>
            </w:r>
            <w:r>
              <w:rPr>
                <w:rFonts w:hint="eastAsia" w:cs="宋体"/>
                <w:color w:val="auto"/>
                <w:highlight w:val="none"/>
                <w:lang w:val="en-US" w:eastAsia="zh-CN"/>
              </w:rPr>
              <w:t>福清市第二污水处理厂</w:t>
            </w:r>
            <w:r>
              <w:rPr>
                <w:rFonts w:hint="eastAsia" w:ascii="Times New Roman" w:hAnsi="Times New Roman" w:eastAsia="宋体" w:cs="宋体"/>
                <w:color w:val="auto"/>
                <w:highlight w:val="none"/>
                <w:lang w:val="en-US" w:eastAsia="zh-CN"/>
              </w:rPr>
              <w:t>集中处理。</w:t>
            </w:r>
          </w:p>
          <w:p w14:paraId="13863236">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废水处理工艺如下：</w:t>
            </w:r>
          </w:p>
          <w:p w14:paraId="51705803">
            <w:pPr>
              <w:pStyle w:val="46"/>
              <w:numPr>
                <w:ilvl w:val="0"/>
                <w:numId w:val="0"/>
              </w:numPr>
              <w:jc w:val="center"/>
              <w:rPr>
                <w:rFonts w:hint="eastAsia"/>
                <w:color w:val="auto"/>
                <w:highlight w:val="none"/>
                <w:lang w:val="en-US" w:eastAsia="zh-CN"/>
              </w:rPr>
            </w:pPr>
            <w:r>
              <w:drawing>
                <wp:inline distT="0" distB="0" distL="114300" distR="114300">
                  <wp:extent cx="4693920" cy="3248025"/>
                  <wp:effectExtent l="0" t="0" r="11430" b="9525"/>
                  <wp:docPr id="2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
                          <pic:cNvPicPr>
                            <a:picLocks noChangeAspect="1"/>
                          </pic:cNvPicPr>
                        </pic:nvPicPr>
                        <pic:blipFill>
                          <a:blip r:embed="rId22"/>
                          <a:stretch>
                            <a:fillRect/>
                          </a:stretch>
                        </pic:blipFill>
                        <pic:spPr>
                          <a:xfrm>
                            <a:off x="0" y="0"/>
                            <a:ext cx="4693920" cy="3248025"/>
                          </a:xfrm>
                          <a:prstGeom prst="rect">
                            <a:avLst/>
                          </a:prstGeom>
                          <a:noFill/>
                          <a:ln>
                            <a:noFill/>
                          </a:ln>
                        </pic:spPr>
                      </pic:pic>
                    </a:graphicData>
                  </a:graphic>
                </wp:inline>
              </w:drawing>
            </w:r>
          </w:p>
          <w:p w14:paraId="2FDCE1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图4.3-1</w:t>
            </w:r>
            <w:r>
              <w:rPr>
                <w:rFonts w:hint="eastAsia" w:cs="Times New Roman"/>
                <w:b/>
                <w:bCs/>
                <w:color w:val="auto"/>
                <w:kern w:val="2"/>
                <w:sz w:val="24"/>
                <w:szCs w:val="20"/>
                <w:highlight w:val="none"/>
                <w:lang w:val="en-US" w:eastAsia="zh-CN" w:bidi="ar-SA"/>
              </w:rPr>
              <w:t>废水处理设施</w:t>
            </w:r>
            <w:r>
              <w:rPr>
                <w:rFonts w:hint="eastAsia" w:ascii="Times New Roman" w:hAnsi="Times New Roman" w:eastAsia="宋体" w:cs="Times New Roman"/>
                <w:b/>
                <w:bCs/>
                <w:color w:val="auto"/>
                <w:kern w:val="2"/>
                <w:sz w:val="24"/>
                <w:szCs w:val="20"/>
                <w:highlight w:val="none"/>
                <w:lang w:val="en-US" w:eastAsia="zh-CN" w:bidi="ar-SA"/>
              </w:rPr>
              <w:t>废水处理工艺流程图</w:t>
            </w:r>
          </w:p>
          <w:p w14:paraId="0913367C">
            <w:pPr>
              <w:pStyle w:val="46"/>
              <w:ind w:left="0" w:leftChars="0" w:firstLine="0" w:firstLineChars="0"/>
              <w:rPr>
                <w:rFonts w:hint="eastAsia"/>
                <w:color w:val="auto"/>
                <w:highlight w:val="none"/>
              </w:rPr>
            </w:pPr>
            <w:r>
              <w:rPr>
                <w:rFonts w:hint="eastAsia"/>
                <w:color w:val="auto"/>
                <w:highlight w:val="none"/>
                <w:lang w:val="en-US" w:eastAsia="zh-CN"/>
              </w:rPr>
              <w:t>生产</w:t>
            </w:r>
            <w:r>
              <w:rPr>
                <w:rFonts w:hint="eastAsia"/>
                <w:color w:val="auto"/>
                <w:highlight w:val="none"/>
              </w:rPr>
              <w:t>废水处理工艺说明：</w:t>
            </w:r>
          </w:p>
          <w:p w14:paraId="0426C129">
            <w:pPr>
              <w:pStyle w:val="46"/>
              <w:ind w:firstLine="480"/>
              <w:rPr>
                <w:rFonts w:hint="eastAsia" w:ascii="Times New Roman" w:hAnsi="Times New Roman" w:eastAsia="宋体" w:cs="宋体"/>
                <w:color w:val="auto"/>
                <w:szCs w:val="20"/>
                <w:highlight w:val="none"/>
                <w:lang w:val="en-US" w:eastAsia="en-US" w:bidi="ar"/>
              </w:rPr>
            </w:pPr>
            <w:r>
              <w:rPr>
                <w:rFonts w:hint="eastAsia" w:ascii="Times New Roman" w:hAnsi="Times New Roman" w:eastAsia="宋体" w:cs="宋体"/>
                <w:color w:val="auto"/>
                <w:szCs w:val="20"/>
                <w:highlight w:val="none"/>
                <w:lang w:val="en-US" w:eastAsia="en-US" w:bidi="ar"/>
              </w:rPr>
              <w:t>本项目产生的脱脂废水、脱脂后水洗废水、硅烷后水洗废水等生产废水，收集后进入暂存池，随后泵入调节池，在调节池中进行均质均量，调节水质水量，以确保后续处理系统稳定运行。调节池出水通过泵提升至物化混凝反应沉淀池，在此投加PAC（聚合氯化铝）和PAM（聚丙烯酰胺）等药剂，通过混合反应使废水中部分COD、BOD、油类及悬浮物形成絮体，经混凝沉淀作用实现固液分离，从而有效去除水中油类及胶体污染物，降低废水中有机负荷，减轻后续生化系统处理压力。物化系统出水进入中间水池，暂存后由泵提升至A/O+二沉池一体化设备，其中厌氧池（A池）利用兼性厌氧菌将废水中难降解的大分子有机物分解为小分子有机物，提高废水可生化性；好氧池（O池）在充分曝气条件下，活性污泥中的好氧微生物进一步降解有机物，并将氨氮转化为硝态氮；二沉池实现泥水分离，沉淀污泥部分回流至好氧池维持污泥浓度，剩余污泥排入污泥浓缩池</w:t>
            </w:r>
            <w:r>
              <w:rPr>
                <w:rFonts w:hint="eastAsia" w:cs="宋体"/>
                <w:color w:val="auto"/>
                <w:szCs w:val="20"/>
                <w:highlight w:val="none"/>
                <w:lang w:val="en-US" w:eastAsia="zh-CN" w:bidi="ar"/>
              </w:rPr>
              <w:t>，污泥浓缩池上清液流入调节池重新处理</w:t>
            </w:r>
            <w:r>
              <w:rPr>
                <w:rFonts w:hint="eastAsia" w:ascii="Times New Roman" w:hAnsi="Times New Roman" w:eastAsia="宋体" w:cs="宋体"/>
                <w:color w:val="auto"/>
                <w:szCs w:val="20"/>
                <w:highlight w:val="none"/>
                <w:lang w:val="en-US" w:eastAsia="en-US" w:bidi="ar"/>
              </w:rPr>
              <w:t>。最终，二沉池出水经排放口达标排入市政污水管网。</w:t>
            </w:r>
          </w:p>
          <w:p w14:paraId="7198C913">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依托污水处理厂的可行性分析</w:t>
            </w:r>
          </w:p>
          <w:p w14:paraId="2DDB96D0">
            <w:pPr>
              <w:pStyle w:val="46"/>
              <w:ind w:firstLine="480"/>
              <w:rPr>
                <w:rFonts w:hint="eastAsia" w:ascii="Times New Roman" w:hAnsi="Times New Roman" w:eastAsia="宋体" w:cs="宋体"/>
                <w:color w:val="auto"/>
                <w:szCs w:val="20"/>
                <w:highlight w:val="none"/>
                <w:lang w:val="en-US" w:eastAsia="en-US" w:bidi="ar"/>
              </w:rPr>
            </w:pPr>
            <w:r>
              <w:rPr>
                <w:rFonts w:hint="eastAsia" w:ascii="Times New Roman" w:hAnsi="Times New Roman" w:eastAsia="宋体" w:cs="宋体"/>
                <w:color w:val="auto"/>
                <w:szCs w:val="20"/>
                <w:highlight w:val="none"/>
                <w:lang w:val="en-US" w:eastAsia="en-US" w:bidi="ar"/>
              </w:rPr>
              <w:t>项目生活污水</w:t>
            </w:r>
            <w:r>
              <w:rPr>
                <w:rFonts w:hint="eastAsia" w:cs="宋体"/>
                <w:color w:val="auto"/>
                <w:szCs w:val="20"/>
                <w:highlight w:val="none"/>
                <w:lang w:val="en-US" w:eastAsia="zh-CN" w:bidi="ar"/>
              </w:rPr>
              <w:t>、生产废水</w:t>
            </w:r>
            <w:r>
              <w:rPr>
                <w:rFonts w:hint="eastAsia" w:ascii="Times New Roman" w:hAnsi="Times New Roman" w:eastAsia="宋体" w:cs="宋体"/>
                <w:color w:val="auto"/>
                <w:szCs w:val="20"/>
                <w:highlight w:val="none"/>
                <w:lang w:val="en-US" w:eastAsia="en-US" w:bidi="ar"/>
              </w:rPr>
              <w:t>经处理达标后排入市政污水管网，送往福清市第二污水处理厂集中处理，属于间接排放，根据《建设项目环境影响报告表编制技术指南</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污染影响类</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试行</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环办环评〔2020〕33号</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en-US" w:bidi="ar"/>
              </w:rPr>
              <w:t>要求，废水间接排放的建设项目应从处理能力、处理工艺、设计进出水水质等方面，分析依托集中污水处理厂的可行性。</w:t>
            </w:r>
          </w:p>
          <w:p w14:paraId="55DEC97D">
            <w:pPr>
              <w:pStyle w:val="46"/>
              <w:ind w:firstLine="480"/>
              <w:rPr>
                <w:rFonts w:hint="eastAsia"/>
                <w:color w:val="auto"/>
                <w:highlight w:val="none"/>
              </w:rPr>
            </w:pPr>
            <w:bookmarkStart w:id="50" w:name="_Ref12541"/>
            <w:r>
              <w:rPr>
                <w:rFonts w:hint="eastAsia"/>
                <w:color w:val="auto"/>
                <w:highlight w:val="none"/>
                <w:lang w:eastAsia="zh-CN"/>
              </w:rPr>
              <w:t>（1）</w:t>
            </w:r>
            <w:r>
              <w:rPr>
                <w:rFonts w:hint="eastAsia"/>
                <w:color w:val="auto"/>
                <w:highlight w:val="none"/>
              </w:rPr>
              <w:t>福清市第二污水处理厂基本情况</w:t>
            </w:r>
          </w:p>
          <w:p w14:paraId="7E67CFFC">
            <w:pPr>
              <w:pStyle w:val="46"/>
              <w:ind w:firstLine="480"/>
              <w:rPr>
                <w:rFonts w:hint="eastAsia"/>
                <w:color w:val="auto"/>
                <w:highlight w:val="none"/>
              </w:rPr>
            </w:pPr>
            <w:r>
              <w:rPr>
                <w:rFonts w:hint="eastAsia"/>
                <w:color w:val="auto"/>
                <w:highlight w:val="none"/>
              </w:rPr>
              <w:t>福清市第二污水处理厂现由福建省融海环境科技有限公司运营，福清市第二污水处理厂是一座具有现代化水准的花园式地下污水处理厂，位于福清市宏路街道大浦村和溪下村境内，为福建省首家</w:t>
            </w:r>
            <w:r>
              <w:rPr>
                <w:rFonts w:hint="eastAsia"/>
                <w:color w:val="auto"/>
                <w:highlight w:val="none"/>
                <w:lang w:eastAsia="zh-CN"/>
              </w:rPr>
              <w:t>一级</w:t>
            </w:r>
            <w:r>
              <w:rPr>
                <w:rFonts w:hint="eastAsia"/>
                <w:color w:val="auto"/>
                <w:highlight w:val="none"/>
              </w:rPr>
              <w:t>A排放标准的地下污水处理厂。</w:t>
            </w:r>
            <w:r>
              <w:rPr>
                <w:rFonts w:hint="eastAsia"/>
                <w:color w:val="auto"/>
                <w:highlight w:val="none"/>
                <w:lang w:eastAsia="zh-CN"/>
              </w:rPr>
              <w:t>污水处理厂</w:t>
            </w:r>
            <w:r>
              <w:rPr>
                <w:rFonts w:hint="eastAsia"/>
                <w:color w:val="auto"/>
                <w:highlight w:val="none"/>
              </w:rPr>
              <w:t>采用“曝气沉砂池+水解酸化AO+高效沉淀池+转盘滤池”工艺，并建设地面休闲公园，规划绿化率高达70%。</w:t>
            </w:r>
          </w:p>
          <w:p w14:paraId="6226107E">
            <w:pPr>
              <w:pStyle w:val="46"/>
              <w:ind w:firstLine="480"/>
              <w:rPr>
                <w:rFonts w:hint="eastAsia"/>
                <w:color w:val="auto"/>
                <w:highlight w:val="none"/>
              </w:rPr>
            </w:pPr>
            <w:r>
              <w:rPr>
                <w:rFonts w:hint="eastAsia"/>
                <w:color w:val="auto"/>
                <w:highlight w:val="none"/>
              </w:rPr>
              <w:t>设计处理污水规模近期为6万m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w:t>
            </w:r>
            <w:r>
              <w:rPr>
                <w:rFonts w:hint="eastAsia"/>
                <w:color w:val="auto"/>
                <w:highlight w:val="none"/>
              </w:rPr>
              <w:t>远期为12万m³/d</w:t>
            </w:r>
            <w:r>
              <w:rPr>
                <w:rFonts w:hint="eastAsia"/>
                <w:color w:val="auto"/>
                <w:highlight w:val="none"/>
                <w:lang w:eastAsia="zh-CN"/>
              </w:rPr>
              <w:t>，</w:t>
            </w:r>
            <w:r>
              <w:rPr>
                <w:rFonts w:hint="eastAsia"/>
                <w:color w:val="auto"/>
                <w:highlight w:val="none"/>
              </w:rPr>
              <w:t>占地面积为80278平方米。</w:t>
            </w:r>
            <w:r>
              <w:rPr>
                <w:rFonts w:hint="eastAsia"/>
                <w:color w:val="auto"/>
                <w:highlight w:val="none"/>
                <w:lang w:eastAsia="zh-CN"/>
              </w:rPr>
              <w:t>污水处理厂</w:t>
            </w:r>
            <w:r>
              <w:rPr>
                <w:rFonts w:hint="eastAsia"/>
                <w:color w:val="auto"/>
                <w:highlight w:val="none"/>
              </w:rPr>
              <w:t>一期6万m³/d于2015年7月开工建设，于2015年12月局部通水试运行，2016年9月进行污泥培养，2016年12月6日正式投产。</w:t>
            </w:r>
          </w:p>
          <w:p w14:paraId="58C8B78A">
            <w:pPr>
              <w:pStyle w:val="46"/>
              <w:ind w:firstLine="480"/>
              <w:rPr>
                <w:rFonts w:hint="eastAsia"/>
                <w:color w:val="auto"/>
                <w:highlight w:val="none"/>
              </w:rPr>
            </w:pPr>
            <w:r>
              <w:rPr>
                <w:rFonts w:hint="eastAsia"/>
                <w:color w:val="auto"/>
                <w:highlight w:val="none"/>
              </w:rPr>
              <w:t>该污水处理厂承担融侨西片区、南片区以及东张镇、镜洋镇的工业废水和生活污水处理任务，服务面积19.47km²</w:t>
            </w:r>
            <w:r>
              <w:rPr>
                <w:rFonts w:hint="eastAsia"/>
                <w:color w:val="auto"/>
                <w:highlight w:val="none"/>
                <w:lang w:eastAsia="zh-CN"/>
              </w:rPr>
              <w:t>，</w:t>
            </w:r>
            <w:r>
              <w:rPr>
                <w:rFonts w:hint="eastAsia"/>
                <w:color w:val="auto"/>
                <w:highlight w:val="none"/>
              </w:rPr>
              <w:t>服务人口</w:t>
            </w:r>
            <w:r>
              <w:rPr>
                <w:rFonts w:hint="eastAsia"/>
                <w:color w:val="auto"/>
                <w:highlight w:val="none"/>
                <w:lang w:eastAsia="zh-CN"/>
              </w:rPr>
              <w:t>约</w:t>
            </w:r>
            <w:r>
              <w:rPr>
                <w:rFonts w:hint="eastAsia"/>
                <w:color w:val="auto"/>
                <w:highlight w:val="none"/>
              </w:rPr>
              <w:t>20万人。处理后的尾水执行《城镇污水处理厂污染物排放标准》</w:t>
            </w:r>
            <w:r>
              <w:rPr>
                <w:rFonts w:hint="eastAsia"/>
                <w:color w:val="auto"/>
                <w:highlight w:val="none"/>
                <w:lang w:eastAsia="zh-CN"/>
              </w:rPr>
              <w:t>（</w:t>
            </w:r>
            <w:r>
              <w:rPr>
                <w:rFonts w:hint="eastAsia"/>
                <w:color w:val="auto"/>
                <w:highlight w:val="none"/>
              </w:rPr>
              <w:t>GB18918-2002</w:t>
            </w:r>
            <w:r>
              <w:rPr>
                <w:rFonts w:hint="eastAsia"/>
                <w:color w:val="auto"/>
                <w:highlight w:val="none"/>
                <w:lang w:eastAsia="zh-CN"/>
              </w:rPr>
              <w:t>）</w:t>
            </w:r>
            <w:r>
              <w:rPr>
                <w:rFonts w:hint="eastAsia"/>
                <w:color w:val="auto"/>
                <w:highlight w:val="none"/>
              </w:rPr>
              <w:t>及其修改单中的一级A标准，尾水排放龙江。</w:t>
            </w:r>
          </w:p>
          <w:p w14:paraId="23FB2DA9">
            <w:pPr>
              <w:pStyle w:val="46"/>
              <w:ind w:firstLine="480"/>
              <w:rPr>
                <w:rFonts w:hint="eastAsia" w:ascii="Times New Roman" w:hAnsi="Times New Roman" w:eastAsia="宋体" w:cs="宋体"/>
                <w:color w:val="auto"/>
                <w:highlight w:val="none"/>
                <w:lang w:val="zh-CN" w:eastAsia="zh-CN"/>
              </w:rPr>
            </w:pPr>
            <w:r>
              <w:rPr>
                <w:rFonts w:hint="eastAsia" w:ascii="Times New Roman" w:hAnsi="Times New Roman" w:eastAsia="宋体" w:cs="宋体"/>
                <w:color w:val="auto"/>
                <w:highlight w:val="none"/>
                <w:lang w:val="zh-CN" w:eastAsia="zh-CN"/>
              </w:rPr>
              <w:t>①设计进出水水质</w:t>
            </w:r>
          </w:p>
          <w:p w14:paraId="302C3D65">
            <w:pPr>
              <w:pStyle w:val="46"/>
              <w:ind w:firstLine="480"/>
              <w:rPr>
                <w:rFonts w:hint="eastAsia" w:ascii="Times New Roman" w:hAnsi="Times New Roman" w:eastAsia="宋体" w:cs="宋体"/>
                <w:color w:val="auto"/>
                <w:highlight w:val="none"/>
                <w:lang w:val="zh-CN" w:eastAsia="zh-CN"/>
              </w:rPr>
            </w:pPr>
            <w:r>
              <w:rPr>
                <w:rFonts w:hint="eastAsia" w:ascii="Times New Roman" w:hAnsi="Times New Roman" w:eastAsia="宋体" w:cs="宋体"/>
                <w:color w:val="auto"/>
                <w:highlight w:val="none"/>
                <w:lang w:val="zh-CN" w:eastAsia="zh-CN"/>
              </w:rPr>
              <w:t>根据《福清桑德水务有限公司福清市第二污水处理厂工程</w:t>
            </w:r>
            <w:r>
              <w:rPr>
                <w:rFonts w:hint="eastAsia" w:cs="宋体"/>
                <w:color w:val="auto"/>
                <w:highlight w:val="none"/>
                <w:lang w:val="zh-CN" w:eastAsia="zh-CN"/>
              </w:rPr>
              <w:t>（</w:t>
            </w:r>
            <w:r>
              <w:rPr>
                <w:rFonts w:hint="eastAsia" w:ascii="Times New Roman" w:hAnsi="Times New Roman" w:eastAsia="宋体" w:cs="宋体"/>
                <w:color w:val="auto"/>
                <w:highlight w:val="none"/>
                <w:lang w:val="zh-CN" w:eastAsia="zh-CN"/>
              </w:rPr>
              <w:t>一期</w:t>
            </w:r>
            <w:r>
              <w:rPr>
                <w:rFonts w:hint="eastAsia" w:cs="宋体"/>
                <w:color w:val="auto"/>
                <w:highlight w:val="none"/>
                <w:lang w:val="zh-CN" w:eastAsia="zh-CN"/>
              </w:rPr>
              <w:t>）</w:t>
            </w:r>
            <w:r>
              <w:rPr>
                <w:rFonts w:hint="eastAsia" w:ascii="Times New Roman" w:hAnsi="Times New Roman" w:eastAsia="宋体" w:cs="宋体"/>
                <w:color w:val="auto"/>
                <w:highlight w:val="none"/>
                <w:lang w:val="zh-CN" w:eastAsia="zh-CN"/>
              </w:rPr>
              <w:t>环境影响报告书</w:t>
            </w:r>
            <w:r>
              <w:rPr>
                <w:rFonts w:hint="eastAsia" w:cs="宋体"/>
                <w:color w:val="auto"/>
                <w:highlight w:val="none"/>
                <w:lang w:val="zh-CN" w:eastAsia="zh-CN"/>
              </w:rPr>
              <w:t>（</w:t>
            </w:r>
            <w:r>
              <w:rPr>
                <w:rFonts w:hint="eastAsia" w:ascii="Times New Roman" w:hAnsi="Times New Roman" w:eastAsia="宋体" w:cs="宋体"/>
                <w:color w:val="auto"/>
                <w:highlight w:val="none"/>
                <w:lang w:val="zh-CN" w:eastAsia="zh-CN"/>
              </w:rPr>
              <w:t>报批本</w:t>
            </w:r>
            <w:r>
              <w:rPr>
                <w:rFonts w:hint="eastAsia" w:cs="宋体"/>
                <w:color w:val="auto"/>
                <w:highlight w:val="none"/>
                <w:lang w:val="zh-CN" w:eastAsia="zh-CN"/>
              </w:rPr>
              <w:t>）</w:t>
            </w:r>
            <w:r>
              <w:rPr>
                <w:rFonts w:hint="eastAsia" w:ascii="Times New Roman" w:hAnsi="Times New Roman" w:eastAsia="宋体" w:cs="宋体"/>
                <w:color w:val="auto"/>
                <w:highlight w:val="none"/>
                <w:lang w:val="zh-CN" w:eastAsia="zh-CN"/>
              </w:rPr>
              <w:t>》可知，福清市第二污水处理厂进出水水质见表4.</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lang w:val="zh-CN" w:eastAsia="zh-CN"/>
              </w:rPr>
              <w:t>-</w:t>
            </w:r>
            <w:r>
              <w:rPr>
                <w:rFonts w:hint="eastAsia" w:ascii="Times New Roman" w:hAnsi="Times New Roman" w:eastAsia="宋体" w:cs="宋体"/>
                <w:color w:val="auto"/>
                <w:highlight w:val="none"/>
                <w:lang w:val="en-US" w:eastAsia="zh-CN"/>
              </w:rPr>
              <w:t>5</w:t>
            </w:r>
            <w:r>
              <w:rPr>
                <w:rFonts w:hint="eastAsia" w:ascii="Times New Roman" w:hAnsi="Times New Roman" w:eastAsia="宋体" w:cs="宋体"/>
                <w:color w:val="auto"/>
                <w:highlight w:val="none"/>
                <w:lang w:val="zh-CN" w:eastAsia="zh-CN"/>
              </w:rPr>
              <w:t>。</w:t>
            </w:r>
          </w:p>
          <w:p w14:paraId="6626739E">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污水处理厂</w:t>
            </w:r>
            <w:r>
              <w:rPr>
                <w:rFonts w:hint="eastAsia" w:ascii="Times New Roman" w:hAnsi="Times New Roman" w:eastAsia="宋体" w:cs="Times New Roman"/>
                <w:color w:val="auto"/>
                <w:highlight w:val="none"/>
                <w:lang w:val="en-US" w:eastAsia="zh-CN"/>
              </w:rPr>
              <w:t>进出水水质标准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mg/L pH除外</w:t>
            </w:r>
            <w:r>
              <w:rPr>
                <w:rFonts w:hint="eastAsia" w:cs="Times New Roman"/>
                <w:color w:val="auto"/>
                <w:highlight w:val="none"/>
                <w:lang w:val="en-US" w:eastAsia="zh-CN"/>
              </w:rPr>
              <w:t>）</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882"/>
              <w:gridCol w:w="1015"/>
              <w:gridCol w:w="1117"/>
              <w:gridCol w:w="966"/>
              <w:gridCol w:w="1241"/>
              <w:gridCol w:w="810"/>
            </w:tblGrid>
            <w:tr w14:paraId="18AE8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0" w:type="pct"/>
                  <w:tcBorders>
                    <w:bottom w:val="single" w:color="auto" w:sz="12" w:space="0"/>
                  </w:tcBorders>
                  <w:shd w:val="clear" w:color="auto" w:fill="auto"/>
                  <w:vAlign w:val="center"/>
                </w:tcPr>
                <w:p w14:paraId="0432C40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水质指标</w:t>
                  </w:r>
                </w:p>
              </w:tc>
              <w:tc>
                <w:tcPr>
                  <w:tcW w:w="1075" w:type="pct"/>
                  <w:tcBorders>
                    <w:bottom w:val="single" w:color="auto" w:sz="12" w:space="0"/>
                  </w:tcBorders>
                  <w:shd w:val="clear" w:color="auto" w:fill="auto"/>
                  <w:vAlign w:val="center"/>
                </w:tcPr>
                <w:p w14:paraId="5006757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pH</w:t>
                  </w:r>
                </w:p>
              </w:tc>
              <w:tc>
                <w:tcPr>
                  <w:tcW w:w="580" w:type="pct"/>
                  <w:tcBorders>
                    <w:bottom w:val="single" w:color="auto" w:sz="12" w:space="0"/>
                  </w:tcBorders>
                  <w:shd w:val="clear" w:color="auto" w:fill="auto"/>
                  <w:vAlign w:val="center"/>
                </w:tcPr>
                <w:p w14:paraId="1C5B848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COD</w:t>
                  </w:r>
                </w:p>
              </w:tc>
              <w:tc>
                <w:tcPr>
                  <w:tcW w:w="638" w:type="pct"/>
                  <w:tcBorders>
                    <w:bottom w:val="single" w:color="auto" w:sz="12" w:space="0"/>
                  </w:tcBorders>
                  <w:shd w:val="clear" w:color="auto" w:fill="auto"/>
                  <w:vAlign w:val="center"/>
                </w:tcPr>
                <w:p w14:paraId="0090A7C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Calibri"/>
                      <w:color w:val="auto"/>
                      <w:kern w:val="2"/>
                      <w:sz w:val="21"/>
                      <w:szCs w:val="24"/>
                      <w:highlight w:val="none"/>
                      <w:lang w:val="zh-CN" w:eastAsia="zh-CN" w:bidi="ar-SA"/>
                    </w:rPr>
                  </w:pPr>
                  <w:r>
                    <w:rPr>
                      <w:rFonts w:ascii="Times New Roman" w:hAnsi="Times New Roman" w:eastAsia="宋体"/>
                      <w:color w:val="auto"/>
                      <w:spacing w:val="-1"/>
                      <w:sz w:val="21"/>
                      <w:szCs w:val="24"/>
                      <w:highlight w:val="none"/>
                    </w:rPr>
                    <w:t>BOD</w:t>
                  </w:r>
                  <w:r>
                    <w:rPr>
                      <w:rFonts w:ascii="Times New Roman" w:hAnsi="Times New Roman" w:eastAsia="宋体" w:cs="Calibri"/>
                      <w:color w:val="auto"/>
                      <w:spacing w:val="-1"/>
                      <w:sz w:val="21"/>
                      <w:szCs w:val="24"/>
                      <w:highlight w:val="none"/>
                    </w:rPr>
                    <w:t>₃</w:t>
                  </w:r>
                </w:p>
              </w:tc>
              <w:tc>
                <w:tcPr>
                  <w:tcW w:w="552" w:type="pct"/>
                  <w:tcBorders>
                    <w:bottom w:val="single" w:color="auto" w:sz="12" w:space="0"/>
                  </w:tcBorders>
                  <w:shd w:val="clear" w:color="auto" w:fill="auto"/>
                  <w:vAlign w:val="center"/>
                </w:tcPr>
                <w:p w14:paraId="3866855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3"/>
                      <w:sz w:val="21"/>
                      <w:szCs w:val="24"/>
                      <w:highlight w:val="none"/>
                    </w:rPr>
                    <w:t>SS</w:t>
                  </w:r>
                </w:p>
              </w:tc>
              <w:tc>
                <w:tcPr>
                  <w:tcW w:w="709" w:type="pct"/>
                  <w:tcBorders>
                    <w:bottom w:val="single" w:color="auto" w:sz="12" w:space="0"/>
                  </w:tcBorders>
                  <w:shd w:val="clear" w:color="auto" w:fill="auto"/>
                  <w:vAlign w:val="center"/>
                </w:tcPr>
                <w:p w14:paraId="2C6E7B0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1"/>
                      <w:sz w:val="21"/>
                      <w:szCs w:val="24"/>
                      <w:highlight w:val="none"/>
                    </w:rPr>
                    <w:t>NH</w:t>
                  </w:r>
                  <w:r>
                    <w:rPr>
                      <w:rFonts w:ascii="Times New Roman" w:hAnsi="Times New Roman" w:eastAsia="宋体" w:cs="Calibri"/>
                      <w:color w:val="auto"/>
                      <w:spacing w:val="-1"/>
                      <w:sz w:val="21"/>
                      <w:szCs w:val="24"/>
                      <w:highlight w:val="none"/>
                    </w:rPr>
                    <w:t>₃</w:t>
                  </w:r>
                  <w:r>
                    <w:rPr>
                      <w:rFonts w:ascii="Times New Roman" w:hAnsi="Times New Roman" w:eastAsia="宋体"/>
                      <w:color w:val="auto"/>
                      <w:spacing w:val="-1"/>
                      <w:sz w:val="21"/>
                      <w:szCs w:val="24"/>
                      <w:highlight w:val="none"/>
                    </w:rPr>
                    <w:t>-N</w:t>
                  </w:r>
                </w:p>
              </w:tc>
              <w:tc>
                <w:tcPr>
                  <w:tcW w:w="462" w:type="pct"/>
                  <w:tcBorders>
                    <w:bottom w:val="single" w:color="auto" w:sz="12" w:space="0"/>
                  </w:tcBorders>
                  <w:shd w:val="clear" w:color="auto" w:fill="auto"/>
                  <w:vAlign w:val="center"/>
                </w:tcPr>
                <w:p w14:paraId="6F75F62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TN</w:t>
                  </w:r>
                </w:p>
              </w:tc>
            </w:tr>
            <w:tr w14:paraId="085E1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0" w:type="pct"/>
                  <w:tcBorders>
                    <w:top w:val="single" w:color="auto" w:sz="12" w:space="0"/>
                    <w:tl2br w:val="nil"/>
                    <w:tr2bl w:val="nil"/>
                  </w:tcBorders>
                  <w:shd w:val="clear" w:color="auto" w:fill="auto"/>
                  <w:vAlign w:val="center"/>
                </w:tcPr>
                <w:p w14:paraId="0FA2E53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6"/>
                      <w:sz w:val="21"/>
                      <w:szCs w:val="24"/>
                      <w:highlight w:val="none"/>
                    </w:rPr>
                    <w:t>进水水质</w:t>
                  </w:r>
                </w:p>
              </w:tc>
              <w:tc>
                <w:tcPr>
                  <w:tcW w:w="1075" w:type="pct"/>
                  <w:tcBorders>
                    <w:top w:val="single" w:color="auto" w:sz="12" w:space="0"/>
                    <w:tl2br w:val="nil"/>
                    <w:tr2bl w:val="nil"/>
                  </w:tcBorders>
                  <w:shd w:val="clear" w:color="auto" w:fill="auto"/>
                  <w:vAlign w:val="center"/>
                </w:tcPr>
                <w:p w14:paraId="17045B50">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9"/>
                      <w:sz w:val="21"/>
                      <w:szCs w:val="24"/>
                      <w:highlight w:val="none"/>
                    </w:rPr>
                    <w:t>6~9</w:t>
                  </w:r>
                  <w:r>
                    <w:rPr>
                      <w:rFonts w:hint="eastAsia" w:ascii="Times New Roman" w:hAnsi="Times New Roman"/>
                      <w:color w:val="auto"/>
                      <w:spacing w:val="-9"/>
                      <w:sz w:val="21"/>
                      <w:szCs w:val="24"/>
                      <w:highlight w:val="none"/>
                      <w:lang w:eastAsia="zh-CN"/>
                    </w:rPr>
                    <w:t>（</w:t>
                  </w:r>
                  <w:r>
                    <w:rPr>
                      <w:rFonts w:ascii="Times New Roman" w:hAnsi="Times New Roman" w:eastAsia="宋体"/>
                      <w:color w:val="auto"/>
                      <w:spacing w:val="-9"/>
                      <w:sz w:val="21"/>
                      <w:szCs w:val="24"/>
                      <w:highlight w:val="none"/>
                    </w:rPr>
                    <w:t>无量纲</w:t>
                  </w:r>
                  <w:r>
                    <w:rPr>
                      <w:rFonts w:hint="eastAsia" w:ascii="Times New Roman" w:hAnsi="Times New Roman"/>
                      <w:color w:val="auto"/>
                      <w:spacing w:val="-9"/>
                      <w:sz w:val="21"/>
                      <w:szCs w:val="24"/>
                      <w:highlight w:val="none"/>
                      <w:lang w:eastAsia="zh-CN"/>
                    </w:rPr>
                    <w:t>）</w:t>
                  </w:r>
                </w:p>
              </w:tc>
              <w:tc>
                <w:tcPr>
                  <w:tcW w:w="580" w:type="pct"/>
                  <w:tcBorders>
                    <w:top w:val="single" w:color="auto" w:sz="12" w:space="0"/>
                    <w:tl2br w:val="nil"/>
                    <w:tr2bl w:val="nil"/>
                  </w:tcBorders>
                  <w:shd w:val="clear" w:color="auto" w:fill="auto"/>
                  <w:vAlign w:val="center"/>
                </w:tcPr>
                <w:p w14:paraId="5C8107A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6"/>
                      <w:sz w:val="21"/>
                      <w:szCs w:val="24"/>
                      <w:highlight w:val="none"/>
                    </w:rPr>
                    <w:t>≤400</w:t>
                  </w:r>
                </w:p>
              </w:tc>
              <w:tc>
                <w:tcPr>
                  <w:tcW w:w="638" w:type="pct"/>
                  <w:tcBorders>
                    <w:top w:val="single" w:color="auto" w:sz="12" w:space="0"/>
                    <w:tl2br w:val="nil"/>
                    <w:tr2bl w:val="nil"/>
                  </w:tcBorders>
                  <w:shd w:val="clear" w:color="auto" w:fill="auto"/>
                  <w:vAlign w:val="center"/>
                </w:tcPr>
                <w:p w14:paraId="424C30B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w:t>
                  </w:r>
                  <w:r>
                    <w:rPr>
                      <w:rFonts w:hint="eastAsia" w:ascii="Times New Roman" w:hAnsi="Times New Roman"/>
                      <w:color w:val="auto"/>
                      <w:spacing w:val="-7"/>
                      <w:sz w:val="21"/>
                      <w:szCs w:val="24"/>
                      <w:highlight w:val="none"/>
                      <w:lang w:val="en-US" w:eastAsia="zh-CN"/>
                    </w:rPr>
                    <w:t>2</w:t>
                  </w:r>
                  <w:r>
                    <w:rPr>
                      <w:rFonts w:ascii="Times New Roman" w:hAnsi="Times New Roman" w:eastAsia="宋体"/>
                      <w:color w:val="auto"/>
                      <w:spacing w:val="-7"/>
                      <w:sz w:val="21"/>
                      <w:szCs w:val="24"/>
                      <w:highlight w:val="none"/>
                    </w:rPr>
                    <w:t>20</w:t>
                  </w:r>
                </w:p>
              </w:tc>
              <w:tc>
                <w:tcPr>
                  <w:tcW w:w="552" w:type="pct"/>
                  <w:tcBorders>
                    <w:top w:val="single" w:color="auto" w:sz="12" w:space="0"/>
                    <w:tl2br w:val="nil"/>
                    <w:tr2bl w:val="nil"/>
                  </w:tcBorders>
                  <w:shd w:val="clear" w:color="auto" w:fill="auto"/>
                  <w:vAlign w:val="center"/>
                </w:tcPr>
                <w:p w14:paraId="4974E95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6"/>
                      <w:sz w:val="21"/>
                      <w:szCs w:val="24"/>
                      <w:highlight w:val="none"/>
                    </w:rPr>
                    <w:t>≤280</w:t>
                  </w:r>
                </w:p>
              </w:tc>
              <w:tc>
                <w:tcPr>
                  <w:tcW w:w="709" w:type="pct"/>
                  <w:tcBorders>
                    <w:top w:val="single" w:color="auto" w:sz="12" w:space="0"/>
                    <w:tl2br w:val="nil"/>
                    <w:tr2bl w:val="nil"/>
                  </w:tcBorders>
                  <w:shd w:val="clear" w:color="auto" w:fill="auto"/>
                  <w:vAlign w:val="center"/>
                </w:tcPr>
                <w:p w14:paraId="6594256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9"/>
                      <w:sz w:val="21"/>
                      <w:szCs w:val="24"/>
                      <w:highlight w:val="none"/>
                    </w:rPr>
                    <w:t>≤</w:t>
                  </w:r>
                  <w:r>
                    <w:rPr>
                      <w:rFonts w:ascii="Times New Roman" w:hAnsi="Times New Roman" w:eastAsia="宋体"/>
                      <w:color w:val="auto"/>
                      <w:spacing w:val="-4"/>
                      <w:sz w:val="21"/>
                      <w:szCs w:val="24"/>
                      <w:highlight w:val="none"/>
                    </w:rPr>
                    <w:t>37</w:t>
                  </w:r>
                </w:p>
              </w:tc>
              <w:tc>
                <w:tcPr>
                  <w:tcW w:w="462" w:type="pct"/>
                  <w:tcBorders>
                    <w:top w:val="single" w:color="auto" w:sz="12" w:space="0"/>
                    <w:tl2br w:val="nil"/>
                    <w:tr2bl w:val="nil"/>
                  </w:tcBorders>
                  <w:shd w:val="clear" w:color="auto" w:fill="auto"/>
                  <w:vAlign w:val="center"/>
                </w:tcPr>
                <w:p w14:paraId="496F674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≤4</w:t>
                  </w:r>
                </w:p>
              </w:tc>
            </w:tr>
            <w:tr w14:paraId="51586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80" w:type="pct"/>
                  <w:tcBorders>
                    <w:tl2br w:val="nil"/>
                    <w:tr2bl w:val="nil"/>
                  </w:tcBorders>
                  <w:shd w:val="clear" w:color="auto" w:fill="auto"/>
                  <w:vAlign w:val="center"/>
                </w:tcPr>
                <w:p w14:paraId="24A897C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2"/>
                      <w:sz w:val="21"/>
                      <w:szCs w:val="24"/>
                      <w:highlight w:val="none"/>
                    </w:rPr>
                    <w:t>出水标准</w:t>
                  </w:r>
                </w:p>
              </w:tc>
              <w:tc>
                <w:tcPr>
                  <w:tcW w:w="1075" w:type="pct"/>
                  <w:tcBorders>
                    <w:tl2br w:val="nil"/>
                    <w:tr2bl w:val="nil"/>
                  </w:tcBorders>
                  <w:shd w:val="clear" w:color="auto" w:fill="auto"/>
                  <w:vAlign w:val="center"/>
                </w:tcPr>
                <w:p w14:paraId="283B89BB">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9"/>
                      <w:sz w:val="21"/>
                      <w:szCs w:val="24"/>
                      <w:highlight w:val="none"/>
                    </w:rPr>
                    <w:t>6~9</w:t>
                  </w:r>
                  <w:r>
                    <w:rPr>
                      <w:rFonts w:hint="eastAsia" w:ascii="Times New Roman" w:hAnsi="Times New Roman"/>
                      <w:color w:val="auto"/>
                      <w:spacing w:val="-9"/>
                      <w:sz w:val="21"/>
                      <w:szCs w:val="24"/>
                      <w:highlight w:val="none"/>
                      <w:lang w:eastAsia="zh-CN"/>
                    </w:rPr>
                    <w:t>（</w:t>
                  </w:r>
                  <w:r>
                    <w:rPr>
                      <w:rFonts w:ascii="Times New Roman" w:hAnsi="Times New Roman" w:eastAsia="宋体"/>
                      <w:color w:val="auto"/>
                      <w:spacing w:val="-9"/>
                      <w:sz w:val="21"/>
                      <w:szCs w:val="24"/>
                      <w:highlight w:val="none"/>
                    </w:rPr>
                    <w:t>无量纲</w:t>
                  </w:r>
                  <w:r>
                    <w:rPr>
                      <w:rFonts w:hint="eastAsia" w:ascii="Times New Roman" w:hAnsi="Times New Roman"/>
                      <w:color w:val="auto"/>
                      <w:spacing w:val="-9"/>
                      <w:sz w:val="21"/>
                      <w:szCs w:val="24"/>
                      <w:highlight w:val="none"/>
                      <w:lang w:eastAsia="zh-CN"/>
                    </w:rPr>
                    <w:t>）</w:t>
                  </w:r>
                </w:p>
              </w:tc>
              <w:tc>
                <w:tcPr>
                  <w:tcW w:w="580" w:type="pct"/>
                  <w:tcBorders>
                    <w:tl2br w:val="nil"/>
                    <w:tr2bl w:val="nil"/>
                  </w:tcBorders>
                  <w:shd w:val="clear" w:color="auto" w:fill="auto"/>
                  <w:vAlign w:val="center"/>
                </w:tcPr>
                <w:p w14:paraId="0D30C5F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≤50</w:t>
                  </w:r>
                </w:p>
              </w:tc>
              <w:tc>
                <w:tcPr>
                  <w:tcW w:w="638" w:type="pct"/>
                  <w:tcBorders>
                    <w:tl2br w:val="nil"/>
                    <w:tr2bl w:val="nil"/>
                  </w:tcBorders>
                  <w:shd w:val="clear" w:color="auto" w:fill="auto"/>
                  <w:vAlign w:val="center"/>
                </w:tcPr>
                <w:p w14:paraId="2072F53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≤10</w:t>
                  </w:r>
                </w:p>
              </w:tc>
              <w:tc>
                <w:tcPr>
                  <w:tcW w:w="552" w:type="pct"/>
                  <w:tcBorders>
                    <w:tl2br w:val="nil"/>
                    <w:tr2bl w:val="nil"/>
                  </w:tcBorders>
                  <w:shd w:val="clear" w:color="auto" w:fill="auto"/>
                  <w:vAlign w:val="center"/>
                </w:tcPr>
                <w:p w14:paraId="74284E1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7"/>
                      <w:sz w:val="21"/>
                      <w:szCs w:val="24"/>
                      <w:highlight w:val="none"/>
                    </w:rPr>
                    <w:t>≤10</w:t>
                  </w:r>
                </w:p>
              </w:tc>
              <w:tc>
                <w:tcPr>
                  <w:tcW w:w="709" w:type="pct"/>
                  <w:tcBorders>
                    <w:tl2br w:val="nil"/>
                    <w:tr2bl w:val="nil"/>
                  </w:tcBorders>
                  <w:shd w:val="clear" w:color="auto" w:fill="auto"/>
                  <w:vAlign w:val="center"/>
                </w:tcPr>
                <w:p w14:paraId="3FC6D46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kern w:val="2"/>
                      <w:sz w:val="21"/>
                      <w:szCs w:val="24"/>
                      <w:highlight w:val="none"/>
                      <w:lang w:val="zh-CN" w:eastAsia="zh-CN" w:bidi="ar-SA"/>
                    </w:rPr>
                  </w:pPr>
                  <w:r>
                    <w:rPr>
                      <w:rFonts w:ascii="Times New Roman" w:hAnsi="Times New Roman" w:eastAsia="宋体"/>
                      <w:color w:val="auto"/>
                      <w:spacing w:val="-9"/>
                      <w:sz w:val="21"/>
                      <w:szCs w:val="24"/>
                      <w:highlight w:val="none"/>
                    </w:rPr>
                    <w:t>≤</w:t>
                  </w:r>
                  <w:r>
                    <w:rPr>
                      <w:rFonts w:hint="eastAsia" w:ascii="Times New Roman" w:hAnsi="Times New Roman"/>
                      <w:color w:val="auto"/>
                      <w:spacing w:val="-9"/>
                      <w:sz w:val="21"/>
                      <w:szCs w:val="24"/>
                      <w:highlight w:val="none"/>
                      <w:lang w:val="en-US" w:eastAsia="zh-CN"/>
                    </w:rPr>
                    <w:t>1</w:t>
                  </w:r>
                  <w:r>
                    <w:rPr>
                      <w:rFonts w:ascii="Times New Roman" w:hAnsi="Times New Roman" w:eastAsia="宋体"/>
                      <w:color w:val="auto"/>
                      <w:spacing w:val="-9"/>
                      <w:sz w:val="21"/>
                      <w:szCs w:val="24"/>
                      <w:highlight w:val="none"/>
                    </w:rPr>
                    <w:t>5</w:t>
                  </w:r>
                </w:p>
              </w:tc>
              <w:tc>
                <w:tcPr>
                  <w:tcW w:w="462" w:type="pct"/>
                  <w:tcBorders>
                    <w:tl2br w:val="nil"/>
                    <w:tr2bl w:val="nil"/>
                  </w:tcBorders>
                  <w:shd w:val="clear" w:color="auto" w:fill="auto"/>
                  <w:vAlign w:val="center"/>
                </w:tcPr>
                <w:p w14:paraId="3D7BD5D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kern w:val="2"/>
                      <w:sz w:val="21"/>
                      <w:szCs w:val="24"/>
                      <w:highlight w:val="none"/>
                      <w:lang w:val="en-US" w:eastAsia="zh-CN" w:bidi="ar-SA"/>
                    </w:rPr>
                  </w:pPr>
                  <w:r>
                    <w:rPr>
                      <w:rFonts w:ascii="Times New Roman" w:hAnsi="Times New Roman" w:eastAsia="宋体"/>
                      <w:color w:val="auto"/>
                      <w:spacing w:val="-7"/>
                      <w:sz w:val="21"/>
                      <w:szCs w:val="24"/>
                      <w:highlight w:val="none"/>
                    </w:rPr>
                    <w:t>≤</w:t>
                  </w:r>
                  <w:r>
                    <w:rPr>
                      <w:rFonts w:hint="eastAsia" w:ascii="Times New Roman" w:hAnsi="Times New Roman"/>
                      <w:color w:val="auto"/>
                      <w:spacing w:val="-7"/>
                      <w:sz w:val="21"/>
                      <w:szCs w:val="24"/>
                      <w:highlight w:val="none"/>
                      <w:lang w:val="en-US" w:eastAsia="zh-CN"/>
                    </w:rPr>
                    <w:t>0.5</w:t>
                  </w:r>
                </w:p>
              </w:tc>
            </w:tr>
          </w:tbl>
          <w:p w14:paraId="0205F2A1">
            <w:pPr>
              <w:rPr>
                <w:rFonts w:hint="eastAsia"/>
                <w:color w:val="auto"/>
                <w:highlight w:val="none"/>
                <w:lang w:val="zh-CN" w:eastAsia="zh-CN"/>
              </w:rPr>
            </w:pPr>
          </w:p>
          <w:p w14:paraId="20855411">
            <w:pPr>
              <w:pStyle w:val="46"/>
              <w:ind w:firstLine="480"/>
              <w:rPr>
                <w:rFonts w:hint="eastAsia"/>
                <w:color w:val="auto"/>
                <w:sz w:val="24"/>
                <w:szCs w:val="24"/>
                <w:highlight w:val="none"/>
              </w:rPr>
            </w:pPr>
            <w:r>
              <w:rPr>
                <w:rFonts w:hint="eastAsia"/>
                <w:color w:val="auto"/>
                <w:sz w:val="24"/>
                <w:szCs w:val="24"/>
                <w:highlight w:val="none"/>
              </w:rPr>
              <w:t>②处理工艺</w:t>
            </w:r>
          </w:p>
          <w:p w14:paraId="1EE022A0">
            <w:pPr>
              <w:pStyle w:val="46"/>
              <w:ind w:firstLine="480"/>
              <w:rPr>
                <w:rFonts w:hint="eastAsia"/>
                <w:color w:val="auto"/>
                <w:sz w:val="24"/>
                <w:szCs w:val="24"/>
                <w:highlight w:val="none"/>
              </w:rPr>
            </w:pPr>
            <w:r>
              <w:rPr>
                <w:rFonts w:hint="eastAsia"/>
                <w:color w:val="auto"/>
                <w:sz w:val="24"/>
                <w:szCs w:val="24"/>
                <w:highlight w:val="none"/>
              </w:rPr>
              <w:t>污水处理工艺流程详见图4.</w:t>
            </w:r>
            <w:r>
              <w:rPr>
                <w:rFonts w:hint="eastAsia"/>
                <w:color w:val="auto"/>
                <w:sz w:val="24"/>
                <w:szCs w:val="24"/>
                <w:highlight w:val="none"/>
                <w:lang w:val="en-US" w:eastAsia="zh-CN"/>
              </w:rPr>
              <w:t>3</w:t>
            </w:r>
            <w:r>
              <w:rPr>
                <w:rFonts w:hint="eastAsia"/>
                <w:color w:val="auto"/>
                <w:sz w:val="24"/>
                <w:szCs w:val="24"/>
                <w:highlight w:val="none"/>
              </w:rPr>
              <w:t>-</w:t>
            </w:r>
            <w:r>
              <w:rPr>
                <w:rFonts w:hint="eastAsia"/>
                <w:color w:val="auto"/>
                <w:sz w:val="24"/>
                <w:szCs w:val="24"/>
                <w:highlight w:val="none"/>
                <w:lang w:val="en-US" w:eastAsia="zh-CN"/>
              </w:rPr>
              <w:t>2</w:t>
            </w:r>
            <w:r>
              <w:rPr>
                <w:rFonts w:hint="eastAsia"/>
                <w:color w:val="auto"/>
                <w:sz w:val="24"/>
                <w:szCs w:val="24"/>
                <w:highlight w:val="none"/>
              </w:rPr>
              <w:t>。</w:t>
            </w:r>
          </w:p>
          <w:p w14:paraId="2DA879FE">
            <w:pPr>
              <w:pStyle w:val="46"/>
              <w:keepNext w:val="0"/>
              <w:keepLines w:val="0"/>
              <w:pageBreakBefore w:val="0"/>
              <w:widowControl w:val="0"/>
              <w:kinsoku/>
              <w:wordWrap/>
              <w:overflowPunct/>
              <w:topLinePunct w:val="0"/>
              <w:autoSpaceDE w:val="0"/>
              <w:autoSpaceDN w:val="0"/>
              <w:bidi w:val="0"/>
              <w:adjustRightInd/>
              <w:snapToGrid/>
              <w:ind w:firstLine="0" w:firstLineChars="0"/>
              <w:textAlignment w:val="auto"/>
              <w:rPr>
                <w:color w:val="auto"/>
                <w:highlight w:val="none"/>
              </w:rPr>
            </w:pPr>
            <w:r>
              <w:rPr>
                <w:color w:val="auto"/>
                <w:highlight w:val="none"/>
              </w:rPr>
              <w:drawing>
                <wp:inline distT="0" distB="0" distL="114300" distR="114300">
                  <wp:extent cx="5403850" cy="3745230"/>
                  <wp:effectExtent l="0" t="0" r="635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a:stretch>
                            <a:fillRect/>
                          </a:stretch>
                        </pic:blipFill>
                        <pic:spPr>
                          <a:xfrm>
                            <a:off x="0" y="0"/>
                            <a:ext cx="5403850" cy="3745230"/>
                          </a:xfrm>
                          <a:prstGeom prst="rect">
                            <a:avLst/>
                          </a:prstGeom>
                          <a:noFill/>
                          <a:ln>
                            <a:noFill/>
                          </a:ln>
                        </pic:spPr>
                      </pic:pic>
                    </a:graphicData>
                  </a:graphic>
                </wp:inline>
              </w:drawing>
            </w:r>
          </w:p>
          <w:p w14:paraId="5E5282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图4.3-2  福清市第二污水处理厂污水处理流程图</w:t>
            </w:r>
          </w:p>
          <w:p w14:paraId="5E11DD77">
            <w:pPr>
              <w:pStyle w:val="115"/>
              <w:keepNext w:val="0"/>
              <w:keepLines w:val="0"/>
              <w:pageBreakBefore w:val="0"/>
              <w:widowControl w:val="0"/>
              <w:kinsoku/>
              <w:wordWrap/>
              <w:overflowPunct/>
              <w:topLinePunct w:val="0"/>
              <w:bidi w:val="0"/>
              <w:adjustRightInd/>
              <w:snapToGrid/>
              <w:spacing w:line="360" w:lineRule="auto"/>
              <w:ind w:left="0" w:firstLine="500" w:firstLineChars="200"/>
              <w:textAlignment w:val="auto"/>
              <w:rPr>
                <w:color w:val="auto"/>
                <w:sz w:val="25"/>
                <w:szCs w:val="25"/>
                <w:highlight w:val="none"/>
              </w:rPr>
            </w:pPr>
            <w:r>
              <w:rPr>
                <w:rFonts w:hint="eastAsia"/>
                <w:color w:val="auto"/>
                <w:sz w:val="25"/>
                <w:szCs w:val="25"/>
                <w:highlight w:val="none"/>
                <w:lang w:eastAsia="zh-CN"/>
              </w:rPr>
              <w:t>（2）</w:t>
            </w:r>
            <w:r>
              <w:rPr>
                <w:color w:val="auto"/>
                <w:sz w:val="25"/>
                <w:szCs w:val="25"/>
                <w:highlight w:val="none"/>
              </w:rPr>
              <w:t>依托可行性分析</w:t>
            </w:r>
          </w:p>
          <w:p w14:paraId="15D571F1">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①接管可行性</w:t>
            </w:r>
          </w:p>
          <w:p w14:paraId="46084989">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福清市第二污水处理厂服务范围是融侨西片区、融侨南片区、东张镇和镜洋镇的生活污水和工业废水；本项目所在区域</w:t>
            </w:r>
            <w:r>
              <w:rPr>
                <w:rFonts w:hint="eastAsia" w:cs="宋体"/>
                <w:color w:val="auto"/>
                <w:highlight w:val="none"/>
                <w:lang w:eastAsia="zh-CN"/>
              </w:rPr>
              <w:t>位于</w:t>
            </w:r>
            <w:r>
              <w:rPr>
                <w:rFonts w:hint="eastAsia"/>
                <w:color w:val="auto"/>
                <w:spacing w:val="-2"/>
                <w:sz w:val="24"/>
                <w:lang w:val="en-US" w:eastAsia="zh-CN"/>
              </w:rPr>
              <w:t>福建省福州市福清融侨经济技术开发区镜洋镇（租赁福州鼎力机械有限公司铸造车间1号）</w:t>
            </w:r>
            <w:r>
              <w:rPr>
                <w:rFonts w:hint="eastAsia" w:ascii="Times New Roman" w:hAnsi="Times New Roman" w:eastAsia="宋体" w:cs="宋体"/>
                <w:color w:val="auto"/>
                <w:highlight w:val="none"/>
              </w:rPr>
              <w:t>，属于福清市第二污水处理厂设计纳污范围内。</w:t>
            </w:r>
          </w:p>
          <w:p w14:paraId="293FB3EF">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根据现场踏勘可知，本项目所在厂区已将厂区污水管网接入镜洋镇国道东侧市政排污总管，可引至福清市第二污水处理厂处理。</w:t>
            </w:r>
          </w:p>
          <w:p w14:paraId="723F77C5">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②水质负荷</w:t>
            </w:r>
          </w:p>
          <w:p w14:paraId="538722C0">
            <w:pPr>
              <w:pStyle w:val="46"/>
              <w:keepNext w:val="0"/>
              <w:keepLines w:val="0"/>
              <w:pageBreakBefore w:val="0"/>
              <w:widowControl w:val="0"/>
              <w:kinsoku/>
              <w:wordWrap/>
              <w:overflowPunct/>
              <w:topLinePunct w:val="0"/>
              <w:bidi w:val="0"/>
              <w:adjustRightInd/>
              <w:snapToGrid/>
              <w:spacing w:line="360" w:lineRule="auto"/>
              <w:ind w:left="0" w:firstLine="48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项目</w:t>
            </w:r>
            <w:r>
              <w:rPr>
                <w:rFonts w:hint="eastAsia" w:cs="宋体"/>
                <w:color w:val="auto"/>
                <w:highlight w:val="none"/>
                <w:lang w:val="en-US" w:eastAsia="zh-CN"/>
              </w:rPr>
              <w:t>生活污水和生产废水</w:t>
            </w:r>
            <w:r>
              <w:rPr>
                <w:rFonts w:hint="eastAsia" w:ascii="Times New Roman" w:hAnsi="Times New Roman" w:eastAsia="宋体" w:cs="宋体"/>
                <w:color w:val="auto"/>
                <w:highlight w:val="none"/>
              </w:rPr>
              <w:t>经处理达标后排入市政污水管网，送往福清市第二污水处理厂集中处理，根据工程分析预测可知，项目</w:t>
            </w:r>
            <w:r>
              <w:rPr>
                <w:rFonts w:hint="eastAsia" w:cs="宋体"/>
                <w:color w:val="auto"/>
                <w:highlight w:val="none"/>
                <w:lang w:val="en-US" w:eastAsia="zh-CN"/>
              </w:rPr>
              <w:t>生活污水和生产废水</w:t>
            </w:r>
            <w:r>
              <w:rPr>
                <w:rFonts w:hint="eastAsia" w:ascii="Times New Roman" w:hAnsi="Times New Roman" w:eastAsia="宋体" w:cs="宋体"/>
                <w:color w:val="auto"/>
                <w:highlight w:val="none"/>
              </w:rPr>
              <w:t>排入市政污水管网内污染物排放浓度情况</w:t>
            </w:r>
            <w:r>
              <w:rPr>
                <w:rFonts w:hint="eastAsia" w:cs="宋体"/>
                <w:color w:val="auto"/>
                <w:highlight w:val="none"/>
                <w:lang w:val="en-US" w:eastAsia="zh-CN"/>
              </w:rPr>
              <w:t>见</w:t>
            </w:r>
            <w:r>
              <w:rPr>
                <w:rFonts w:hint="eastAsia" w:ascii="Times New Roman" w:hAnsi="Times New Roman" w:eastAsia="宋体" w:cs="宋体"/>
                <w:color w:val="auto"/>
                <w:highlight w:val="none"/>
              </w:rPr>
              <w:t>表4.</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r>
              <w:rPr>
                <w:rFonts w:hint="eastAsia" w:cs="宋体"/>
                <w:color w:val="auto"/>
                <w:highlight w:val="none"/>
                <w:lang w:val="en-US" w:eastAsia="zh-CN"/>
              </w:rPr>
              <w:t>2</w:t>
            </w:r>
            <w:r>
              <w:rPr>
                <w:rFonts w:hint="eastAsia" w:ascii="Times New Roman" w:hAnsi="Times New Roman" w:eastAsia="宋体" w:cs="宋体"/>
                <w:color w:val="auto"/>
                <w:highlight w:val="none"/>
              </w:rPr>
              <w:t>。</w:t>
            </w:r>
          </w:p>
          <w:p w14:paraId="7488A7E3">
            <w:pPr>
              <w:pStyle w:val="46"/>
              <w:ind w:firstLine="480"/>
              <w:rPr>
                <w:rFonts w:hint="eastAsia" w:ascii="Times New Roman" w:hAnsi="Times New Roman" w:eastAsia="宋体" w:cs="宋体"/>
                <w:color w:val="auto"/>
                <w:szCs w:val="20"/>
                <w:highlight w:val="none"/>
                <w:lang w:bidi="ar"/>
              </w:rPr>
            </w:pPr>
            <w:r>
              <w:rPr>
                <w:rFonts w:hint="eastAsia" w:ascii="Times New Roman" w:hAnsi="Times New Roman" w:eastAsia="宋体" w:cs="宋体"/>
                <w:color w:val="auto"/>
                <w:szCs w:val="20"/>
                <w:highlight w:val="none"/>
                <w:lang w:bidi="ar"/>
              </w:rPr>
              <w:t>根据上表</w:t>
            </w:r>
            <w:r>
              <w:rPr>
                <w:rFonts w:hint="eastAsia" w:ascii="Times New Roman" w:hAnsi="Times New Roman" w:eastAsia="宋体" w:cs="宋体"/>
                <w:color w:val="auto"/>
                <w:highlight w:val="none"/>
              </w:rPr>
              <w:t>4.</w:t>
            </w:r>
            <w:r>
              <w:rPr>
                <w:rFonts w:hint="eastAsia"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rPr>
              <w:t>-</w:t>
            </w:r>
            <w:r>
              <w:rPr>
                <w:rFonts w:hint="eastAsia" w:cs="宋体"/>
                <w:color w:val="auto"/>
                <w:highlight w:val="none"/>
                <w:lang w:val="en-US" w:eastAsia="zh-CN"/>
              </w:rPr>
              <w:t>2</w:t>
            </w:r>
            <w:r>
              <w:rPr>
                <w:rFonts w:hint="eastAsia" w:ascii="Times New Roman" w:hAnsi="Times New Roman" w:eastAsia="宋体" w:cs="宋体"/>
                <w:color w:val="auto"/>
                <w:szCs w:val="20"/>
                <w:highlight w:val="none"/>
                <w:lang w:bidi="ar"/>
              </w:rPr>
              <w:t>所列数据，本项目</w:t>
            </w:r>
            <w:r>
              <w:rPr>
                <w:rFonts w:hint="eastAsia" w:cs="宋体"/>
                <w:color w:val="auto"/>
                <w:highlight w:val="none"/>
                <w:lang w:val="en-US" w:eastAsia="zh-CN"/>
              </w:rPr>
              <w:t>生活污水和生产废水</w:t>
            </w:r>
            <w:r>
              <w:rPr>
                <w:rFonts w:hint="eastAsia" w:ascii="Times New Roman" w:hAnsi="Times New Roman" w:eastAsia="宋体" w:cs="宋体"/>
                <w:color w:val="auto"/>
                <w:szCs w:val="20"/>
                <w:highlight w:val="none"/>
                <w:lang w:bidi="ar"/>
              </w:rPr>
              <w:t>主要污染物排放浓度均能满足《</w:t>
            </w:r>
            <w:r>
              <w:rPr>
                <w:rFonts w:hint="eastAsia" w:cs="宋体"/>
                <w:color w:val="auto"/>
                <w:szCs w:val="20"/>
                <w:highlight w:val="none"/>
                <w:lang w:eastAsia="zh-CN" w:bidi="ar"/>
              </w:rPr>
              <w:t>污水排入城镇下水道水质标准</w:t>
            </w:r>
            <w:r>
              <w:rPr>
                <w:rFonts w:hint="eastAsia" w:ascii="Times New Roman" w:hAnsi="Times New Roman" w:eastAsia="宋体" w:cs="宋体"/>
                <w:color w:val="auto"/>
                <w:szCs w:val="20"/>
                <w:highlight w:val="none"/>
                <w:lang w:bidi="ar"/>
              </w:rPr>
              <w:t>》</w:t>
            </w:r>
            <w:r>
              <w:rPr>
                <w:rFonts w:hint="eastAsia" w:cs="宋体"/>
                <w:color w:val="auto"/>
                <w:szCs w:val="20"/>
                <w:highlight w:val="none"/>
                <w:lang w:eastAsia="zh-CN" w:bidi="ar"/>
              </w:rPr>
              <w:t>（GB/T 31962-2015）</w:t>
            </w:r>
            <w:r>
              <w:rPr>
                <w:rFonts w:hint="eastAsia" w:ascii="Times New Roman" w:hAnsi="Times New Roman" w:eastAsia="宋体" w:cs="宋体"/>
                <w:color w:val="auto"/>
                <w:szCs w:val="20"/>
                <w:highlight w:val="none"/>
                <w:lang w:bidi="ar"/>
              </w:rPr>
              <w:t>表1中B级标准限值</w:t>
            </w:r>
            <w:r>
              <w:rPr>
                <w:rFonts w:hint="eastAsia" w:cs="宋体"/>
                <w:color w:val="auto"/>
                <w:szCs w:val="20"/>
                <w:highlight w:val="none"/>
                <w:lang w:eastAsia="zh-CN" w:bidi="ar"/>
              </w:rPr>
              <w:t>（</w:t>
            </w:r>
            <w:r>
              <w:rPr>
                <w:rFonts w:hint="eastAsia" w:ascii="Times New Roman" w:hAnsi="Times New Roman" w:eastAsia="宋体" w:cs="宋体"/>
                <w:color w:val="auto"/>
                <w:szCs w:val="20"/>
                <w:highlight w:val="none"/>
                <w:lang w:bidi="ar"/>
              </w:rPr>
              <w:t>即NH₃-N≤45mg/L</w:t>
            </w:r>
            <w:r>
              <w:rPr>
                <w:rFonts w:hint="eastAsia" w:cs="宋体"/>
                <w:color w:val="auto"/>
                <w:szCs w:val="20"/>
                <w:highlight w:val="none"/>
                <w:lang w:eastAsia="zh-CN" w:bidi="ar"/>
              </w:rPr>
              <w:t>），</w:t>
            </w:r>
            <w:r>
              <w:rPr>
                <w:rFonts w:hint="eastAsia" w:ascii="Times New Roman" w:hAnsi="Times New Roman" w:eastAsia="宋体" w:cs="宋体"/>
                <w:color w:val="auto"/>
                <w:szCs w:val="20"/>
                <w:highlight w:val="none"/>
                <w:lang w:bidi="ar"/>
              </w:rPr>
              <w:t>也可以符合</w:t>
            </w:r>
            <w:r>
              <w:rPr>
                <w:rFonts w:hint="eastAsia" w:cs="宋体"/>
                <w:color w:val="auto"/>
                <w:szCs w:val="20"/>
                <w:highlight w:val="none"/>
                <w:lang w:eastAsia="zh-CN" w:bidi="ar"/>
              </w:rPr>
              <w:t>污水处理厂</w:t>
            </w:r>
            <w:r>
              <w:rPr>
                <w:rFonts w:hint="eastAsia" w:ascii="Times New Roman" w:hAnsi="Times New Roman" w:eastAsia="宋体" w:cs="宋体"/>
                <w:color w:val="auto"/>
                <w:szCs w:val="20"/>
                <w:highlight w:val="none"/>
                <w:lang w:bidi="ar"/>
              </w:rPr>
              <w:t>进水水质要求。</w:t>
            </w:r>
          </w:p>
          <w:p w14:paraId="172D2995">
            <w:pPr>
              <w:pStyle w:val="46"/>
              <w:ind w:firstLine="480"/>
              <w:rPr>
                <w:rFonts w:hint="eastAsia" w:ascii="Times New Roman" w:hAnsi="Times New Roman" w:eastAsia="宋体" w:cs="宋体"/>
                <w:color w:val="auto"/>
                <w:szCs w:val="20"/>
                <w:highlight w:val="none"/>
                <w:lang w:bidi="ar"/>
              </w:rPr>
            </w:pPr>
            <w:r>
              <w:rPr>
                <w:rFonts w:hint="eastAsia" w:ascii="Times New Roman" w:hAnsi="Times New Roman" w:eastAsia="宋体" w:cs="宋体"/>
                <w:color w:val="auto"/>
                <w:szCs w:val="20"/>
                <w:highlight w:val="none"/>
                <w:lang w:bidi="ar"/>
              </w:rPr>
              <w:t>项目</w:t>
            </w:r>
            <w:r>
              <w:rPr>
                <w:rFonts w:hint="eastAsia" w:cs="宋体"/>
                <w:color w:val="auto"/>
                <w:highlight w:val="none"/>
                <w:lang w:val="en-US" w:eastAsia="zh-CN"/>
              </w:rPr>
              <w:t>生活污水和生产废水</w:t>
            </w:r>
            <w:r>
              <w:rPr>
                <w:rFonts w:hint="eastAsia" w:ascii="Times New Roman" w:hAnsi="Times New Roman" w:eastAsia="宋体" w:cs="宋体"/>
                <w:color w:val="auto"/>
                <w:szCs w:val="20"/>
                <w:highlight w:val="none"/>
                <w:lang w:bidi="ar"/>
              </w:rPr>
              <w:t>不涉及有毒有害污染物，不涉及持久性、重金属，也不含有腐蚀成分，因此，从水质方面分析，福清市第二污水处理厂可接纳项目生活污水，不会对</w:t>
            </w:r>
            <w:r>
              <w:rPr>
                <w:rFonts w:hint="eastAsia" w:cs="宋体"/>
                <w:color w:val="auto"/>
                <w:szCs w:val="20"/>
                <w:highlight w:val="none"/>
                <w:lang w:eastAsia="zh-CN" w:bidi="ar"/>
              </w:rPr>
              <w:t>污水处理厂</w:t>
            </w:r>
            <w:r>
              <w:rPr>
                <w:rFonts w:hint="eastAsia" w:ascii="Times New Roman" w:hAnsi="Times New Roman" w:eastAsia="宋体" w:cs="宋体"/>
                <w:color w:val="auto"/>
                <w:szCs w:val="20"/>
                <w:highlight w:val="none"/>
                <w:lang w:bidi="ar"/>
              </w:rPr>
              <w:t>水质负荷造成冲击。</w:t>
            </w:r>
          </w:p>
          <w:p w14:paraId="3C3E7A30">
            <w:pPr>
              <w:pStyle w:val="46"/>
              <w:ind w:firstLine="480"/>
              <w:rPr>
                <w:rFonts w:hint="eastAsia" w:ascii="Times New Roman" w:hAnsi="Times New Roman" w:eastAsia="宋体" w:cs="宋体"/>
                <w:color w:val="auto"/>
                <w:szCs w:val="20"/>
                <w:highlight w:val="none"/>
                <w:lang w:bidi="ar"/>
              </w:rPr>
            </w:pPr>
            <w:r>
              <w:rPr>
                <w:rFonts w:hint="eastAsia" w:ascii="Times New Roman" w:hAnsi="Times New Roman" w:eastAsia="宋体" w:cs="宋体"/>
                <w:color w:val="auto"/>
                <w:szCs w:val="20"/>
                <w:highlight w:val="none"/>
                <w:lang w:bidi="ar"/>
              </w:rPr>
              <w:t>③水量负荷</w:t>
            </w:r>
          </w:p>
          <w:p w14:paraId="436FC12D">
            <w:pPr>
              <w:pStyle w:val="46"/>
              <w:ind w:firstLine="480"/>
              <w:rPr>
                <w:rFonts w:hint="eastAsia" w:ascii="Times New Roman" w:hAnsi="Times New Roman" w:eastAsia="宋体" w:cs="宋体"/>
                <w:color w:val="auto"/>
                <w:szCs w:val="20"/>
                <w:highlight w:val="none"/>
                <w:lang w:val="en-US" w:eastAsia="zh-CN" w:bidi="ar"/>
              </w:rPr>
            </w:pPr>
            <w:r>
              <w:rPr>
                <w:rFonts w:hint="eastAsia" w:ascii="Times New Roman" w:hAnsi="Times New Roman" w:eastAsia="宋体" w:cs="宋体"/>
                <w:color w:val="auto"/>
                <w:szCs w:val="20"/>
                <w:highlight w:val="none"/>
                <w:lang w:bidi="ar"/>
              </w:rPr>
              <w:t>福清市第二污水处理厂一期处理规模6万m</w:t>
            </w:r>
            <w:r>
              <w:rPr>
                <w:rFonts w:hint="eastAsia" w:ascii="Times New Roman" w:hAnsi="Times New Roman" w:eastAsia="宋体" w:cs="宋体"/>
                <w:color w:val="auto"/>
                <w:szCs w:val="20"/>
                <w:highlight w:val="none"/>
                <w:vertAlign w:val="superscript"/>
                <w:lang w:val="en-US" w:eastAsia="zh-CN" w:bidi="ar"/>
              </w:rPr>
              <w:t>3</w:t>
            </w:r>
            <w:r>
              <w:rPr>
                <w:rFonts w:hint="eastAsia" w:ascii="Times New Roman" w:hAnsi="Times New Roman" w:eastAsia="宋体" w:cs="宋体"/>
                <w:color w:val="auto"/>
                <w:szCs w:val="20"/>
                <w:highlight w:val="none"/>
                <w:lang w:bidi="ar"/>
              </w:rPr>
              <w:t>/d</w:t>
            </w:r>
            <w:r>
              <w:rPr>
                <w:rFonts w:hint="eastAsia" w:cs="宋体"/>
                <w:color w:val="auto"/>
                <w:szCs w:val="20"/>
                <w:highlight w:val="none"/>
                <w:lang w:eastAsia="zh-CN" w:bidi="ar"/>
              </w:rPr>
              <w:t>，</w:t>
            </w:r>
            <w:r>
              <w:rPr>
                <w:rFonts w:hint="eastAsia" w:ascii="Times New Roman" w:hAnsi="Times New Roman" w:eastAsia="宋体" w:cs="宋体"/>
                <w:color w:val="auto"/>
                <w:szCs w:val="20"/>
                <w:highlight w:val="none"/>
                <w:lang w:bidi="ar"/>
              </w:rPr>
              <w:t>依据福建省生态环境厅</w:t>
            </w:r>
            <w:r>
              <w:rPr>
                <w:rFonts w:hint="eastAsia" w:ascii="Times New Roman" w:hAnsi="Times New Roman" w:eastAsia="宋体" w:cs="宋体"/>
                <w:color w:val="auto"/>
                <w:szCs w:val="20"/>
                <w:highlight w:val="none"/>
                <w:lang w:val="en-US" w:eastAsia="zh-CN" w:bidi="ar"/>
              </w:rPr>
              <w:t>公布的福建省污染源监督性监测情况，福清市第二污水处理厂2023年全年污水处理量为17542058m</w:t>
            </w:r>
            <w:r>
              <w:rPr>
                <w:rFonts w:hint="eastAsia" w:ascii="Times New Roman" w:hAnsi="Times New Roman" w:eastAsia="宋体" w:cs="宋体"/>
                <w:color w:val="auto"/>
                <w:szCs w:val="20"/>
                <w:highlight w:val="none"/>
                <w:vertAlign w:val="superscript"/>
                <w:lang w:val="en-US" w:eastAsia="zh-CN" w:bidi="ar"/>
              </w:rPr>
              <w:t>3</w:t>
            </w:r>
            <w:r>
              <w:rPr>
                <w:rFonts w:hint="eastAsia" w:cs="宋体"/>
                <w:color w:val="auto"/>
                <w:szCs w:val="20"/>
                <w:highlight w:val="none"/>
                <w:vertAlign w:val="superscript"/>
                <w:lang w:val="en-US" w:eastAsia="zh-CN" w:bidi="ar"/>
              </w:rPr>
              <w:t>，</w:t>
            </w:r>
            <w:r>
              <w:rPr>
                <w:rFonts w:hint="eastAsia" w:ascii="Times New Roman" w:hAnsi="Times New Roman" w:eastAsia="宋体" w:cs="宋体"/>
                <w:color w:val="auto"/>
                <w:szCs w:val="20"/>
                <w:highlight w:val="none"/>
                <w:lang w:val="en-US" w:eastAsia="zh-CN" w:bidi="ar"/>
              </w:rPr>
              <w:t>日处理规模为48060.43m</w:t>
            </w:r>
            <w:r>
              <w:rPr>
                <w:rFonts w:hint="eastAsia" w:ascii="Times New Roman" w:hAnsi="Times New Roman" w:eastAsia="宋体" w:cs="宋体"/>
                <w:color w:val="auto"/>
                <w:szCs w:val="20"/>
                <w:highlight w:val="none"/>
                <w:vertAlign w:val="superscript"/>
                <w:lang w:val="en-US" w:eastAsia="zh-CN" w:bidi="ar"/>
              </w:rPr>
              <w:t>3</w:t>
            </w:r>
            <w:r>
              <w:rPr>
                <w:rFonts w:hint="eastAsia" w:ascii="Times New Roman" w:hAnsi="Times New Roman" w:eastAsia="宋体" w:cs="宋体"/>
                <w:color w:val="auto"/>
                <w:szCs w:val="20"/>
                <w:highlight w:val="none"/>
                <w:lang w:val="en-US" w:eastAsia="zh-CN" w:bidi="ar"/>
              </w:rPr>
              <w:t>/d</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处理规模余量约1.2万m</w:t>
            </w:r>
            <w:r>
              <w:rPr>
                <w:rFonts w:hint="eastAsia" w:ascii="Times New Roman" w:hAnsi="Times New Roman" w:eastAsia="宋体" w:cs="宋体"/>
                <w:color w:val="auto"/>
                <w:szCs w:val="20"/>
                <w:highlight w:val="none"/>
                <w:vertAlign w:val="superscript"/>
                <w:lang w:val="en-US" w:eastAsia="zh-CN" w:bidi="ar"/>
              </w:rPr>
              <w:t>3</w:t>
            </w:r>
            <w:r>
              <w:rPr>
                <w:rFonts w:hint="eastAsia" w:ascii="Times New Roman" w:hAnsi="Times New Roman" w:eastAsia="宋体" w:cs="宋体"/>
                <w:color w:val="auto"/>
                <w:szCs w:val="20"/>
                <w:highlight w:val="none"/>
                <w:lang w:val="en-US" w:eastAsia="zh-CN" w:bidi="ar"/>
              </w:rPr>
              <w:t>/d</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由此可见，福清市第二污水处理厂有足够余量接纳本项目新增废水排放量。本项目污水排放量</w:t>
            </w:r>
            <w:r>
              <w:rPr>
                <w:rFonts w:hint="eastAsia" w:cs="宋体"/>
                <w:color w:val="auto"/>
                <w:szCs w:val="20"/>
                <w:highlight w:val="none"/>
                <w:lang w:val="en-US" w:eastAsia="zh-CN" w:bidi="ar"/>
              </w:rPr>
              <w:t>3.8</w:t>
            </w:r>
            <w:r>
              <w:rPr>
                <w:rFonts w:hint="eastAsia" w:ascii="Times New Roman" w:hAnsi="Times New Roman" w:eastAsia="宋体" w:cs="宋体"/>
                <w:color w:val="auto"/>
                <w:szCs w:val="20"/>
                <w:highlight w:val="none"/>
                <w:lang w:val="en-US" w:eastAsia="zh-CN" w:bidi="ar"/>
              </w:rPr>
              <w:t>t/d</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仅占福清市第二污水处理厂剩余处理规模的0.03%</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污水处理厂采用“曝气沉砂池+水解酸化AO+高效沉淀池+转盘滤池”工艺，属于城镇污水处理厂通用工艺，因此，从处理能力及处理工艺分析，福清市第二污水处理厂可接纳项目废水排放量，不会对</w:t>
            </w:r>
            <w:r>
              <w:rPr>
                <w:rFonts w:hint="eastAsia" w:cs="宋体"/>
                <w:color w:val="auto"/>
                <w:szCs w:val="20"/>
                <w:highlight w:val="none"/>
                <w:lang w:val="en-US" w:eastAsia="zh-CN" w:bidi="ar"/>
              </w:rPr>
              <w:t>污水处理厂</w:t>
            </w:r>
            <w:r>
              <w:rPr>
                <w:rFonts w:hint="eastAsia" w:ascii="Times New Roman" w:hAnsi="Times New Roman" w:eastAsia="宋体" w:cs="宋体"/>
                <w:color w:val="auto"/>
                <w:szCs w:val="20"/>
                <w:highlight w:val="none"/>
                <w:lang w:val="en-US" w:eastAsia="zh-CN" w:bidi="ar"/>
              </w:rPr>
              <w:t>水量负荷造成冲击。</w:t>
            </w:r>
          </w:p>
          <w:p w14:paraId="03444085">
            <w:pPr>
              <w:pStyle w:val="46"/>
              <w:ind w:firstLine="480"/>
              <w:rPr>
                <w:rFonts w:hint="eastAsia" w:ascii="Times New Roman" w:hAnsi="Times New Roman" w:eastAsia="宋体" w:cs="宋体"/>
                <w:color w:val="auto"/>
                <w:szCs w:val="20"/>
                <w:highlight w:val="none"/>
                <w:lang w:val="en-US" w:eastAsia="zh-CN" w:bidi="ar"/>
              </w:rPr>
            </w:pPr>
            <w:r>
              <w:rPr>
                <w:rFonts w:hint="eastAsia" w:ascii="Times New Roman" w:hAnsi="Times New Roman" w:eastAsia="宋体" w:cs="宋体"/>
                <w:color w:val="auto"/>
                <w:szCs w:val="20"/>
                <w:highlight w:val="none"/>
                <w:lang w:val="en-US" w:eastAsia="zh-CN" w:bidi="ar"/>
              </w:rPr>
              <w:t>根据上述分析，</w:t>
            </w:r>
            <w:r>
              <w:rPr>
                <w:rFonts w:hint="eastAsia"/>
                <w:color w:val="auto"/>
                <w:lang w:val="en-US" w:eastAsia="zh-CN"/>
              </w:rPr>
              <w:t>项目生产废水通过新建</w:t>
            </w:r>
            <w:r>
              <w:rPr>
                <w:rFonts w:hint="eastAsia" w:cs="宋体"/>
                <w:color w:val="auto"/>
                <w:highlight w:val="none"/>
                <w:lang w:val="en-US" w:eastAsia="zh-CN"/>
              </w:rPr>
              <w:t>废水处理设施（</w:t>
            </w:r>
            <w:r>
              <w:rPr>
                <w:rFonts w:hint="eastAsia" w:ascii="Times New Roman" w:hAnsi="Times New Roman" w:eastAsia="宋体" w:cs="宋体"/>
                <w:color w:val="auto"/>
                <w:highlight w:val="none"/>
                <w:lang w:val="en-US" w:eastAsia="zh-CN"/>
              </w:rPr>
              <w:t>处理工艺为“</w:t>
            </w:r>
            <w:r>
              <w:rPr>
                <w:rFonts w:hint="eastAsia" w:cs="宋体"/>
                <w:color w:val="auto"/>
                <w:highlight w:val="none"/>
                <w:lang w:val="en-US" w:eastAsia="zh-CN"/>
              </w:rPr>
              <w:t>物化+A/O+沉淀</w:t>
            </w:r>
            <w:r>
              <w:rPr>
                <w:rFonts w:hint="eastAsia" w:ascii="Times New Roman" w:hAnsi="Times New Roman" w:eastAsia="宋体" w:cs="宋体"/>
                <w:color w:val="auto"/>
                <w:highlight w:val="none"/>
                <w:lang w:val="en-US" w:eastAsia="zh-CN"/>
              </w:rPr>
              <w:t>”</w:t>
            </w:r>
            <w:r>
              <w:rPr>
                <w:rFonts w:hint="eastAsia" w:cs="宋体"/>
                <w:color w:val="auto"/>
                <w:highlight w:val="none"/>
                <w:lang w:val="en-US" w:eastAsia="zh-CN"/>
              </w:rPr>
              <w:t>）处理；</w:t>
            </w:r>
            <w:r>
              <w:rPr>
                <w:rFonts w:hint="eastAsia" w:ascii="Times New Roman" w:hAnsi="Times New Roman" w:eastAsia="宋体" w:cs="宋体"/>
                <w:color w:val="auto"/>
                <w:szCs w:val="20"/>
                <w:highlight w:val="none"/>
                <w:lang w:val="en-US" w:eastAsia="zh-CN" w:bidi="ar"/>
              </w:rPr>
              <w:t>项目生活污水经化粪池预处理后</w:t>
            </w:r>
            <w:r>
              <w:rPr>
                <w:rFonts w:hint="eastAsia" w:cs="宋体"/>
                <w:color w:val="auto"/>
                <w:szCs w:val="20"/>
                <w:highlight w:val="none"/>
                <w:lang w:val="en-US" w:eastAsia="zh-CN" w:bidi="ar"/>
              </w:rPr>
              <w:t>；生活污水与生产废水经处理后</w:t>
            </w:r>
            <w:r>
              <w:rPr>
                <w:rFonts w:hint="eastAsia" w:ascii="Times New Roman" w:hAnsi="Times New Roman" w:eastAsia="宋体" w:cs="宋体"/>
                <w:color w:val="auto"/>
                <w:szCs w:val="20"/>
                <w:highlight w:val="none"/>
                <w:lang w:val="en-US" w:eastAsia="zh-CN" w:bidi="ar"/>
              </w:rPr>
              <w:t>可以满足《污水综合排放标准》</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GB8978-1996</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表4三级标准</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即COD≤500mg/L,BOD</w:t>
            </w:r>
            <w:r>
              <w:rPr>
                <w:rFonts w:hint="eastAsia" w:cs="宋体"/>
                <w:color w:val="auto"/>
                <w:szCs w:val="20"/>
                <w:highlight w:val="none"/>
                <w:vertAlign w:val="subscript"/>
                <w:lang w:val="en-US" w:eastAsia="zh-CN" w:bidi="ar"/>
              </w:rPr>
              <w:t>5</w:t>
            </w:r>
            <w:r>
              <w:rPr>
                <w:rFonts w:hint="eastAsia" w:ascii="Times New Roman" w:hAnsi="Times New Roman" w:eastAsia="宋体" w:cs="宋体"/>
                <w:color w:val="auto"/>
                <w:szCs w:val="20"/>
                <w:highlight w:val="none"/>
                <w:lang w:val="en-US" w:eastAsia="zh-CN" w:bidi="ar"/>
              </w:rPr>
              <w:t>≤300mg</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L,SS≤400mg/L</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及《污水排入城镇下水道水质标准》</w:t>
            </w:r>
            <w:r>
              <w:rPr>
                <w:rFonts w:hint="eastAsia" w:cs="宋体"/>
                <w:color w:val="auto"/>
                <w:szCs w:val="20"/>
                <w:highlight w:val="none"/>
                <w:lang w:val="en-US" w:eastAsia="zh-CN" w:bidi="ar"/>
              </w:rPr>
              <w:t>（GB/T 31962-2015）</w:t>
            </w:r>
            <w:r>
              <w:rPr>
                <w:rFonts w:hint="eastAsia" w:ascii="Times New Roman" w:hAnsi="Times New Roman" w:eastAsia="宋体" w:cs="宋体"/>
                <w:color w:val="auto"/>
                <w:szCs w:val="20"/>
                <w:highlight w:val="none"/>
                <w:lang w:val="en-US" w:eastAsia="zh-CN" w:bidi="ar"/>
              </w:rPr>
              <w:t>表1中B级标准限值</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即NH</w:t>
            </w:r>
            <w:r>
              <w:rPr>
                <w:rFonts w:hint="eastAsia" w:cs="宋体"/>
                <w:color w:val="auto"/>
                <w:szCs w:val="20"/>
                <w:highlight w:val="none"/>
                <w:vertAlign w:val="subscript"/>
                <w:lang w:val="en-US" w:eastAsia="zh-CN" w:bidi="ar"/>
              </w:rPr>
              <w:t>3</w:t>
            </w:r>
            <w:r>
              <w:rPr>
                <w:rFonts w:hint="eastAsia" w:ascii="Times New Roman" w:hAnsi="Times New Roman" w:eastAsia="宋体" w:cs="宋体"/>
                <w:color w:val="auto"/>
                <w:szCs w:val="20"/>
                <w:highlight w:val="none"/>
                <w:lang w:val="en-US" w:eastAsia="zh-CN" w:bidi="ar"/>
              </w:rPr>
              <w:t>-N≤45mg/L</w:t>
            </w:r>
            <w:r>
              <w:rPr>
                <w:rFonts w:hint="eastAsia" w:cs="宋体"/>
                <w:color w:val="auto"/>
                <w:szCs w:val="20"/>
                <w:highlight w:val="none"/>
                <w:lang w:val="en-US" w:eastAsia="zh-CN" w:bidi="ar"/>
              </w:rPr>
              <w:t>），</w:t>
            </w:r>
            <w:r>
              <w:rPr>
                <w:rFonts w:hint="eastAsia" w:ascii="Times New Roman" w:hAnsi="Times New Roman" w:eastAsia="宋体" w:cs="宋体"/>
                <w:color w:val="auto"/>
                <w:szCs w:val="20"/>
                <w:highlight w:val="none"/>
                <w:lang w:val="en-US" w:eastAsia="zh-CN" w:bidi="ar"/>
              </w:rPr>
              <w:t>符合</w:t>
            </w:r>
            <w:r>
              <w:rPr>
                <w:rFonts w:hint="eastAsia" w:cs="宋体"/>
                <w:color w:val="auto"/>
                <w:szCs w:val="20"/>
                <w:highlight w:val="none"/>
                <w:lang w:val="en-US" w:eastAsia="zh-CN" w:bidi="ar"/>
              </w:rPr>
              <w:t>污水处理厂</w:t>
            </w:r>
            <w:r>
              <w:rPr>
                <w:rFonts w:hint="eastAsia" w:ascii="Times New Roman" w:hAnsi="Times New Roman" w:eastAsia="宋体" w:cs="宋体"/>
                <w:color w:val="auto"/>
                <w:szCs w:val="20"/>
                <w:highlight w:val="none"/>
                <w:lang w:val="en-US" w:eastAsia="zh-CN" w:bidi="ar"/>
              </w:rPr>
              <w:t>进水水质要求，生活污水</w:t>
            </w:r>
            <w:r>
              <w:rPr>
                <w:rFonts w:hint="eastAsia" w:cs="宋体"/>
                <w:color w:val="auto"/>
                <w:szCs w:val="20"/>
                <w:highlight w:val="none"/>
                <w:lang w:val="en-US" w:eastAsia="zh-CN" w:bidi="ar"/>
              </w:rPr>
              <w:t>和生产废水</w:t>
            </w:r>
            <w:r>
              <w:rPr>
                <w:rFonts w:hint="eastAsia" w:ascii="Times New Roman" w:hAnsi="Times New Roman" w:eastAsia="宋体" w:cs="宋体"/>
                <w:color w:val="auto"/>
                <w:szCs w:val="20"/>
                <w:highlight w:val="none"/>
                <w:lang w:val="en-US" w:eastAsia="zh-CN" w:bidi="ar"/>
              </w:rPr>
              <w:t>排入市政污水管网，最终送往福清市第二污水处理厂集中处理，项目废水水质、水量不会对污水处理厂造成负荷冲击，项目污水不直接排入地表水体，因此几乎不会对区域地表水环境产生直接不利影响。</w:t>
            </w:r>
          </w:p>
          <w:bookmarkEnd w:id="50"/>
          <w:p w14:paraId="6C32F6EE">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厂区</w:t>
            </w:r>
            <w:r>
              <w:rPr>
                <w:rFonts w:hint="eastAsia"/>
                <w:color w:val="auto"/>
                <w:highlight w:val="none"/>
                <w:lang w:val="en-US" w:eastAsia="zh-CN"/>
              </w:rPr>
              <w:t>污水</w:t>
            </w:r>
            <w:r>
              <w:rPr>
                <w:rFonts w:hint="eastAsia" w:eastAsia="宋体"/>
                <w:color w:val="auto"/>
                <w:highlight w:val="none"/>
              </w:rPr>
              <w:t>管网建设</w:t>
            </w:r>
          </w:p>
          <w:p w14:paraId="762C6D03">
            <w:pPr>
              <w:pStyle w:val="46"/>
              <w:ind w:firstLine="480"/>
              <w:rPr>
                <w:rFonts w:hint="eastAsia" w:eastAsia="宋体" w:cs="宋体"/>
                <w:color w:val="auto"/>
                <w:sz w:val="24"/>
                <w:szCs w:val="20"/>
                <w:highlight w:val="none"/>
                <w:lang w:eastAsia="zh-CN" w:bidi="ar"/>
              </w:rPr>
            </w:pPr>
            <w:r>
              <w:rPr>
                <w:rFonts w:hint="eastAsia" w:cs="宋体"/>
                <w:color w:val="auto"/>
                <w:szCs w:val="20"/>
                <w:highlight w:val="none"/>
                <w:lang w:bidi="ar"/>
              </w:rPr>
              <w:t>本</w:t>
            </w:r>
            <w:r>
              <w:rPr>
                <w:rFonts w:hint="eastAsia" w:cs="宋体"/>
                <w:color w:val="auto"/>
                <w:sz w:val="24"/>
                <w:szCs w:val="20"/>
                <w:highlight w:val="none"/>
                <w:lang w:bidi="ar"/>
              </w:rPr>
              <w:t>项目污水分质分流由明管或通过管沟敷设方式接入相应设施；</w:t>
            </w:r>
            <w:r>
              <w:rPr>
                <w:rFonts w:hint="eastAsia"/>
                <w:color w:val="auto"/>
                <w:highlight w:val="none"/>
              </w:rPr>
              <w:t>管道采用防渗材料，</w:t>
            </w:r>
            <w:r>
              <w:rPr>
                <w:rFonts w:hint="eastAsia" w:cs="宋体"/>
                <w:color w:val="auto"/>
                <w:sz w:val="24"/>
                <w:szCs w:val="20"/>
                <w:highlight w:val="none"/>
                <w:lang w:bidi="ar"/>
              </w:rPr>
              <w:t>管沟进行防渗处理，避免发生泄漏时对地下水和土壤污染，同时建设单位定期组织巡查，排查泄漏隐患</w:t>
            </w:r>
            <w:r>
              <w:rPr>
                <w:rFonts w:hint="eastAsia" w:cs="宋体"/>
                <w:color w:val="auto"/>
                <w:sz w:val="24"/>
                <w:szCs w:val="20"/>
                <w:highlight w:val="none"/>
                <w:lang w:eastAsia="zh-CN" w:bidi="ar"/>
              </w:rPr>
              <w:t>。</w:t>
            </w:r>
          </w:p>
          <w:p w14:paraId="27D1D985">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lang w:val="en-US" w:eastAsia="zh-CN"/>
              </w:rPr>
              <w:t>自行监测计划</w:t>
            </w:r>
          </w:p>
          <w:p w14:paraId="5C085630">
            <w:pPr>
              <w:pStyle w:val="46"/>
              <w:ind w:firstLine="480"/>
              <w:rPr>
                <w:rFonts w:hint="eastAsia" w:cs="宋体"/>
                <w:color w:val="auto"/>
                <w:sz w:val="24"/>
                <w:szCs w:val="20"/>
                <w:highlight w:val="none"/>
                <w:lang w:bidi="ar"/>
              </w:rPr>
            </w:pPr>
            <w:r>
              <w:rPr>
                <w:rFonts w:hint="eastAsia" w:cs="宋体"/>
                <w:color w:val="auto"/>
                <w:sz w:val="24"/>
                <w:szCs w:val="20"/>
                <w:highlight w:val="none"/>
                <w:lang w:bidi="ar"/>
              </w:rPr>
              <w:t>本评价</w:t>
            </w:r>
            <w:r>
              <w:rPr>
                <w:rFonts w:hint="eastAsia" w:cs="宋体"/>
                <w:color w:val="auto"/>
                <w:sz w:val="24"/>
                <w:szCs w:val="20"/>
                <w:highlight w:val="none"/>
                <w:lang w:val="en-US" w:eastAsia="zh-CN" w:bidi="ar"/>
              </w:rPr>
              <w:t>根据</w:t>
            </w:r>
            <w:r>
              <w:rPr>
                <w:rFonts w:hint="eastAsia" w:cs="宋体"/>
                <w:color w:val="auto"/>
                <w:sz w:val="24"/>
                <w:szCs w:val="20"/>
                <w:highlight w:val="none"/>
                <w:lang w:bidi="ar"/>
              </w:rPr>
              <w:t>《排污单位自行监测技术指南总则》</w:t>
            </w:r>
            <w:r>
              <w:rPr>
                <w:rFonts w:hint="eastAsia" w:cs="宋体"/>
                <w:color w:val="auto"/>
                <w:sz w:val="24"/>
                <w:szCs w:val="20"/>
                <w:highlight w:val="none"/>
                <w:lang w:eastAsia="zh-CN" w:bidi="ar"/>
              </w:rPr>
              <w:t>（</w:t>
            </w:r>
            <w:r>
              <w:rPr>
                <w:rFonts w:hint="eastAsia" w:cs="宋体"/>
                <w:color w:val="auto"/>
                <w:sz w:val="24"/>
                <w:szCs w:val="20"/>
                <w:highlight w:val="none"/>
                <w:lang w:bidi="ar"/>
              </w:rPr>
              <w:t>HJ819-2017</w:t>
            </w:r>
            <w:r>
              <w:rPr>
                <w:rFonts w:hint="eastAsia" w:cs="宋体"/>
                <w:color w:val="auto"/>
                <w:sz w:val="24"/>
                <w:szCs w:val="20"/>
                <w:highlight w:val="none"/>
                <w:lang w:eastAsia="zh-CN" w:bidi="ar"/>
              </w:rPr>
              <w:t>）</w:t>
            </w:r>
            <w:r>
              <w:rPr>
                <w:rFonts w:hint="eastAsia" w:cs="宋体"/>
                <w:color w:val="auto"/>
                <w:sz w:val="24"/>
                <w:szCs w:val="20"/>
                <w:highlight w:val="none"/>
                <w:lang w:bidi="ar"/>
              </w:rPr>
              <w:t>、《排污单位自行监测技术指南</w:t>
            </w:r>
            <w:r>
              <w:rPr>
                <w:rFonts w:hint="eastAsia" w:cs="宋体"/>
                <w:color w:val="auto"/>
                <w:sz w:val="24"/>
                <w:szCs w:val="20"/>
                <w:highlight w:val="none"/>
                <w:lang w:val="en-US" w:eastAsia="zh-CN" w:bidi="ar"/>
              </w:rPr>
              <w:t xml:space="preserve"> </w:t>
            </w:r>
            <w:r>
              <w:rPr>
                <w:rFonts w:hint="eastAsia" w:cs="宋体"/>
                <w:color w:val="auto"/>
                <w:sz w:val="24"/>
                <w:szCs w:val="20"/>
                <w:highlight w:val="none"/>
                <w:lang w:bidi="ar"/>
              </w:rPr>
              <w:t>涂装》</w:t>
            </w:r>
            <w:r>
              <w:rPr>
                <w:rFonts w:hint="eastAsia" w:cs="宋体"/>
                <w:color w:val="auto"/>
                <w:sz w:val="24"/>
                <w:szCs w:val="20"/>
                <w:highlight w:val="none"/>
                <w:lang w:eastAsia="zh-CN" w:bidi="ar"/>
              </w:rPr>
              <w:t>（</w:t>
            </w:r>
            <w:r>
              <w:rPr>
                <w:rFonts w:hint="eastAsia" w:cs="宋体"/>
                <w:color w:val="auto"/>
                <w:sz w:val="24"/>
                <w:szCs w:val="20"/>
                <w:highlight w:val="none"/>
                <w:lang w:bidi="ar"/>
              </w:rPr>
              <w:t>HJ1086-2020</w:t>
            </w:r>
            <w:r>
              <w:rPr>
                <w:rFonts w:hint="eastAsia" w:cs="宋体"/>
                <w:color w:val="auto"/>
                <w:sz w:val="24"/>
                <w:szCs w:val="20"/>
                <w:highlight w:val="none"/>
                <w:lang w:eastAsia="zh-CN" w:bidi="ar"/>
              </w:rPr>
              <w:t>）</w:t>
            </w:r>
            <w:r>
              <w:rPr>
                <w:rFonts w:hint="eastAsia" w:cs="宋体"/>
                <w:color w:val="auto"/>
                <w:sz w:val="24"/>
                <w:szCs w:val="20"/>
                <w:highlight w:val="none"/>
                <w:lang w:bidi="ar"/>
              </w:rPr>
              <w:t>等要求，提出项目运营期废水自行监测计划，具体情况详见表4.3-</w:t>
            </w:r>
            <w:r>
              <w:rPr>
                <w:rFonts w:hint="eastAsia" w:cs="宋体"/>
                <w:color w:val="auto"/>
                <w:sz w:val="24"/>
                <w:szCs w:val="20"/>
                <w:highlight w:val="none"/>
                <w:lang w:val="en-US" w:eastAsia="zh-CN" w:bidi="ar"/>
              </w:rPr>
              <w:t>6</w:t>
            </w:r>
            <w:r>
              <w:rPr>
                <w:rFonts w:hint="eastAsia" w:cs="宋体"/>
                <w:color w:val="auto"/>
                <w:sz w:val="24"/>
                <w:szCs w:val="20"/>
                <w:highlight w:val="none"/>
                <w:lang w:bidi="ar"/>
              </w:rPr>
              <w:t>。</w:t>
            </w:r>
          </w:p>
          <w:p w14:paraId="3F840A80">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before="0" w:after="0"/>
              <w:ind w:left="630" w:leftChars="0" w:firstLine="0" w:firstLineChars="0"/>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项目废水自行监测计划</w:t>
            </w:r>
          </w:p>
          <w:tbl>
            <w:tblPr>
              <w:tblStyle w:val="35"/>
              <w:tblW w:w="87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667"/>
              <w:gridCol w:w="661"/>
              <w:gridCol w:w="1731"/>
              <w:gridCol w:w="1634"/>
              <w:gridCol w:w="636"/>
              <w:gridCol w:w="1633"/>
              <w:gridCol w:w="834"/>
            </w:tblGrid>
            <w:tr w14:paraId="193EC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30" w:type="dxa"/>
                  <w:vMerge w:val="restart"/>
                  <w:tcBorders>
                    <w:tl2br w:val="nil"/>
                    <w:tr2bl w:val="nil"/>
                  </w:tcBorders>
                  <w:vAlign w:val="center"/>
                </w:tcPr>
                <w:p w14:paraId="2795582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编号</w:t>
                  </w:r>
                </w:p>
              </w:tc>
              <w:tc>
                <w:tcPr>
                  <w:tcW w:w="667" w:type="dxa"/>
                  <w:vMerge w:val="restart"/>
                  <w:tcBorders>
                    <w:tl2br w:val="nil"/>
                    <w:tr2bl w:val="nil"/>
                  </w:tcBorders>
                  <w:vAlign w:val="center"/>
                </w:tcPr>
                <w:p w14:paraId="39BF98C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661" w:type="dxa"/>
                  <w:vMerge w:val="restart"/>
                  <w:tcBorders>
                    <w:tl2br w:val="nil"/>
                    <w:tr2bl w:val="nil"/>
                  </w:tcBorders>
                  <w:vAlign w:val="center"/>
                </w:tcPr>
                <w:p w14:paraId="3D5B167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类型</w:t>
                  </w:r>
                </w:p>
              </w:tc>
              <w:tc>
                <w:tcPr>
                  <w:tcW w:w="3365" w:type="dxa"/>
                  <w:gridSpan w:val="2"/>
                  <w:tcBorders>
                    <w:tl2br w:val="nil"/>
                    <w:tr2bl w:val="nil"/>
                  </w:tcBorders>
                  <w:vAlign w:val="center"/>
                </w:tcPr>
                <w:p w14:paraId="5CE93E0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地理坐标</w:t>
                  </w:r>
                </w:p>
              </w:tc>
              <w:tc>
                <w:tcPr>
                  <w:tcW w:w="636" w:type="dxa"/>
                  <w:vMerge w:val="restart"/>
                  <w:tcBorders>
                    <w:tl2br w:val="nil"/>
                    <w:tr2bl w:val="nil"/>
                  </w:tcBorders>
                  <w:vAlign w:val="center"/>
                </w:tcPr>
                <w:p w14:paraId="5948F40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排放规律</w:t>
                  </w:r>
                </w:p>
              </w:tc>
              <w:tc>
                <w:tcPr>
                  <w:tcW w:w="1633" w:type="dxa"/>
                  <w:vMerge w:val="restart"/>
                  <w:tcBorders>
                    <w:tl2br w:val="nil"/>
                    <w:tr2bl w:val="nil"/>
                  </w:tcBorders>
                  <w:vAlign w:val="center"/>
                </w:tcPr>
                <w:p w14:paraId="201F0E7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监测因子</w:t>
                  </w:r>
                </w:p>
              </w:tc>
              <w:tc>
                <w:tcPr>
                  <w:tcW w:w="834" w:type="dxa"/>
                  <w:vMerge w:val="restart"/>
                  <w:tcBorders>
                    <w:tl2br w:val="nil"/>
                    <w:tr2bl w:val="nil"/>
                  </w:tcBorders>
                  <w:vAlign w:val="center"/>
                </w:tcPr>
                <w:p w14:paraId="205B36D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监测频次</w:t>
                  </w:r>
                </w:p>
              </w:tc>
            </w:tr>
            <w:tr w14:paraId="585B3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30" w:type="dxa"/>
                  <w:vMerge w:val="continue"/>
                  <w:tcBorders>
                    <w:tl2br w:val="nil"/>
                    <w:tr2bl w:val="nil"/>
                  </w:tcBorders>
                  <w:vAlign w:val="center"/>
                </w:tcPr>
                <w:p w14:paraId="1C466A61">
                  <w:pPr>
                    <w:jc w:val="center"/>
                    <w:rPr>
                      <w:color w:val="000000" w:themeColor="text1"/>
                      <w:szCs w:val="21"/>
                      <w:highlight w:val="none"/>
                      <w14:textFill>
                        <w14:solidFill>
                          <w14:schemeClr w14:val="tx1"/>
                        </w14:solidFill>
                      </w14:textFill>
                    </w:rPr>
                  </w:pPr>
                </w:p>
              </w:tc>
              <w:tc>
                <w:tcPr>
                  <w:tcW w:w="667" w:type="dxa"/>
                  <w:vMerge w:val="continue"/>
                  <w:tcBorders>
                    <w:tl2br w:val="nil"/>
                    <w:tr2bl w:val="nil"/>
                  </w:tcBorders>
                  <w:vAlign w:val="center"/>
                </w:tcPr>
                <w:p w14:paraId="2D607CB7">
                  <w:pPr>
                    <w:jc w:val="center"/>
                    <w:rPr>
                      <w:color w:val="000000" w:themeColor="text1"/>
                      <w:szCs w:val="21"/>
                      <w:highlight w:val="none"/>
                      <w14:textFill>
                        <w14:solidFill>
                          <w14:schemeClr w14:val="tx1"/>
                        </w14:solidFill>
                      </w14:textFill>
                    </w:rPr>
                  </w:pPr>
                </w:p>
              </w:tc>
              <w:tc>
                <w:tcPr>
                  <w:tcW w:w="661" w:type="dxa"/>
                  <w:vMerge w:val="continue"/>
                  <w:tcBorders>
                    <w:tl2br w:val="nil"/>
                    <w:tr2bl w:val="nil"/>
                  </w:tcBorders>
                  <w:vAlign w:val="center"/>
                </w:tcPr>
                <w:p w14:paraId="214BCA41">
                  <w:pPr>
                    <w:jc w:val="center"/>
                    <w:rPr>
                      <w:color w:val="000000" w:themeColor="text1"/>
                      <w:szCs w:val="21"/>
                      <w:highlight w:val="none"/>
                      <w14:textFill>
                        <w14:solidFill>
                          <w14:schemeClr w14:val="tx1"/>
                        </w14:solidFill>
                      </w14:textFill>
                    </w:rPr>
                  </w:pPr>
                </w:p>
              </w:tc>
              <w:tc>
                <w:tcPr>
                  <w:tcW w:w="1731" w:type="dxa"/>
                  <w:tcBorders>
                    <w:tl2br w:val="nil"/>
                    <w:tr2bl w:val="nil"/>
                  </w:tcBorders>
                  <w:vAlign w:val="center"/>
                </w:tcPr>
                <w:p w14:paraId="1BECEC7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E</w:t>
                  </w:r>
                </w:p>
              </w:tc>
              <w:tc>
                <w:tcPr>
                  <w:tcW w:w="1634" w:type="dxa"/>
                  <w:tcBorders>
                    <w:tl2br w:val="nil"/>
                    <w:tr2bl w:val="nil"/>
                  </w:tcBorders>
                  <w:vAlign w:val="center"/>
                </w:tcPr>
                <w:p w14:paraId="5CCFACB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w:t>
                  </w:r>
                </w:p>
              </w:tc>
              <w:tc>
                <w:tcPr>
                  <w:tcW w:w="636" w:type="dxa"/>
                  <w:vMerge w:val="continue"/>
                  <w:tcBorders>
                    <w:tl2br w:val="nil"/>
                    <w:tr2bl w:val="nil"/>
                  </w:tcBorders>
                  <w:vAlign w:val="center"/>
                </w:tcPr>
                <w:p w14:paraId="1F3C83F8">
                  <w:pPr>
                    <w:jc w:val="center"/>
                    <w:rPr>
                      <w:color w:val="000000" w:themeColor="text1"/>
                      <w:szCs w:val="21"/>
                      <w:highlight w:val="none"/>
                      <w14:textFill>
                        <w14:solidFill>
                          <w14:schemeClr w14:val="tx1"/>
                        </w14:solidFill>
                      </w14:textFill>
                    </w:rPr>
                  </w:pPr>
                </w:p>
              </w:tc>
              <w:tc>
                <w:tcPr>
                  <w:tcW w:w="1633" w:type="dxa"/>
                  <w:vMerge w:val="continue"/>
                  <w:tcBorders>
                    <w:tl2br w:val="nil"/>
                    <w:tr2bl w:val="nil"/>
                  </w:tcBorders>
                  <w:vAlign w:val="center"/>
                </w:tcPr>
                <w:p w14:paraId="1410B274">
                  <w:pPr>
                    <w:jc w:val="center"/>
                    <w:rPr>
                      <w:color w:val="000000" w:themeColor="text1"/>
                      <w:szCs w:val="21"/>
                      <w:highlight w:val="none"/>
                      <w14:textFill>
                        <w14:solidFill>
                          <w14:schemeClr w14:val="tx1"/>
                        </w14:solidFill>
                      </w14:textFill>
                    </w:rPr>
                  </w:pPr>
                </w:p>
              </w:tc>
              <w:tc>
                <w:tcPr>
                  <w:tcW w:w="834" w:type="dxa"/>
                  <w:vMerge w:val="continue"/>
                  <w:tcBorders>
                    <w:tl2br w:val="nil"/>
                    <w:tr2bl w:val="nil"/>
                  </w:tcBorders>
                  <w:vAlign w:val="center"/>
                </w:tcPr>
                <w:p w14:paraId="5D594CCE">
                  <w:pPr>
                    <w:jc w:val="center"/>
                    <w:rPr>
                      <w:color w:val="000000" w:themeColor="text1"/>
                      <w:szCs w:val="21"/>
                      <w:highlight w:val="none"/>
                      <w14:textFill>
                        <w14:solidFill>
                          <w14:schemeClr w14:val="tx1"/>
                        </w14:solidFill>
                      </w14:textFill>
                    </w:rPr>
                  </w:pPr>
                </w:p>
              </w:tc>
            </w:tr>
            <w:tr w14:paraId="3D569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30" w:type="dxa"/>
                  <w:tcBorders>
                    <w:tl2br w:val="nil"/>
                    <w:tr2bl w:val="nil"/>
                  </w:tcBorders>
                  <w:vAlign w:val="center"/>
                </w:tcPr>
                <w:p w14:paraId="76F6E8C9">
                  <w:pPr>
                    <w:pStyle w:val="21"/>
                    <w:adjustRightInd w:val="0"/>
                    <w:snapToGrid w:val="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DW00</w:t>
                  </w:r>
                  <w:r>
                    <w:rPr>
                      <w:rFonts w:hint="eastAsia" w:ascii="Times New Roman" w:hAnsi="Times New Roman"/>
                      <w:color w:val="000000" w:themeColor="text1"/>
                      <w:szCs w:val="21"/>
                      <w:highlight w:val="none"/>
                      <w:lang w:val="en-US" w:eastAsia="zh-CN"/>
                      <w14:textFill>
                        <w14:solidFill>
                          <w14:schemeClr w14:val="tx1"/>
                        </w14:solidFill>
                      </w14:textFill>
                    </w:rPr>
                    <w:t>1</w:t>
                  </w:r>
                </w:p>
              </w:tc>
              <w:tc>
                <w:tcPr>
                  <w:tcW w:w="667" w:type="dxa"/>
                  <w:tcBorders>
                    <w:tl2br w:val="nil"/>
                    <w:tr2bl w:val="nil"/>
                  </w:tcBorders>
                  <w:vAlign w:val="center"/>
                </w:tcPr>
                <w:p w14:paraId="30C525A3">
                  <w:pPr>
                    <w:pStyle w:val="98"/>
                    <w:spacing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生活污水排放</w:t>
                  </w:r>
                  <w:r>
                    <w:rPr>
                      <w:rFonts w:hint="eastAsia" w:ascii="Times New Roman" w:hAnsi="Times New Roman" w:cs="Times New Roman"/>
                      <w:color w:val="000000" w:themeColor="text1"/>
                      <w:sz w:val="21"/>
                      <w:highlight w:val="none"/>
                      <w:lang w:val="en-US" w:eastAsia="zh-CN"/>
                      <w14:textFill>
                        <w14:solidFill>
                          <w14:schemeClr w14:val="tx1"/>
                        </w14:solidFill>
                      </w14:textFill>
                    </w:rPr>
                    <w:t>口</w:t>
                  </w:r>
                </w:p>
              </w:tc>
              <w:tc>
                <w:tcPr>
                  <w:tcW w:w="661" w:type="dxa"/>
                  <w:tcBorders>
                    <w:tl2br w:val="nil"/>
                    <w:tr2bl w:val="nil"/>
                  </w:tcBorders>
                  <w:vAlign w:val="center"/>
                </w:tcPr>
                <w:p w14:paraId="74E787F4">
                  <w:pPr>
                    <w:pStyle w:val="21"/>
                    <w:adjustRightInd w:val="0"/>
                    <w:snapToGrid w:val="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一般排放口</w:t>
                  </w:r>
                </w:p>
              </w:tc>
              <w:tc>
                <w:tcPr>
                  <w:tcW w:w="1731" w:type="dxa"/>
                  <w:tcBorders>
                    <w:tl2br w:val="nil"/>
                    <w:tr2bl w:val="nil"/>
                  </w:tcBorders>
                  <w:vAlign w:val="center"/>
                </w:tcPr>
                <w:p w14:paraId="667942C0">
                  <w:pPr>
                    <w:pStyle w:val="21"/>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119.297400°</w:t>
                  </w:r>
                </w:p>
              </w:tc>
              <w:tc>
                <w:tcPr>
                  <w:tcW w:w="1634" w:type="dxa"/>
                  <w:tcBorders>
                    <w:tl2br w:val="nil"/>
                    <w:tr2bl w:val="nil"/>
                  </w:tcBorders>
                  <w:vAlign w:val="center"/>
                </w:tcPr>
                <w:p w14:paraId="602B6CF2">
                  <w:pPr>
                    <w:pStyle w:val="21"/>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25.8024224°</w:t>
                  </w:r>
                </w:p>
              </w:tc>
              <w:tc>
                <w:tcPr>
                  <w:tcW w:w="636" w:type="dxa"/>
                  <w:tcBorders>
                    <w:tl2br w:val="nil"/>
                    <w:tr2bl w:val="nil"/>
                  </w:tcBorders>
                  <w:vAlign w:val="center"/>
                </w:tcPr>
                <w:p w14:paraId="52E9948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间歇排放</w:t>
                  </w:r>
                </w:p>
              </w:tc>
              <w:tc>
                <w:tcPr>
                  <w:tcW w:w="1633" w:type="dxa"/>
                  <w:tcBorders>
                    <w:tl2br w:val="nil"/>
                    <w:tr2bl w:val="nil"/>
                  </w:tcBorders>
                  <w:vAlign w:val="center"/>
                </w:tcPr>
                <w:p w14:paraId="1289B5B8">
                  <w:pPr>
                    <w:pStyle w:val="101"/>
                    <w:adjustRightInd w:val="0"/>
                    <w:snapToGrid w:val="0"/>
                    <w:spacing w:line="240" w:lineRule="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pH、COD、BOD</w:t>
                  </w:r>
                  <w:r>
                    <w:rPr>
                      <w:rFonts w:ascii="Times New Roman" w:hAnsi="Times New Roman"/>
                      <w:color w:val="000000" w:themeColor="text1"/>
                      <w:sz w:val="21"/>
                      <w:szCs w:val="21"/>
                      <w:highlight w:val="none"/>
                      <w:vertAlign w:val="subscript"/>
                      <w14:textFill>
                        <w14:solidFill>
                          <w14:schemeClr w14:val="tx1"/>
                        </w14:solidFill>
                      </w14:textFill>
                    </w:rPr>
                    <w:t>5</w:t>
                  </w:r>
                  <w:r>
                    <w:rPr>
                      <w:rFonts w:ascii="Times New Roman" w:hAnsi="Times New Roman"/>
                      <w:color w:val="000000" w:themeColor="text1"/>
                      <w:sz w:val="21"/>
                      <w:szCs w:val="21"/>
                      <w:highlight w:val="none"/>
                      <w14:textFill>
                        <w14:solidFill>
                          <w14:schemeClr w14:val="tx1"/>
                        </w14:solidFill>
                      </w14:textFill>
                    </w:rPr>
                    <w:t>、NH</w:t>
                  </w:r>
                  <w:r>
                    <w:rPr>
                      <w:rFonts w:ascii="Times New Roman" w:hAnsi="Times New Roman"/>
                      <w:color w:val="000000" w:themeColor="text1"/>
                      <w:sz w:val="21"/>
                      <w:szCs w:val="21"/>
                      <w:highlight w:val="none"/>
                      <w:vertAlign w:val="subscript"/>
                      <w14:textFill>
                        <w14:solidFill>
                          <w14:schemeClr w14:val="tx1"/>
                        </w14:solidFill>
                      </w14:textFill>
                    </w:rPr>
                    <w:t>3</w:t>
                  </w:r>
                  <w:r>
                    <w:rPr>
                      <w:rFonts w:ascii="Times New Roman" w:hAnsi="Times New Roman"/>
                      <w:color w:val="000000" w:themeColor="text1"/>
                      <w:sz w:val="21"/>
                      <w:szCs w:val="21"/>
                      <w:highlight w:val="none"/>
                      <w14:textFill>
                        <w14:solidFill>
                          <w14:schemeClr w14:val="tx1"/>
                        </w14:solidFill>
                      </w14:textFill>
                    </w:rPr>
                    <w:t>-N、SS</w:t>
                  </w:r>
                </w:p>
              </w:tc>
              <w:tc>
                <w:tcPr>
                  <w:tcW w:w="834" w:type="dxa"/>
                  <w:tcBorders>
                    <w:tl2br w:val="nil"/>
                    <w:tr2bl w:val="nil"/>
                  </w:tcBorders>
                  <w:vAlign w:val="center"/>
                </w:tcPr>
                <w:p w14:paraId="133FD4D7">
                  <w:pPr>
                    <w:pStyle w:val="101"/>
                    <w:adjustRightInd w:val="0"/>
                    <w:snapToGrid w:val="0"/>
                    <w:spacing w:line="240" w:lineRule="auto"/>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1次/</w:t>
                  </w:r>
                  <w:r>
                    <w:rPr>
                      <w:rFonts w:hint="eastAsia" w:ascii="Times New Roman" w:hAnsi="Times New Roman"/>
                      <w:color w:val="000000" w:themeColor="text1"/>
                      <w:sz w:val="21"/>
                      <w:szCs w:val="21"/>
                      <w:highlight w:val="none"/>
                      <w:lang w:val="en-US" w:eastAsia="zh-CN"/>
                      <w14:textFill>
                        <w14:solidFill>
                          <w14:schemeClr w14:val="tx1"/>
                        </w14:solidFill>
                      </w14:textFill>
                    </w:rPr>
                    <w:t>半</w:t>
                  </w:r>
                  <w:r>
                    <w:rPr>
                      <w:rFonts w:ascii="Times New Roman" w:hAnsi="Times New Roman"/>
                      <w:color w:val="000000" w:themeColor="text1"/>
                      <w:sz w:val="21"/>
                      <w:szCs w:val="21"/>
                      <w:highlight w:val="none"/>
                      <w14:textFill>
                        <w14:solidFill>
                          <w14:schemeClr w14:val="tx1"/>
                        </w14:solidFill>
                      </w14:textFill>
                    </w:rPr>
                    <w:t>年</w:t>
                  </w:r>
                </w:p>
              </w:tc>
            </w:tr>
            <w:tr w14:paraId="14A09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930" w:type="dxa"/>
                  <w:tcBorders>
                    <w:tl2br w:val="nil"/>
                    <w:tr2bl w:val="nil"/>
                  </w:tcBorders>
                  <w:vAlign w:val="center"/>
                </w:tcPr>
                <w:p w14:paraId="631BBDFE">
                  <w:pPr>
                    <w:pStyle w:val="21"/>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DW002</w:t>
                  </w:r>
                </w:p>
              </w:tc>
              <w:tc>
                <w:tcPr>
                  <w:tcW w:w="667" w:type="dxa"/>
                  <w:tcBorders>
                    <w:tl2br w:val="nil"/>
                    <w:tr2bl w:val="nil"/>
                  </w:tcBorders>
                  <w:vAlign w:val="center"/>
                </w:tcPr>
                <w:p w14:paraId="7F2259B6">
                  <w:pPr>
                    <w:pStyle w:val="98"/>
                    <w:spacing w:line="240" w:lineRule="auto"/>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生产废水设施排放口</w:t>
                  </w:r>
                </w:p>
              </w:tc>
              <w:tc>
                <w:tcPr>
                  <w:tcW w:w="661" w:type="dxa"/>
                  <w:tcBorders>
                    <w:tl2br w:val="nil"/>
                    <w:tr2bl w:val="nil"/>
                  </w:tcBorders>
                  <w:vAlign w:val="center"/>
                </w:tcPr>
                <w:p w14:paraId="04C84F05">
                  <w:pPr>
                    <w:pStyle w:val="21"/>
                    <w:adjustRightInd w:val="0"/>
                    <w:snapToGrid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一般排放口</w:t>
                  </w:r>
                </w:p>
              </w:tc>
              <w:tc>
                <w:tcPr>
                  <w:tcW w:w="1731" w:type="dxa"/>
                  <w:tcBorders>
                    <w:tl2br w:val="nil"/>
                    <w:tr2bl w:val="nil"/>
                  </w:tcBorders>
                  <w:vAlign w:val="center"/>
                </w:tcPr>
                <w:p w14:paraId="4FB099A8">
                  <w:pPr>
                    <w:pStyle w:val="21"/>
                    <w:adjustRightInd w:val="0"/>
                    <w:snapToGrid w:val="0"/>
                    <w:jc w:val="center"/>
                    <w:rPr>
                      <w:rFonts w:hint="eastAsia" w:ascii="Times New Roman" w:hAnsi="Times New Roman"/>
                      <w:color w:val="auto"/>
                      <w:szCs w:val="21"/>
                      <w:highlight w:val="none"/>
                    </w:rPr>
                  </w:pPr>
                  <w:r>
                    <w:rPr>
                      <w:rFonts w:hint="eastAsia" w:ascii="Times New Roman" w:hAnsi="Times New Roman"/>
                      <w:color w:val="auto"/>
                      <w:szCs w:val="21"/>
                      <w:highlight w:val="none"/>
                    </w:rPr>
                    <w:t>119.297438°</w:t>
                  </w:r>
                </w:p>
              </w:tc>
              <w:tc>
                <w:tcPr>
                  <w:tcW w:w="1634" w:type="dxa"/>
                  <w:tcBorders>
                    <w:tl2br w:val="nil"/>
                    <w:tr2bl w:val="nil"/>
                  </w:tcBorders>
                  <w:vAlign w:val="center"/>
                </w:tcPr>
                <w:p w14:paraId="18AD5255">
                  <w:pPr>
                    <w:pStyle w:val="21"/>
                    <w:adjustRightInd w:val="0"/>
                    <w:snapToGrid w:val="0"/>
                    <w:jc w:val="center"/>
                    <w:rPr>
                      <w:rFonts w:hint="eastAsia" w:ascii="Times New Roman" w:hAnsi="Times New Roman"/>
                      <w:color w:val="auto"/>
                      <w:szCs w:val="21"/>
                      <w:highlight w:val="none"/>
                    </w:rPr>
                  </w:pPr>
                  <w:r>
                    <w:rPr>
                      <w:rFonts w:hint="eastAsia" w:ascii="Times New Roman" w:hAnsi="Times New Roman"/>
                      <w:color w:val="auto"/>
                      <w:szCs w:val="21"/>
                      <w:highlight w:val="none"/>
                    </w:rPr>
                    <w:t>25.802422°</w:t>
                  </w:r>
                </w:p>
              </w:tc>
              <w:tc>
                <w:tcPr>
                  <w:tcW w:w="636" w:type="dxa"/>
                  <w:tcBorders>
                    <w:tl2br w:val="nil"/>
                    <w:tr2bl w:val="nil"/>
                  </w:tcBorders>
                  <w:vAlign w:val="center"/>
                </w:tcPr>
                <w:p w14:paraId="3BF2C44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间歇排放</w:t>
                  </w:r>
                </w:p>
              </w:tc>
              <w:tc>
                <w:tcPr>
                  <w:tcW w:w="1633" w:type="dxa"/>
                  <w:tcBorders>
                    <w:tl2br w:val="nil"/>
                    <w:tr2bl w:val="nil"/>
                  </w:tcBorders>
                  <w:vAlign w:val="center"/>
                </w:tcPr>
                <w:p w14:paraId="52633937">
                  <w:pPr>
                    <w:pStyle w:val="101"/>
                    <w:adjustRightInd w:val="0"/>
                    <w:snapToGrid w:val="0"/>
                    <w:spacing w:line="240" w:lineRule="auto"/>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pH、COD、BOD</w:t>
                  </w:r>
                  <w:r>
                    <w:rPr>
                      <w:rFonts w:ascii="Times New Roman" w:hAnsi="Times New Roman"/>
                      <w:color w:val="000000" w:themeColor="text1"/>
                      <w:sz w:val="21"/>
                      <w:szCs w:val="21"/>
                      <w:highlight w:val="none"/>
                      <w:vertAlign w:val="subscript"/>
                      <w14:textFill>
                        <w14:solidFill>
                          <w14:schemeClr w14:val="tx1"/>
                        </w14:solidFill>
                      </w14:textFill>
                    </w:rPr>
                    <w:t>5</w:t>
                  </w:r>
                  <w:r>
                    <w:rPr>
                      <w:rFonts w:ascii="Times New Roman" w:hAnsi="Times New Roman"/>
                      <w:color w:val="000000" w:themeColor="text1"/>
                      <w:sz w:val="21"/>
                      <w:szCs w:val="21"/>
                      <w:highlight w:val="none"/>
                      <w14:textFill>
                        <w14:solidFill>
                          <w14:schemeClr w14:val="tx1"/>
                        </w14:solidFill>
                      </w14:textFill>
                    </w:rPr>
                    <w:t>、NH</w:t>
                  </w:r>
                  <w:r>
                    <w:rPr>
                      <w:rFonts w:ascii="Times New Roman" w:hAnsi="Times New Roman"/>
                      <w:color w:val="000000" w:themeColor="text1"/>
                      <w:sz w:val="21"/>
                      <w:szCs w:val="21"/>
                      <w:highlight w:val="none"/>
                      <w:vertAlign w:val="subscript"/>
                      <w14:textFill>
                        <w14:solidFill>
                          <w14:schemeClr w14:val="tx1"/>
                        </w14:solidFill>
                      </w14:textFill>
                    </w:rPr>
                    <w:t>3</w:t>
                  </w:r>
                  <w:r>
                    <w:rPr>
                      <w:rFonts w:ascii="Times New Roman" w:hAnsi="Times New Roman"/>
                      <w:color w:val="000000" w:themeColor="text1"/>
                      <w:sz w:val="21"/>
                      <w:szCs w:val="21"/>
                      <w:highlight w:val="none"/>
                      <w14:textFill>
                        <w14:solidFill>
                          <w14:schemeClr w14:val="tx1"/>
                        </w14:solidFill>
                      </w14:textFill>
                    </w:rPr>
                    <w:t>-N、SS</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石油类</w:t>
                  </w:r>
                  <w:r>
                    <w:rPr>
                      <w:rFonts w:hint="eastAsia" w:ascii="Times New Roman" w:hAnsi="Times New Roman"/>
                      <w:color w:val="000000" w:themeColor="text1"/>
                      <w:sz w:val="21"/>
                      <w:szCs w:val="21"/>
                      <w:highlight w:val="none"/>
                      <w:lang w:eastAsia="zh-CN"/>
                      <w14:textFill>
                        <w14:solidFill>
                          <w14:schemeClr w14:val="tx1"/>
                        </w14:solidFill>
                      </w14:textFill>
                    </w:rPr>
                    <w:t>、</w:t>
                  </w:r>
                </w:p>
                <w:p w14:paraId="1FEF8E17">
                  <w:pPr>
                    <w:pStyle w:val="101"/>
                    <w:adjustRightInd w:val="0"/>
                    <w:snapToGrid w:val="0"/>
                    <w:spacing w:line="240" w:lineRule="auto"/>
                    <w:rPr>
                      <w:rFonts w:ascii="Times New Roman" w:hAnsi="Times New Roman"/>
                      <w:color w:val="000000" w:themeColor="text1"/>
                      <w:sz w:val="21"/>
                      <w:szCs w:val="21"/>
                      <w:highlight w:val="yellow"/>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LAS</w:t>
                  </w:r>
                  <w:r>
                    <w:rPr>
                      <w:rFonts w:hint="eastAsia" w:ascii="Times New Roman" w:hAnsi="Times New Roman"/>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TN</w:t>
                  </w:r>
                </w:p>
              </w:tc>
              <w:tc>
                <w:tcPr>
                  <w:tcW w:w="834" w:type="dxa"/>
                  <w:tcBorders>
                    <w:tl2br w:val="nil"/>
                    <w:tr2bl w:val="nil"/>
                  </w:tcBorders>
                  <w:vAlign w:val="center"/>
                </w:tcPr>
                <w:p w14:paraId="4748A3EA">
                  <w:pPr>
                    <w:pStyle w:val="101"/>
                    <w:adjustRightInd w:val="0"/>
                    <w:snapToGrid w:val="0"/>
                    <w:spacing w:line="240" w:lineRule="auto"/>
                    <w:rPr>
                      <w:rFonts w:ascii="Times New Roman" w:hAnsi="Times New Roman"/>
                      <w:color w:val="000000" w:themeColor="text1"/>
                      <w:sz w:val="21"/>
                      <w:szCs w:val="21"/>
                      <w:highlight w:val="yellow"/>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1次/</w:t>
                  </w:r>
                  <w:r>
                    <w:rPr>
                      <w:rFonts w:hint="eastAsia" w:ascii="Times New Roman" w:hAnsi="Times New Roman"/>
                      <w:color w:val="000000" w:themeColor="text1"/>
                      <w:sz w:val="21"/>
                      <w:szCs w:val="21"/>
                      <w:highlight w:val="none"/>
                      <w:lang w:val="en-US" w:eastAsia="zh-CN"/>
                      <w14:textFill>
                        <w14:solidFill>
                          <w14:schemeClr w14:val="tx1"/>
                        </w14:solidFill>
                      </w14:textFill>
                    </w:rPr>
                    <w:t>半</w:t>
                  </w:r>
                  <w:r>
                    <w:rPr>
                      <w:rFonts w:ascii="Times New Roman" w:hAnsi="Times New Roman"/>
                      <w:color w:val="000000" w:themeColor="text1"/>
                      <w:sz w:val="21"/>
                      <w:szCs w:val="21"/>
                      <w:highlight w:val="none"/>
                      <w14:textFill>
                        <w14:solidFill>
                          <w14:schemeClr w14:val="tx1"/>
                        </w14:solidFill>
                      </w14:textFill>
                    </w:rPr>
                    <w:t>年</w:t>
                  </w:r>
                </w:p>
              </w:tc>
            </w:tr>
          </w:tbl>
          <w:p w14:paraId="28D2FFD7">
            <w:pPr>
              <w:rPr>
                <w:rFonts w:hint="eastAsia"/>
                <w:color w:val="auto"/>
                <w:lang w:val="en-US" w:eastAsia="zh-CN"/>
              </w:rPr>
            </w:pPr>
          </w:p>
          <w:p w14:paraId="3F312C1B">
            <w:pPr>
              <w:pStyle w:val="3"/>
              <w:numPr>
                <w:ilvl w:val="1"/>
                <w:numId w:val="1"/>
              </w:numPr>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运营期声环境影响分析</w:t>
            </w:r>
          </w:p>
          <w:p w14:paraId="07F44C35">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噪声污染源分析</w:t>
            </w:r>
          </w:p>
          <w:p w14:paraId="5790C38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0"/>
                <w:highlight w:val="none"/>
                <w:lang w:val="zh-CN" w:eastAsia="zh-CN" w:bidi="ar"/>
              </w:rPr>
            </w:pPr>
            <w:r>
              <w:rPr>
                <w:rFonts w:hint="eastAsia" w:ascii="Times New Roman" w:hAnsi="Times New Roman" w:eastAsia="宋体" w:cs="宋体"/>
                <w:color w:val="auto"/>
                <w:kern w:val="0"/>
                <w:sz w:val="24"/>
                <w:szCs w:val="20"/>
                <w:highlight w:val="none"/>
                <w:lang w:val="zh-CN" w:eastAsia="zh-CN" w:bidi="ar"/>
              </w:rPr>
              <w:t>本项目噪声源主要为焊接设备、废气处理风机、水泵等设备运行产生的噪声，其噪声值在65～80dB</w:t>
            </w:r>
            <w:r>
              <w:rPr>
                <w:rFonts w:hint="eastAsia" w:cs="宋体"/>
                <w:color w:val="auto"/>
                <w:kern w:val="0"/>
                <w:sz w:val="24"/>
                <w:szCs w:val="20"/>
                <w:highlight w:val="none"/>
                <w:lang w:val="zh-CN" w:eastAsia="zh-CN" w:bidi="ar"/>
              </w:rPr>
              <w:t>（</w:t>
            </w:r>
            <w:r>
              <w:rPr>
                <w:rFonts w:hint="eastAsia" w:ascii="Times New Roman" w:hAnsi="Times New Roman" w:eastAsia="宋体" w:cs="宋体"/>
                <w:color w:val="auto"/>
                <w:kern w:val="0"/>
                <w:sz w:val="24"/>
                <w:szCs w:val="20"/>
                <w:highlight w:val="none"/>
                <w:lang w:val="zh-CN" w:eastAsia="zh-CN" w:bidi="ar"/>
              </w:rPr>
              <w:t>A</w:t>
            </w:r>
            <w:r>
              <w:rPr>
                <w:rFonts w:hint="eastAsia" w:cs="宋体"/>
                <w:color w:val="auto"/>
                <w:kern w:val="0"/>
                <w:sz w:val="24"/>
                <w:szCs w:val="20"/>
                <w:highlight w:val="none"/>
                <w:lang w:val="zh-CN" w:eastAsia="zh-CN" w:bidi="ar"/>
              </w:rPr>
              <w:t>）</w:t>
            </w:r>
            <w:r>
              <w:rPr>
                <w:rFonts w:hint="eastAsia" w:ascii="Times New Roman" w:hAnsi="Times New Roman" w:eastAsia="宋体" w:cs="宋体"/>
                <w:color w:val="auto"/>
                <w:kern w:val="0"/>
                <w:sz w:val="24"/>
                <w:szCs w:val="20"/>
                <w:highlight w:val="none"/>
                <w:lang w:val="zh-CN" w:eastAsia="zh-CN" w:bidi="ar"/>
              </w:rPr>
              <w:t>之间。</w:t>
            </w:r>
          </w:p>
          <w:p w14:paraId="0BF42064">
            <w:pPr>
              <w:pStyle w:val="46"/>
              <w:keepNext w:val="0"/>
              <w:keepLines w:val="0"/>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宋体"/>
                <w:color w:val="auto"/>
                <w:kern w:val="0"/>
                <w:sz w:val="24"/>
                <w:szCs w:val="20"/>
                <w:highlight w:val="none"/>
                <w:lang w:val="zh-CN" w:eastAsia="zh-CN" w:bidi="ar"/>
              </w:rPr>
            </w:pPr>
            <w:r>
              <w:rPr>
                <w:rFonts w:hint="default" w:ascii="Times New Roman" w:hAnsi="Times New Roman" w:eastAsia="宋体" w:cs="宋体"/>
                <w:color w:val="auto"/>
                <w:kern w:val="0"/>
                <w:sz w:val="24"/>
                <w:szCs w:val="20"/>
                <w:highlight w:val="none"/>
                <w:lang w:val="zh-CN" w:eastAsia="zh-CN" w:bidi="ar"/>
              </w:rPr>
              <w:t>本项目主要设备噪声源见</w:t>
            </w:r>
            <w:r>
              <w:rPr>
                <w:rFonts w:hint="default" w:ascii="Times New Roman" w:hAnsi="Times New Roman" w:eastAsia="宋体" w:cs="宋体"/>
                <w:color w:val="auto"/>
                <w:kern w:val="0"/>
                <w:sz w:val="24"/>
                <w:szCs w:val="20"/>
                <w:highlight w:val="none"/>
                <w:lang w:val="zh-CN" w:eastAsia="zh-CN" w:bidi="ar"/>
              </w:rPr>
              <w:fldChar w:fldCharType="begin"/>
            </w:r>
            <w:r>
              <w:rPr>
                <w:rFonts w:hint="default" w:ascii="Times New Roman" w:hAnsi="Times New Roman" w:eastAsia="宋体" w:cs="宋体"/>
                <w:color w:val="auto"/>
                <w:kern w:val="0"/>
                <w:sz w:val="24"/>
                <w:szCs w:val="20"/>
                <w:highlight w:val="none"/>
                <w:lang w:val="zh-CN" w:eastAsia="zh-CN" w:bidi="ar"/>
              </w:rPr>
              <w:instrText xml:space="preserve"> REF _Ref9211 \n \h </w:instrText>
            </w:r>
            <w:r>
              <w:rPr>
                <w:rFonts w:hint="default" w:ascii="Times New Roman" w:hAnsi="Times New Roman" w:eastAsia="宋体" w:cs="宋体"/>
                <w:color w:val="auto"/>
                <w:kern w:val="0"/>
                <w:sz w:val="24"/>
                <w:szCs w:val="20"/>
                <w:highlight w:val="none"/>
                <w:lang w:val="zh-CN" w:eastAsia="zh-CN" w:bidi="ar"/>
              </w:rPr>
              <w:fldChar w:fldCharType="separate"/>
            </w:r>
            <w:r>
              <w:rPr>
                <w:rFonts w:hint="default" w:ascii="Times New Roman" w:hAnsi="Times New Roman" w:eastAsia="宋体" w:cs="宋体"/>
                <w:color w:val="auto"/>
                <w:kern w:val="0"/>
                <w:sz w:val="24"/>
                <w:szCs w:val="20"/>
                <w:highlight w:val="none"/>
                <w:lang w:val="zh-CN" w:eastAsia="zh-CN" w:bidi="ar"/>
              </w:rPr>
              <w:t>表4.4-1</w:t>
            </w:r>
            <w:r>
              <w:rPr>
                <w:rFonts w:hint="default" w:ascii="Times New Roman" w:hAnsi="Times New Roman" w:eastAsia="宋体" w:cs="宋体"/>
                <w:color w:val="auto"/>
                <w:kern w:val="0"/>
                <w:sz w:val="24"/>
                <w:szCs w:val="20"/>
                <w:highlight w:val="none"/>
                <w:lang w:val="zh-CN" w:eastAsia="zh-CN" w:bidi="ar"/>
              </w:rPr>
              <w:fldChar w:fldCharType="end"/>
            </w:r>
            <w:r>
              <w:rPr>
                <w:rFonts w:hint="default" w:ascii="Times New Roman" w:hAnsi="Times New Roman" w:eastAsia="宋体" w:cs="宋体"/>
                <w:color w:val="auto"/>
                <w:kern w:val="0"/>
                <w:sz w:val="24"/>
                <w:szCs w:val="20"/>
                <w:highlight w:val="none"/>
                <w:lang w:val="zh-CN" w:eastAsia="zh-CN" w:bidi="ar"/>
              </w:rPr>
              <w:t>。</w:t>
            </w:r>
          </w:p>
          <w:p w14:paraId="0A2F9922">
            <w:pPr>
              <w:pStyle w:val="44"/>
              <w:keepNext w:val="0"/>
              <w:keepLines w:val="0"/>
              <w:pageBreakBefore w:val="0"/>
              <w:widowControl w:val="0"/>
              <w:tabs>
                <w:tab w:val="left" w:pos="0"/>
                <w:tab w:val="clear" w:pos="420"/>
              </w:tabs>
              <w:kinsoku/>
              <w:wordWrap/>
              <w:overflowPunct/>
              <w:topLinePunct w:val="0"/>
              <w:autoSpaceDE w:val="0"/>
              <w:autoSpaceDN w:val="0"/>
              <w:bidi w:val="0"/>
              <w:adjustRightInd/>
              <w:snapToGrid/>
              <w:spacing w:before="157" w:beforeLines="50"/>
              <w:ind w:left="210" w:leftChars="0" w:firstLineChars="0"/>
              <w:textAlignment w:val="auto"/>
              <w:rPr>
                <w:rFonts w:hint="eastAsia" w:eastAsia="宋体"/>
                <w:color w:val="auto"/>
                <w:highlight w:val="none"/>
              </w:rPr>
            </w:pPr>
            <w:bookmarkStart w:id="51" w:name="_Toc2598"/>
            <w:bookmarkStart w:id="52" w:name="_Toc15502"/>
            <w:bookmarkStart w:id="53" w:name="_Toc21104"/>
            <w:r>
              <w:rPr>
                <w:rFonts w:ascii="宋体" w:hAnsi="宋体" w:eastAsia="宋体" w:cs="宋体"/>
                <w:color w:val="auto"/>
                <w:sz w:val="24"/>
                <w:szCs w:val="24"/>
                <w:highlight w:val="none"/>
              </w:rPr>
              <w:t>项目主要设备噪声一览表</w:t>
            </w:r>
          </w:p>
          <w:tbl>
            <w:tblPr>
              <w:tblStyle w:val="3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32"/>
              <w:gridCol w:w="450"/>
              <w:gridCol w:w="1077"/>
              <w:gridCol w:w="675"/>
              <w:gridCol w:w="654"/>
              <w:gridCol w:w="674"/>
              <w:gridCol w:w="1261"/>
              <w:gridCol w:w="960"/>
              <w:gridCol w:w="1337"/>
            </w:tblGrid>
            <w:tr w14:paraId="64184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restart"/>
                  <w:tcBorders>
                    <w:tl2br w:val="nil"/>
                    <w:tr2bl w:val="nil"/>
                  </w:tcBorders>
                  <w:vAlign w:val="center"/>
                </w:tcPr>
                <w:p w14:paraId="6CBA470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序</w:t>
                  </w:r>
                  <w:r>
                    <w:rPr>
                      <w:rFonts w:ascii="Times New Roman" w:hAnsi="Times New Roman" w:eastAsia="宋体" w:cs="宋体"/>
                      <w:color w:val="auto"/>
                      <w:sz w:val="21"/>
                      <w:szCs w:val="21"/>
                      <w:highlight w:val="none"/>
                    </w:rPr>
                    <w:t>号</w:t>
                  </w:r>
                </w:p>
              </w:tc>
              <w:tc>
                <w:tcPr>
                  <w:tcW w:w="1232" w:type="dxa"/>
                  <w:vMerge w:val="restart"/>
                  <w:tcBorders>
                    <w:tl2br w:val="nil"/>
                    <w:tr2bl w:val="nil"/>
                  </w:tcBorders>
                  <w:vAlign w:val="center"/>
                </w:tcPr>
                <w:p w14:paraId="5723D95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设备名称</w:t>
                  </w:r>
                </w:p>
              </w:tc>
              <w:tc>
                <w:tcPr>
                  <w:tcW w:w="450" w:type="dxa"/>
                  <w:vMerge w:val="restart"/>
                  <w:tcBorders>
                    <w:tl2br w:val="nil"/>
                    <w:tr2bl w:val="nil"/>
                  </w:tcBorders>
                  <w:vAlign w:val="center"/>
                </w:tcPr>
                <w:p w14:paraId="1F31403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数量</w:t>
                  </w:r>
                </w:p>
              </w:tc>
              <w:tc>
                <w:tcPr>
                  <w:tcW w:w="1077" w:type="dxa"/>
                  <w:vMerge w:val="restart"/>
                  <w:tcBorders>
                    <w:tl2br w:val="nil"/>
                    <w:tr2bl w:val="nil"/>
                  </w:tcBorders>
                  <w:vAlign w:val="center"/>
                </w:tcPr>
                <w:p w14:paraId="1979B38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治理前声级</w:t>
                  </w:r>
                </w:p>
              </w:tc>
              <w:tc>
                <w:tcPr>
                  <w:tcW w:w="2003" w:type="dxa"/>
                  <w:gridSpan w:val="3"/>
                  <w:tcBorders>
                    <w:tl2br w:val="nil"/>
                    <w:tr2bl w:val="nil"/>
                  </w:tcBorders>
                  <w:vAlign w:val="center"/>
                </w:tcPr>
                <w:p w14:paraId="6B6122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空间相对位置/m</w:t>
                  </w:r>
                </w:p>
              </w:tc>
              <w:tc>
                <w:tcPr>
                  <w:tcW w:w="1261" w:type="dxa"/>
                  <w:vMerge w:val="restart"/>
                  <w:tcBorders>
                    <w:tl2br w:val="nil"/>
                    <w:tr2bl w:val="nil"/>
                  </w:tcBorders>
                  <w:vAlign w:val="center"/>
                </w:tcPr>
                <w:p w14:paraId="319B749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噪声属性及性质</w:t>
                  </w:r>
                </w:p>
              </w:tc>
              <w:tc>
                <w:tcPr>
                  <w:tcW w:w="960" w:type="dxa"/>
                  <w:vMerge w:val="restart"/>
                  <w:tcBorders>
                    <w:tl2br w:val="nil"/>
                    <w:tr2bl w:val="nil"/>
                  </w:tcBorders>
                  <w:vAlign w:val="center"/>
                </w:tcPr>
                <w:p w14:paraId="1E92F3C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治理措施</w:t>
                  </w:r>
                </w:p>
              </w:tc>
              <w:tc>
                <w:tcPr>
                  <w:tcW w:w="1337" w:type="dxa"/>
                  <w:vMerge w:val="restart"/>
                  <w:tcBorders>
                    <w:tl2br w:val="nil"/>
                    <w:tr2bl w:val="nil"/>
                  </w:tcBorders>
                  <w:vAlign w:val="center"/>
                </w:tcPr>
                <w:p w14:paraId="7407623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治理后</w:t>
                  </w:r>
                  <w:r>
                    <w:rPr>
                      <w:rFonts w:hint="eastAsia" w:ascii="Times New Roman" w:hAnsi="Times New Roman" w:eastAsia="宋体" w:cs="宋体"/>
                      <w:color w:val="auto"/>
                      <w:sz w:val="21"/>
                      <w:szCs w:val="21"/>
                      <w:highlight w:val="none"/>
                      <w:lang w:val="en-US" w:eastAsia="zh-CN"/>
                    </w:rPr>
                    <w:t>声</w:t>
                  </w:r>
                  <w:r>
                    <w:rPr>
                      <w:rFonts w:ascii="Times New Roman" w:hAnsi="Times New Roman" w:eastAsia="宋体" w:cs="宋体"/>
                      <w:color w:val="auto"/>
                      <w:sz w:val="21"/>
                      <w:szCs w:val="21"/>
                      <w:highlight w:val="none"/>
                    </w:rPr>
                    <w:t>级</w:t>
                  </w:r>
                </w:p>
              </w:tc>
            </w:tr>
            <w:tr w14:paraId="3A949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continue"/>
                  <w:tcBorders>
                    <w:tl2br w:val="nil"/>
                    <w:tr2bl w:val="nil"/>
                  </w:tcBorders>
                  <w:vAlign w:val="center"/>
                </w:tcPr>
                <w:p w14:paraId="62497150">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1232" w:type="dxa"/>
                  <w:vMerge w:val="continue"/>
                  <w:tcBorders>
                    <w:tl2br w:val="nil"/>
                    <w:tr2bl w:val="nil"/>
                  </w:tcBorders>
                  <w:vAlign w:val="center"/>
                </w:tcPr>
                <w:p w14:paraId="2180708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450" w:type="dxa"/>
                  <w:vMerge w:val="continue"/>
                  <w:tcBorders>
                    <w:tl2br w:val="nil"/>
                    <w:tr2bl w:val="nil"/>
                  </w:tcBorders>
                  <w:vAlign w:val="center"/>
                </w:tcPr>
                <w:p w14:paraId="5CA1841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1077" w:type="dxa"/>
                  <w:vMerge w:val="continue"/>
                  <w:tcBorders>
                    <w:tl2br w:val="nil"/>
                    <w:tr2bl w:val="nil"/>
                  </w:tcBorders>
                  <w:vAlign w:val="center"/>
                </w:tcPr>
                <w:p w14:paraId="278E9484">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675" w:type="dxa"/>
                  <w:tcBorders>
                    <w:tl2br w:val="nil"/>
                    <w:tr2bl w:val="nil"/>
                  </w:tcBorders>
                  <w:vAlign w:val="center"/>
                </w:tcPr>
                <w:p w14:paraId="128A2E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x</w:t>
                  </w:r>
                </w:p>
              </w:tc>
              <w:tc>
                <w:tcPr>
                  <w:tcW w:w="654" w:type="dxa"/>
                  <w:tcBorders>
                    <w:tl2br w:val="nil"/>
                    <w:tr2bl w:val="nil"/>
                  </w:tcBorders>
                  <w:vAlign w:val="center"/>
                </w:tcPr>
                <w:p w14:paraId="7709B4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y</w:t>
                  </w:r>
                </w:p>
              </w:tc>
              <w:tc>
                <w:tcPr>
                  <w:tcW w:w="674" w:type="dxa"/>
                  <w:tcBorders>
                    <w:tl2br w:val="nil"/>
                    <w:tr2bl w:val="nil"/>
                  </w:tcBorders>
                  <w:vAlign w:val="center"/>
                </w:tcPr>
                <w:p w14:paraId="3DD274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z</w:t>
                  </w:r>
                </w:p>
              </w:tc>
              <w:tc>
                <w:tcPr>
                  <w:tcW w:w="1261" w:type="dxa"/>
                  <w:vMerge w:val="continue"/>
                  <w:tcBorders>
                    <w:tl2br w:val="nil"/>
                    <w:tr2bl w:val="nil"/>
                  </w:tcBorders>
                  <w:vAlign w:val="center"/>
                </w:tcPr>
                <w:p w14:paraId="16862F3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c>
                <w:tcPr>
                  <w:tcW w:w="960" w:type="dxa"/>
                  <w:vMerge w:val="continue"/>
                  <w:tcBorders>
                    <w:tl2br w:val="nil"/>
                    <w:tr2bl w:val="nil"/>
                  </w:tcBorders>
                  <w:vAlign w:val="center"/>
                </w:tcPr>
                <w:p w14:paraId="0DC6556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c>
                <w:tcPr>
                  <w:tcW w:w="1337" w:type="dxa"/>
                  <w:vMerge w:val="continue"/>
                  <w:tcBorders>
                    <w:tl2br w:val="nil"/>
                    <w:tr2bl w:val="nil"/>
                  </w:tcBorders>
                  <w:vAlign w:val="center"/>
                </w:tcPr>
                <w:p w14:paraId="504BE39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auto"/>
                      <w:sz w:val="21"/>
                      <w:szCs w:val="21"/>
                      <w:highlight w:val="none"/>
                      <w:lang w:val="en-US" w:eastAsia="zh-CN"/>
                    </w:rPr>
                  </w:pPr>
                </w:p>
              </w:tc>
            </w:tr>
            <w:tr w14:paraId="0A1E0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6A00D18B">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w:t>
                  </w:r>
                </w:p>
              </w:tc>
              <w:tc>
                <w:tcPr>
                  <w:tcW w:w="1232" w:type="dxa"/>
                  <w:tcBorders>
                    <w:tl2br w:val="nil"/>
                    <w:tr2bl w:val="nil"/>
                  </w:tcBorders>
                  <w:shd w:val="clear" w:color="auto" w:fill="auto"/>
                  <w:vAlign w:val="center"/>
                </w:tcPr>
                <w:p w14:paraId="499B2420">
                  <w:pPr>
                    <w:pStyle w:val="115"/>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p&gt;:#"/>
                      <w:color w:val="auto"/>
                      <w:kern w:val="0"/>
                      <w:sz w:val="21"/>
                      <w:szCs w:val="24"/>
                      <w:highlight w:val="none"/>
                      <w:lang w:val="en-US" w:eastAsia="zh-CN"/>
                    </w:rPr>
                    <w:t>焊接机器人</w:t>
                  </w:r>
                </w:p>
              </w:tc>
              <w:tc>
                <w:tcPr>
                  <w:tcW w:w="450" w:type="dxa"/>
                  <w:tcBorders>
                    <w:tl2br w:val="nil"/>
                    <w:tr2bl w:val="nil"/>
                  </w:tcBorders>
                  <w:vAlign w:val="center"/>
                </w:tcPr>
                <w:p w14:paraId="4EC0516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olor w:val="auto"/>
                      <w:sz w:val="21"/>
                      <w:szCs w:val="21"/>
                      <w:highlight w:val="none"/>
                      <w:vertAlign w:val="baseline"/>
                      <w:lang w:val="en-US"/>
                    </w:rPr>
                  </w:pP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w:t>
                  </w:r>
                </w:p>
              </w:tc>
              <w:tc>
                <w:tcPr>
                  <w:tcW w:w="1077" w:type="dxa"/>
                  <w:tcBorders>
                    <w:tl2br w:val="nil"/>
                    <w:tr2bl w:val="nil"/>
                  </w:tcBorders>
                  <w:vAlign w:val="center"/>
                </w:tcPr>
                <w:p w14:paraId="5610D452">
                  <w:pPr>
                    <w:pStyle w:val="4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33049E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hint="eastAsia" w:ascii="Times New Roman" w:hAnsi="Times New Roman" w:eastAsia="宋体" w:cs="宋体"/>
                      <w:color w:val="auto"/>
                      <w:sz w:val="21"/>
                      <w:szCs w:val="21"/>
                      <w:highlight w:val="none"/>
                      <w:lang w:val="en-US" w:eastAsia="zh-CN"/>
                    </w:rPr>
                    <w:t>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7D24E6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w:t>
                  </w:r>
                  <w:r>
                    <w:rPr>
                      <w:rFonts w:ascii="Times New Roman" w:hAnsi="Times New Roman" w:eastAsia="宋体" w:cs="宋体"/>
                      <w:color w:val="auto"/>
                      <w:sz w:val="21"/>
                      <w:szCs w:val="21"/>
                      <w:highlight w:val="none"/>
                    </w:rPr>
                    <w:t>12.0</w:t>
                  </w:r>
                </w:p>
              </w:tc>
              <w:tc>
                <w:tcPr>
                  <w:tcW w:w="674" w:type="dxa"/>
                  <w:tcBorders>
                    <w:tl2br w:val="nil"/>
                    <w:tr2bl w:val="nil"/>
                  </w:tcBorders>
                  <w:vAlign w:val="center"/>
                </w:tcPr>
                <w:p w14:paraId="795F417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0.8</w:t>
                  </w:r>
                </w:p>
              </w:tc>
              <w:tc>
                <w:tcPr>
                  <w:tcW w:w="1261" w:type="dxa"/>
                  <w:tcBorders>
                    <w:tl2br w:val="nil"/>
                    <w:tr2bl w:val="nil"/>
                  </w:tcBorders>
                  <w:vAlign w:val="center"/>
                </w:tcPr>
                <w:p w14:paraId="2D39F7E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restart"/>
                  <w:tcBorders>
                    <w:tl2br w:val="nil"/>
                    <w:tr2bl w:val="nil"/>
                  </w:tcBorders>
                  <w:vAlign w:val="center"/>
                </w:tcPr>
                <w:p w14:paraId="47EAC0EA">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ascii="Times New Roman" w:hAnsi="Times New Roman" w:eastAsia="宋体" w:cs="宋体"/>
                      <w:color w:val="auto"/>
                      <w:sz w:val="21"/>
                      <w:szCs w:val="21"/>
                      <w:highlight w:val="none"/>
                    </w:rPr>
                    <w:t>高噪声设备基础安装减振，进行装消声器等降噪措施</w:t>
                  </w:r>
                </w:p>
              </w:tc>
              <w:tc>
                <w:tcPr>
                  <w:tcW w:w="1337" w:type="dxa"/>
                  <w:vMerge w:val="restart"/>
                  <w:tcBorders>
                    <w:tl2br w:val="nil"/>
                    <w:tr2bl w:val="nil"/>
                  </w:tcBorders>
                  <w:vAlign w:val="center"/>
                </w:tcPr>
                <w:p w14:paraId="455C1837">
                  <w:pPr>
                    <w:pStyle w:val="48"/>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dB(A)</w:t>
                  </w:r>
                </w:p>
              </w:tc>
            </w:tr>
            <w:tr w14:paraId="212B7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3D7B6CDC">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2</w:t>
                  </w:r>
                </w:p>
              </w:tc>
              <w:tc>
                <w:tcPr>
                  <w:tcW w:w="1232" w:type="dxa"/>
                  <w:tcBorders>
                    <w:tl2br w:val="nil"/>
                    <w:tr2bl w:val="nil"/>
                  </w:tcBorders>
                  <w:shd w:val="clear" w:color="auto" w:fill="auto"/>
                  <w:vAlign w:val="center"/>
                </w:tcPr>
                <w:p w14:paraId="327D4984">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ascii="Times New Roman" w:hAnsi="Times New Roman" w:eastAsia="宋体" w:cs="p&gt;:#"/>
                      <w:color w:val="auto"/>
                      <w:kern w:val="0"/>
                      <w:sz w:val="21"/>
                      <w:szCs w:val="24"/>
                      <w:highlight w:val="none"/>
                    </w:rPr>
                    <w:t>纯水制备</w:t>
                  </w:r>
                  <w:r>
                    <w:rPr>
                      <w:rFonts w:hint="eastAsia" w:ascii="Times New Roman" w:hAnsi="Times New Roman" w:eastAsia="宋体" w:cs="p&gt;:#"/>
                      <w:color w:val="auto"/>
                      <w:kern w:val="0"/>
                      <w:sz w:val="21"/>
                      <w:szCs w:val="24"/>
                      <w:highlight w:val="none"/>
                      <w:lang w:eastAsia="zh-CN"/>
                    </w:rPr>
                    <w:t>系统</w:t>
                  </w:r>
                </w:p>
              </w:tc>
              <w:tc>
                <w:tcPr>
                  <w:tcW w:w="450" w:type="dxa"/>
                  <w:tcBorders>
                    <w:tl2br w:val="nil"/>
                    <w:tr2bl w:val="nil"/>
                  </w:tcBorders>
                  <w:vAlign w:val="center"/>
                </w:tcPr>
                <w:p w14:paraId="0FCBA65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2"/>
                      <w:sz w:val="21"/>
                      <w:szCs w:val="21"/>
                      <w:highlight w:val="none"/>
                      <w:lang w:val="en-US" w:eastAsia="zh-CN"/>
                    </w:rPr>
                    <w:t>1</w:t>
                  </w:r>
                </w:p>
              </w:tc>
              <w:tc>
                <w:tcPr>
                  <w:tcW w:w="1077" w:type="dxa"/>
                  <w:tcBorders>
                    <w:tl2br w:val="nil"/>
                    <w:tr2bl w:val="nil"/>
                  </w:tcBorders>
                  <w:vAlign w:val="center"/>
                </w:tcPr>
                <w:p w14:paraId="215139E0">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24BDADE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8.0</w:t>
                  </w:r>
                </w:p>
              </w:tc>
              <w:tc>
                <w:tcPr>
                  <w:tcW w:w="654" w:type="dxa"/>
                  <w:tcBorders>
                    <w:tl2br w:val="nil"/>
                    <w:tr2bl w:val="nil"/>
                  </w:tcBorders>
                  <w:vAlign w:val="center"/>
                </w:tcPr>
                <w:p w14:paraId="13A0122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9</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511BE62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14:paraId="5E360EB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3D3FCD7D">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5755EC7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4DB97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745A3330">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3</w:t>
                  </w:r>
                </w:p>
              </w:tc>
              <w:tc>
                <w:tcPr>
                  <w:tcW w:w="1232" w:type="dxa"/>
                  <w:tcBorders>
                    <w:tl2br w:val="nil"/>
                    <w:tr2bl w:val="nil"/>
                  </w:tcBorders>
                  <w:shd w:val="clear" w:color="auto" w:fill="auto"/>
                  <w:vAlign w:val="center"/>
                </w:tcPr>
                <w:p w14:paraId="4DFC02F1">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预脱脂</w:t>
                  </w:r>
                </w:p>
              </w:tc>
              <w:tc>
                <w:tcPr>
                  <w:tcW w:w="450" w:type="dxa"/>
                  <w:tcBorders>
                    <w:tl2br w:val="nil"/>
                    <w:tr2bl w:val="nil"/>
                  </w:tcBorders>
                  <w:vAlign w:val="center"/>
                </w:tcPr>
                <w:p w14:paraId="7EE4347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3"/>
                      <w:sz w:val="21"/>
                      <w:szCs w:val="21"/>
                      <w:highlight w:val="none"/>
                      <w:lang w:val="en-US" w:eastAsia="zh-CN"/>
                    </w:rPr>
                    <w:t>1</w:t>
                  </w:r>
                </w:p>
              </w:tc>
              <w:tc>
                <w:tcPr>
                  <w:tcW w:w="1077" w:type="dxa"/>
                  <w:tcBorders>
                    <w:tl2br w:val="nil"/>
                    <w:tr2bl w:val="nil"/>
                  </w:tcBorders>
                  <w:vAlign w:val="center"/>
                </w:tcPr>
                <w:p w14:paraId="4490EA0A">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481409F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766E54E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7002327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p>
              </w:tc>
              <w:tc>
                <w:tcPr>
                  <w:tcW w:w="1261" w:type="dxa"/>
                  <w:tcBorders>
                    <w:tl2br w:val="nil"/>
                    <w:tr2bl w:val="nil"/>
                  </w:tcBorders>
                  <w:vAlign w:val="center"/>
                </w:tcPr>
                <w:p w14:paraId="6D51D4A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
                      <w:bCs/>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65D7DFB1">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320D0BB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64D9F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70118DE4">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4</w:t>
                  </w:r>
                </w:p>
              </w:tc>
              <w:tc>
                <w:tcPr>
                  <w:tcW w:w="1232" w:type="dxa"/>
                  <w:tcBorders>
                    <w:tl2br w:val="nil"/>
                    <w:tr2bl w:val="nil"/>
                  </w:tcBorders>
                  <w:shd w:val="clear" w:color="auto" w:fill="auto"/>
                  <w:vAlign w:val="center"/>
                </w:tcPr>
                <w:p w14:paraId="26F3DAA8">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主脱脂</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436E8EA9">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2</w:t>
                  </w:r>
                </w:p>
              </w:tc>
              <w:tc>
                <w:tcPr>
                  <w:tcW w:w="1077" w:type="dxa"/>
                  <w:tcBorders>
                    <w:tl2br w:val="nil"/>
                    <w:tr2bl w:val="nil"/>
                  </w:tcBorders>
                  <w:vAlign w:val="center"/>
                </w:tcPr>
                <w:p w14:paraId="3B30915C">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2ADAF7B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254AE46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7AD4FA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61" w:type="dxa"/>
                  <w:tcBorders>
                    <w:tl2br w:val="nil"/>
                    <w:tr2bl w:val="nil"/>
                  </w:tcBorders>
                  <w:vAlign w:val="center"/>
                </w:tcPr>
                <w:p w14:paraId="5D179056">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5783FB6C">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406B1E44">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06823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0BFF14D0">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5</w:t>
                  </w:r>
                </w:p>
              </w:tc>
              <w:tc>
                <w:tcPr>
                  <w:tcW w:w="1232" w:type="dxa"/>
                  <w:tcBorders>
                    <w:tl2br w:val="nil"/>
                    <w:tr2bl w:val="nil"/>
                  </w:tcBorders>
                  <w:shd w:val="clear" w:color="auto" w:fill="auto"/>
                  <w:vAlign w:val="center"/>
                </w:tcPr>
                <w:p w14:paraId="623F74CB">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水洗1</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55AC234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14:paraId="72A789B4">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0AD42E6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22852A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16.0</w:t>
                  </w:r>
                </w:p>
              </w:tc>
              <w:tc>
                <w:tcPr>
                  <w:tcW w:w="674" w:type="dxa"/>
                  <w:tcBorders>
                    <w:tl2br w:val="nil"/>
                    <w:tr2bl w:val="nil"/>
                  </w:tcBorders>
                  <w:vAlign w:val="center"/>
                </w:tcPr>
                <w:p w14:paraId="4BA918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5</w:t>
                  </w:r>
                </w:p>
              </w:tc>
              <w:tc>
                <w:tcPr>
                  <w:tcW w:w="1261" w:type="dxa"/>
                  <w:tcBorders>
                    <w:tl2br w:val="nil"/>
                    <w:tr2bl w:val="nil"/>
                  </w:tcBorders>
                  <w:vAlign w:val="center"/>
                </w:tcPr>
                <w:p w14:paraId="37DA537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40686EEC">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2B8EE9C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67A34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204AFB9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6</w:t>
                  </w:r>
                </w:p>
              </w:tc>
              <w:tc>
                <w:tcPr>
                  <w:tcW w:w="1232" w:type="dxa"/>
                  <w:tcBorders>
                    <w:tl2br w:val="nil"/>
                    <w:tr2bl w:val="nil"/>
                  </w:tcBorders>
                  <w:shd w:val="clear" w:color="auto" w:fill="auto"/>
                  <w:vAlign w:val="center"/>
                </w:tcPr>
                <w:p w14:paraId="50E4AE1A">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auto"/>
                      <w:sz w:val="21"/>
                      <w:szCs w:val="24"/>
                      <w:highlight w:val="none"/>
                    </w:rPr>
                    <w:t>水洗2</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03665AF8">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14:paraId="44B8BFB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23907B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-20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6888E2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16</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398364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1.2</w:t>
                  </w:r>
                </w:p>
              </w:tc>
              <w:tc>
                <w:tcPr>
                  <w:tcW w:w="1261" w:type="dxa"/>
                  <w:tcBorders>
                    <w:tl2br w:val="nil"/>
                    <w:tr2bl w:val="nil"/>
                  </w:tcBorders>
                  <w:vAlign w:val="center"/>
                </w:tcPr>
                <w:p w14:paraId="30EBAA3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1DCBD90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01D7A3C6">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4BE9B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6E7EB235">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7</w:t>
                  </w:r>
                </w:p>
              </w:tc>
              <w:tc>
                <w:tcPr>
                  <w:tcW w:w="1232" w:type="dxa"/>
                  <w:tcBorders>
                    <w:tl2br w:val="nil"/>
                    <w:tr2bl w:val="nil"/>
                  </w:tcBorders>
                  <w:shd w:val="clear" w:color="auto" w:fill="auto"/>
                  <w:vAlign w:val="center"/>
                </w:tcPr>
                <w:p w14:paraId="49F2286A">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硅烷</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4BE0E0E7">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1</w:t>
                  </w:r>
                </w:p>
              </w:tc>
              <w:tc>
                <w:tcPr>
                  <w:tcW w:w="1077" w:type="dxa"/>
                  <w:tcBorders>
                    <w:tl2br w:val="nil"/>
                    <w:tr2bl w:val="nil"/>
                  </w:tcBorders>
                  <w:vAlign w:val="center"/>
                </w:tcPr>
                <w:p w14:paraId="4665350D">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宋体"/>
                      <w:color w:val="auto"/>
                      <w:sz w:val="21"/>
                      <w:szCs w:val="21"/>
                      <w:highlight w:val="none"/>
                      <w:lang w:val="en-US" w:eastAsia="zh-CN"/>
                    </w:rPr>
                    <w:t>65</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75</w:t>
                  </w:r>
                </w:p>
              </w:tc>
              <w:tc>
                <w:tcPr>
                  <w:tcW w:w="675" w:type="dxa"/>
                  <w:tcBorders>
                    <w:tl2br w:val="nil"/>
                    <w:tr2bl w:val="nil"/>
                  </w:tcBorders>
                  <w:vAlign w:val="center"/>
                </w:tcPr>
                <w:p w14:paraId="6C479F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6704749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4D28B4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1</w:t>
                  </w:r>
                  <w:r>
                    <w:rPr>
                      <w:rFonts w:hint="eastAsia" w:ascii="Times New Roman" w:hAnsi="Times New Roman" w:eastAsia="宋体" w:cs="宋体"/>
                      <w:color w:val="auto"/>
                      <w:sz w:val="21"/>
                      <w:szCs w:val="21"/>
                      <w:highlight w:val="none"/>
                      <w:lang w:val="en-US" w:eastAsia="zh-CN"/>
                    </w:rPr>
                    <w:t>.6</w:t>
                  </w:r>
                </w:p>
              </w:tc>
              <w:tc>
                <w:tcPr>
                  <w:tcW w:w="1261" w:type="dxa"/>
                  <w:tcBorders>
                    <w:tl2br w:val="nil"/>
                    <w:tr2bl w:val="nil"/>
                  </w:tcBorders>
                  <w:vAlign w:val="center"/>
                </w:tcPr>
                <w:p w14:paraId="48554DA0">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75EE691F">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58010638">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00009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6FCE560">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8</w:t>
                  </w:r>
                </w:p>
              </w:tc>
              <w:tc>
                <w:tcPr>
                  <w:tcW w:w="1232" w:type="dxa"/>
                  <w:tcBorders>
                    <w:tl2br w:val="nil"/>
                    <w:tr2bl w:val="nil"/>
                  </w:tcBorders>
                  <w:shd w:val="clear" w:color="auto" w:fill="auto"/>
                  <w:vAlign w:val="center"/>
                </w:tcPr>
                <w:p w14:paraId="7325FC46">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olor w:val="auto"/>
                      <w:sz w:val="21"/>
                      <w:szCs w:val="24"/>
                      <w:highlight w:val="none"/>
                    </w:rPr>
                    <w:t>水洗3</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0B6516A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10"/>
                      <w:sz w:val="21"/>
                      <w:szCs w:val="21"/>
                      <w:highlight w:val="none"/>
                      <w:lang w:val="en-US" w:eastAsia="zh-CN"/>
                    </w:rPr>
                    <w:t>1</w:t>
                  </w:r>
                </w:p>
              </w:tc>
              <w:tc>
                <w:tcPr>
                  <w:tcW w:w="1077" w:type="dxa"/>
                  <w:tcBorders>
                    <w:tl2br w:val="nil"/>
                    <w:tr2bl w:val="nil"/>
                  </w:tcBorders>
                  <w:vAlign w:val="center"/>
                </w:tcPr>
                <w:p w14:paraId="3DF991A8">
                  <w:pPr>
                    <w:pStyle w:val="4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126B11D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-26.0</w:t>
                  </w:r>
                </w:p>
              </w:tc>
              <w:tc>
                <w:tcPr>
                  <w:tcW w:w="654" w:type="dxa"/>
                  <w:tcBorders>
                    <w:tl2br w:val="nil"/>
                    <w:tr2bl w:val="nil"/>
                  </w:tcBorders>
                  <w:vAlign w:val="center"/>
                </w:tcPr>
                <w:p w14:paraId="318437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w:t>
                  </w:r>
                  <w:r>
                    <w:rPr>
                      <w:rFonts w:hint="eastAsia" w:cs="宋体"/>
                      <w:color w:val="auto"/>
                      <w:sz w:val="21"/>
                      <w:szCs w:val="21"/>
                      <w:highlight w:val="none"/>
                      <w:lang w:val="en-US" w:eastAsia="zh-CN"/>
                    </w:rPr>
                    <w:t>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26F5F65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14:paraId="723C9891">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59A6AA15">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0390493E">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11BC2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46D0AC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9</w:t>
                  </w:r>
                </w:p>
              </w:tc>
              <w:tc>
                <w:tcPr>
                  <w:tcW w:w="1232" w:type="dxa"/>
                  <w:tcBorders>
                    <w:tl2br w:val="nil"/>
                    <w:tr2bl w:val="nil"/>
                  </w:tcBorders>
                  <w:shd w:val="clear" w:color="auto" w:fill="auto"/>
                  <w:vAlign w:val="center"/>
                </w:tcPr>
                <w:p w14:paraId="152A371F">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7"/>
                      <w:kern w:val="2"/>
                      <w:sz w:val="21"/>
                      <w:szCs w:val="24"/>
                      <w:highlight w:val="none"/>
                      <w:lang w:val="en-US" w:eastAsia="zh-CN" w:bidi="ar-SA"/>
                    </w:rPr>
                  </w:pPr>
                  <w:r>
                    <w:rPr>
                      <w:rFonts w:hint="eastAsia" w:ascii="Times New Roman" w:hAnsi="Times New Roman" w:eastAsia="宋体"/>
                      <w:color w:val="auto"/>
                      <w:sz w:val="21"/>
                      <w:szCs w:val="24"/>
                      <w:highlight w:val="none"/>
                    </w:rPr>
                    <w:t>纯水洗1</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1B4EF70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pacing w:val="-10"/>
                      <w:sz w:val="21"/>
                      <w:szCs w:val="21"/>
                      <w:highlight w:val="none"/>
                    </w:rPr>
                    <w:t>1</w:t>
                  </w:r>
                </w:p>
              </w:tc>
              <w:tc>
                <w:tcPr>
                  <w:tcW w:w="1077" w:type="dxa"/>
                  <w:tcBorders>
                    <w:tl2br w:val="nil"/>
                    <w:tr2bl w:val="nil"/>
                  </w:tcBorders>
                  <w:vAlign w:val="center"/>
                </w:tcPr>
                <w:p w14:paraId="14EF2B22">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6638067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hint="eastAsia" w:ascii="Times New Roman" w:hAnsi="Times New Roman" w:eastAsia="宋体"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7A20DC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499EDC4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14:paraId="06DD54EC">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6CBCAA6C">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6E6F6BBD">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5A498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6928CFD9">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10</w:t>
                  </w:r>
                </w:p>
              </w:tc>
              <w:tc>
                <w:tcPr>
                  <w:tcW w:w="1232" w:type="dxa"/>
                  <w:tcBorders>
                    <w:tl2br w:val="nil"/>
                    <w:tr2bl w:val="nil"/>
                  </w:tcBorders>
                  <w:shd w:val="clear" w:color="auto" w:fill="auto"/>
                  <w:vAlign w:val="center"/>
                </w:tcPr>
                <w:p w14:paraId="60FB2BA7">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auto"/>
                      <w:sz w:val="21"/>
                      <w:szCs w:val="24"/>
                      <w:highlight w:val="none"/>
                    </w:rPr>
                    <w:t>电泳</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67D2741A">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pacing w:val="-3"/>
                      <w:sz w:val="21"/>
                      <w:szCs w:val="21"/>
                      <w:highlight w:val="none"/>
                      <w:lang w:val="en-US" w:eastAsia="zh-CN"/>
                    </w:rPr>
                    <w:t>1</w:t>
                  </w:r>
                </w:p>
              </w:tc>
              <w:tc>
                <w:tcPr>
                  <w:tcW w:w="1077" w:type="dxa"/>
                  <w:tcBorders>
                    <w:tl2br w:val="nil"/>
                    <w:tr2bl w:val="nil"/>
                  </w:tcBorders>
                  <w:vAlign w:val="center"/>
                </w:tcPr>
                <w:p w14:paraId="3BDA2F15">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3E80BB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15</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05ABF1D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3F2664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vAlign w:val="center"/>
                </w:tcPr>
                <w:p w14:paraId="7096F82C">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5C685A76">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3A94D1D7">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4DE4F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598D91C">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11</w:t>
                  </w:r>
                </w:p>
              </w:tc>
              <w:tc>
                <w:tcPr>
                  <w:tcW w:w="1232" w:type="dxa"/>
                  <w:tcBorders>
                    <w:tl2br w:val="nil"/>
                    <w:tr2bl w:val="nil"/>
                  </w:tcBorders>
                  <w:shd w:val="clear" w:color="auto" w:fill="auto"/>
                  <w:vAlign w:val="center"/>
                </w:tcPr>
                <w:p w14:paraId="2A453880">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6"/>
                      <w:kern w:val="2"/>
                      <w:sz w:val="21"/>
                      <w:szCs w:val="24"/>
                      <w:highlight w:val="none"/>
                      <w:lang w:val="en-US" w:eastAsia="zh-CN" w:bidi="ar-SA"/>
                    </w:rPr>
                  </w:pPr>
                  <w:r>
                    <w:rPr>
                      <w:rFonts w:hint="eastAsia" w:ascii="Times New Roman" w:hAnsi="Times New Roman" w:eastAsia="宋体"/>
                      <w:color w:val="auto"/>
                      <w:sz w:val="21"/>
                      <w:szCs w:val="24"/>
                      <w:highlight w:val="none"/>
                    </w:rPr>
                    <w:t>UF0洗</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1C0B00B4">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pacing w:val="-10"/>
                      <w:sz w:val="21"/>
                      <w:szCs w:val="21"/>
                      <w:highlight w:val="none"/>
                    </w:rPr>
                    <w:t>1</w:t>
                  </w:r>
                </w:p>
              </w:tc>
              <w:tc>
                <w:tcPr>
                  <w:tcW w:w="1077" w:type="dxa"/>
                  <w:tcBorders>
                    <w:tl2br w:val="nil"/>
                    <w:tr2bl w:val="nil"/>
                  </w:tcBorders>
                  <w:vAlign w:val="center"/>
                </w:tcPr>
                <w:p w14:paraId="44192D20">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50DE54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656D926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w:t>
                  </w:r>
                  <w:r>
                    <w:rPr>
                      <w:rFonts w:ascii="Times New Roman" w:hAnsi="Times New Roman" w:eastAsia="宋体" w:cs="宋体"/>
                      <w:color w:val="auto"/>
                      <w:sz w:val="21"/>
                      <w:szCs w:val="21"/>
                      <w:highlight w:val="none"/>
                    </w:rPr>
                    <w:t>2.0</w:t>
                  </w:r>
                </w:p>
              </w:tc>
              <w:tc>
                <w:tcPr>
                  <w:tcW w:w="674" w:type="dxa"/>
                  <w:tcBorders>
                    <w:tl2br w:val="nil"/>
                    <w:tr2bl w:val="nil"/>
                  </w:tcBorders>
                  <w:vAlign w:val="center"/>
                </w:tcPr>
                <w:p w14:paraId="3394B41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14:paraId="55C49B82">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423DF1A5">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6D1A94A1">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6AB3B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1A96B779">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12</w:t>
                  </w:r>
                </w:p>
              </w:tc>
              <w:tc>
                <w:tcPr>
                  <w:tcW w:w="1232" w:type="dxa"/>
                  <w:tcBorders>
                    <w:tl2br w:val="nil"/>
                    <w:tr2bl w:val="nil"/>
                  </w:tcBorders>
                  <w:shd w:val="clear" w:color="auto" w:fill="auto"/>
                  <w:vAlign w:val="center"/>
                </w:tcPr>
                <w:p w14:paraId="645E885E">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auto"/>
                      <w:sz w:val="21"/>
                      <w:szCs w:val="24"/>
                      <w:highlight w:val="none"/>
                    </w:rPr>
                    <w:t>UF1洗</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1A639F65">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1</w:t>
                  </w:r>
                </w:p>
              </w:tc>
              <w:tc>
                <w:tcPr>
                  <w:tcW w:w="1077" w:type="dxa"/>
                  <w:tcBorders>
                    <w:tl2br w:val="nil"/>
                    <w:tr2bl w:val="nil"/>
                  </w:tcBorders>
                  <w:vAlign w:val="center"/>
                </w:tcPr>
                <w:p w14:paraId="681D2173">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5EA4BD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8</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4E92E0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51E961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1.6</w:t>
                  </w:r>
                </w:p>
              </w:tc>
              <w:tc>
                <w:tcPr>
                  <w:tcW w:w="1261" w:type="dxa"/>
                  <w:tcBorders>
                    <w:tl2br w:val="nil"/>
                    <w:tr2bl w:val="nil"/>
                  </w:tcBorders>
                  <w:vAlign w:val="center"/>
                </w:tcPr>
                <w:p w14:paraId="38403BBF">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5FC11798">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7B5DD33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28C87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AB828F5">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13</w:t>
                  </w:r>
                </w:p>
              </w:tc>
              <w:tc>
                <w:tcPr>
                  <w:tcW w:w="1232" w:type="dxa"/>
                  <w:tcBorders>
                    <w:tl2br w:val="nil"/>
                    <w:tr2bl w:val="nil"/>
                  </w:tcBorders>
                  <w:shd w:val="clear" w:color="auto" w:fill="auto"/>
                  <w:vAlign w:val="center"/>
                </w:tcPr>
                <w:p w14:paraId="4311DF72">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eastAsia="宋体"/>
                      <w:color w:val="auto"/>
                      <w:sz w:val="21"/>
                      <w:szCs w:val="24"/>
                      <w:highlight w:val="none"/>
                    </w:rPr>
                    <w:t>UF2洗</w:t>
                  </w:r>
                  <w:r>
                    <w:rPr>
                      <w:rFonts w:hint="eastAsia" w:ascii="Times New Roman" w:hAnsi="Times New Roman" w:eastAsia="宋体"/>
                      <w:color w:val="auto"/>
                      <w:sz w:val="21"/>
                      <w:szCs w:val="24"/>
                      <w:highlight w:val="none"/>
                      <w:lang w:eastAsia="zh-CN"/>
                    </w:rPr>
                    <w:t>槽</w:t>
                  </w:r>
                </w:p>
              </w:tc>
              <w:tc>
                <w:tcPr>
                  <w:tcW w:w="450" w:type="dxa"/>
                  <w:tcBorders>
                    <w:tl2br w:val="nil"/>
                    <w:tr2bl w:val="nil"/>
                  </w:tcBorders>
                  <w:vAlign w:val="center"/>
                </w:tcPr>
                <w:p w14:paraId="5262CBD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default" w:ascii="Times New Roman" w:hAnsi="Times New Roman" w:eastAsia="宋体" w:cs="Times New Roman"/>
                      <w:color w:val="auto"/>
                      <w:sz w:val="21"/>
                      <w:szCs w:val="21"/>
                      <w:highlight w:val="none"/>
                    </w:rPr>
                    <w:t>2</w:t>
                  </w:r>
                </w:p>
              </w:tc>
              <w:tc>
                <w:tcPr>
                  <w:tcW w:w="1077" w:type="dxa"/>
                  <w:tcBorders>
                    <w:tl2br w:val="nil"/>
                    <w:tr2bl w:val="nil"/>
                  </w:tcBorders>
                  <w:vAlign w:val="center"/>
                </w:tcPr>
                <w:p w14:paraId="79F2874F">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65CA430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ascii="Times New Roman" w:hAnsi="Times New Roman" w:eastAsia="宋体" w:cs="宋体"/>
                      <w:color w:val="auto"/>
                      <w:sz w:val="21"/>
                      <w:szCs w:val="21"/>
                      <w:highlight w:val="none"/>
                    </w:rPr>
                    <w:t>5.0</w:t>
                  </w:r>
                </w:p>
              </w:tc>
              <w:tc>
                <w:tcPr>
                  <w:tcW w:w="654" w:type="dxa"/>
                  <w:tcBorders>
                    <w:tl2br w:val="nil"/>
                    <w:tr2bl w:val="nil"/>
                  </w:tcBorders>
                  <w:vAlign w:val="center"/>
                </w:tcPr>
                <w:p w14:paraId="5BFF5B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12</w:t>
                  </w:r>
                  <w:r>
                    <w:rPr>
                      <w:rFonts w:hint="eastAsia" w:ascii="Times New Roman" w:hAnsi="Times New Roman" w:eastAsia="宋体" w:cs="宋体"/>
                      <w:color w:val="auto"/>
                      <w:sz w:val="21"/>
                      <w:szCs w:val="21"/>
                      <w:highlight w:val="none"/>
                      <w:lang w:val="en-US" w:eastAsia="zh-CN"/>
                    </w:rPr>
                    <w:t>.0</w:t>
                  </w:r>
                </w:p>
              </w:tc>
              <w:tc>
                <w:tcPr>
                  <w:tcW w:w="674" w:type="dxa"/>
                  <w:tcBorders>
                    <w:tl2br w:val="nil"/>
                    <w:tr2bl w:val="nil"/>
                  </w:tcBorders>
                  <w:vAlign w:val="center"/>
                </w:tcPr>
                <w:p w14:paraId="2D996DE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p>
              </w:tc>
              <w:tc>
                <w:tcPr>
                  <w:tcW w:w="1261" w:type="dxa"/>
                  <w:tcBorders>
                    <w:tl2br w:val="nil"/>
                    <w:tr2bl w:val="nil"/>
                  </w:tcBorders>
                  <w:vAlign w:val="center"/>
                </w:tcPr>
                <w:p w14:paraId="4CF347CA">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6CA925BA">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70657BD5">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730F2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2C15FE0C">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s="Times New Roman"/>
                      <w:bCs/>
                      <w:color w:val="auto"/>
                      <w:sz w:val="21"/>
                      <w:szCs w:val="21"/>
                      <w:highlight w:val="none"/>
                      <w:lang w:val="en-US" w:eastAsia="zh-CN"/>
                    </w:rPr>
                    <w:t>14</w:t>
                  </w:r>
                </w:p>
              </w:tc>
              <w:tc>
                <w:tcPr>
                  <w:tcW w:w="1232" w:type="dxa"/>
                  <w:tcBorders>
                    <w:tl2br w:val="nil"/>
                    <w:tr2bl w:val="nil"/>
                  </w:tcBorders>
                  <w:shd w:val="clear" w:color="auto" w:fill="auto"/>
                  <w:vAlign w:val="center"/>
                </w:tcPr>
                <w:p w14:paraId="60F1DCDC">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pacing w:val="2"/>
                      <w:kern w:val="2"/>
                      <w:position w:val="1"/>
                      <w:sz w:val="21"/>
                      <w:szCs w:val="24"/>
                      <w:highlight w:val="none"/>
                      <w:lang w:val="en-US" w:eastAsia="zh-CN" w:bidi="ar-SA"/>
                    </w:rPr>
                  </w:pPr>
                  <w:r>
                    <w:rPr>
                      <w:rFonts w:hint="eastAsia" w:ascii="Times New Roman" w:hAnsi="Times New Roman"/>
                      <w:color w:val="auto"/>
                      <w:sz w:val="21"/>
                      <w:szCs w:val="24"/>
                      <w:highlight w:val="none"/>
                      <w:lang w:val="en-US" w:eastAsia="zh-CN"/>
                    </w:rPr>
                    <w:t>天然气</w:t>
                  </w:r>
                  <w:r>
                    <w:rPr>
                      <w:rFonts w:hint="eastAsia" w:ascii="Times New Roman" w:hAnsi="Times New Roman"/>
                      <w:color w:val="auto"/>
                      <w:sz w:val="21"/>
                      <w:szCs w:val="24"/>
                      <w:highlight w:val="none"/>
                      <w:lang w:val="de-DE" w:eastAsia="zh-CN"/>
                    </w:rPr>
                    <w:t>固化炉</w:t>
                  </w:r>
                </w:p>
              </w:tc>
              <w:tc>
                <w:tcPr>
                  <w:tcW w:w="450" w:type="dxa"/>
                  <w:tcBorders>
                    <w:tl2br w:val="nil"/>
                    <w:tr2bl w:val="nil"/>
                  </w:tcBorders>
                  <w:vAlign w:val="center"/>
                </w:tcPr>
                <w:p w14:paraId="278F1E38">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cs="Times New Roman"/>
                      <w:color w:val="0070C0"/>
                      <w:spacing w:val="-10"/>
                      <w:sz w:val="21"/>
                      <w:szCs w:val="21"/>
                      <w:highlight w:val="none"/>
                      <w:lang w:val="en-US" w:eastAsia="zh-CN"/>
                    </w:rPr>
                    <w:t>2</w:t>
                  </w:r>
                </w:p>
              </w:tc>
              <w:tc>
                <w:tcPr>
                  <w:tcW w:w="1077" w:type="dxa"/>
                  <w:tcBorders>
                    <w:tl2br w:val="nil"/>
                    <w:tr2bl w:val="nil"/>
                  </w:tcBorders>
                  <w:vAlign w:val="center"/>
                </w:tcPr>
                <w:p w14:paraId="540D7E7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52BC59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10</w:t>
                  </w:r>
                  <w:r>
                    <w:rPr>
                      <w:rFonts w:ascii="Times New Roman" w:hAnsi="Times New Roman" w:eastAsia="宋体" w:cs="宋体"/>
                      <w:color w:val="auto"/>
                      <w:sz w:val="21"/>
                      <w:szCs w:val="21"/>
                      <w:highlight w:val="none"/>
                    </w:rPr>
                    <w:t>.0</w:t>
                  </w:r>
                </w:p>
              </w:tc>
              <w:tc>
                <w:tcPr>
                  <w:tcW w:w="654" w:type="dxa"/>
                  <w:tcBorders>
                    <w:tl2br w:val="nil"/>
                    <w:tr2bl w:val="nil"/>
                  </w:tcBorders>
                  <w:vAlign w:val="center"/>
                </w:tcPr>
                <w:p w14:paraId="423A862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vAlign w:val="center"/>
                </w:tcPr>
                <w:p w14:paraId="534D5EC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lang w:val="en-US" w:eastAsia="zh-CN"/>
                    </w:rPr>
                    <w:t>1.2</w:t>
                  </w:r>
                </w:p>
              </w:tc>
              <w:tc>
                <w:tcPr>
                  <w:tcW w:w="1261" w:type="dxa"/>
                  <w:tcBorders>
                    <w:tl2br w:val="nil"/>
                    <w:tr2bl w:val="nil"/>
                  </w:tcBorders>
                  <w:vAlign w:val="center"/>
                </w:tcPr>
                <w:p w14:paraId="1B730F6F">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758873FB">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20D32EA8">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3C63F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3D567E9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c>
                <w:tcPr>
                  <w:tcW w:w="1232" w:type="dxa"/>
                  <w:tcBorders>
                    <w:tl2br w:val="nil"/>
                    <w:tr2bl w:val="nil"/>
                  </w:tcBorders>
                  <w:shd w:val="clear" w:color="auto" w:fill="auto"/>
                  <w:vAlign w:val="center"/>
                </w:tcPr>
                <w:p w14:paraId="3973079C">
                  <w:pPr>
                    <w:pStyle w:val="115"/>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喷粉线</w:t>
                  </w:r>
                </w:p>
              </w:tc>
              <w:tc>
                <w:tcPr>
                  <w:tcW w:w="450" w:type="dxa"/>
                  <w:tcBorders>
                    <w:tl2br w:val="nil"/>
                    <w:tr2bl w:val="nil"/>
                  </w:tcBorders>
                  <w:vAlign w:val="center"/>
                </w:tcPr>
                <w:p w14:paraId="5F2BB5C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1</w:t>
                  </w:r>
                </w:p>
              </w:tc>
              <w:tc>
                <w:tcPr>
                  <w:tcW w:w="1077" w:type="dxa"/>
                  <w:tcBorders>
                    <w:tl2br w:val="nil"/>
                    <w:tr2bl w:val="nil"/>
                  </w:tcBorders>
                  <w:vAlign w:val="center"/>
                </w:tcPr>
                <w:p w14:paraId="239AA483">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6B8AC5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-15</w:t>
                  </w:r>
                </w:p>
              </w:tc>
              <w:tc>
                <w:tcPr>
                  <w:tcW w:w="654" w:type="dxa"/>
                  <w:tcBorders>
                    <w:tl2br w:val="nil"/>
                    <w:tr2bl w:val="nil"/>
                  </w:tcBorders>
                  <w:vAlign w:val="center"/>
                </w:tcPr>
                <w:p w14:paraId="5E92A13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10</w:t>
                  </w:r>
                </w:p>
              </w:tc>
              <w:tc>
                <w:tcPr>
                  <w:tcW w:w="674" w:type="dxa"/>
                  <w:tcBorders>
                    <w:tl2br w:val="nil"/>
                    <w:tr2bl w:val="nil"/>
                  </w:tcBorders>
                  <w:vAlign w:val="center"/>
                </w:tcPr>
                <w:p w14:paraId="79730A8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0.8</w:t>
                  </w:r>
                </w:p>
              </w:tc>
              <w:tc>
                <w:tcPr>
                  <w:tcW w:w="1261" w:type="dxa"/>
                  <w:tcBorders>
                    <w:tl2br w:val="nil"/>
                    <w:tr2bl w:val="nil"/>
                  </w:tcBorders>
                  <w:vAlign w:val="center"/>
                </w:tcPr>
                <w:p w14:paraId="0A0AB5F8">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17D6FCF9">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3B45CA7E">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137C8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5A3FD3F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16</w:t>
                  </w:r>
                </w:p>
              </w:tc>
              <w:tc>
                <w:tcPr>
                  <w:tcW w:w="1232" w:type="dxa"/>
                  <w:tcBorders>
                    <w:tl2br w:val="nil"/>
                    <w:tr2bl w:val="nil"/>
                  </w:tcBorders>
                  <w:shd w:val="clear" w:color="auto" w:fill="auto"/>
                  <w:vAlign w:val="center"/>
                </w:tcPr>
                <w:p w14:paraId="3A28FCF6">
                  <w:pPr>
                    <w:pStyle w:val="115"/>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喷漆线</w:t>
                  </w:r>
                </w:p>
              </w:tc>
              <w:tc>
                <w:tcPr>
                  <w:tcW w:w="450" w:type="dxa"/>
                  <w:tcBorders>
                    <w:tl2br w:val="nil"/>
                    <w:tr2bl w:val="nil"/>
                  </w:tcBorders>
                  <w:vAlign w:val="center"/>
                </w:tcPr>
                <w:p w14:paraId="454A946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0"/>
                      <w:sz w:val="21"/>
                      <w:szCs w:val="21"/>
                      <w:highlight w:val="none"/>
                      <w:lang w:val="en-US" w:eastAsia="zh-CN"/>
                    </w:rPr>
                  </w:pPr>
                  <w:r>
                    <w:rPr>
                      <w:rFonts w:hint="eastAsia" w:ascii="Times New Roman" w:hAnsi="Times New Roman" w:cs="Times New Roman"/>
                      <w:color w:val="auto"/>
                      <w:spacing w:val="-10"/>
                      <w:sz w:val="21"/>
                      <w:szCs w:val="21"/>
                      <w:highlight w:val="none"/>
                      <w:lang w:val="en-US" w:eastAsia="zh-CN"/>
                    </w:rPr>
                    <w:t>1</w:t>
                  </w:r>
                </w:p>
              </w:tc>
              <w:tc>
                <w:tcPr>
                  <w:tcW w:w="1077" w:type="dxa"/>
                  <w:tcBorders>
                    <w:tl2br w:val="nil"/>
                    <w:tr2bl w:val="nil"/>
                  </w:tcBorders>
                  <w:vAlign w:val="center"/>
                </w:tcPr>
                <w:p w14:paraId="25C4E8CF">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vAlign w:val="center"/>
                </w:tcPr>
                <w:p w14:paraId="2AA1C65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-12</w:t>
                  </w:r>
                </w:p>
              </w:tc>
              <w:tc>
                <w:tcPr>
                  <w:tcW w:w="654" w:type="dxa"/>
                  <w:tcBorders>
                    <w:tl2br w:val="nil"/>
                    <w:tr2bl w:val="nil"/>
                  </w:tcBorders>
                  <w:vAlign w:val="center"/>
                </w:tcPr>
                <w:p w14:paraId="370807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16</w:t>
                  </w:r>
                </w:p>
              </w:tc>
              <w:tc>
                <w:tcPr>
                  <w:tcW w:w="674" w:type="dxa"/>
                  <w:tcBorders>
                    <w:tl2br w:val="nil"/>
                    <w:tr2bl w:val="nil"/>
                  </w:tcBorders>
                  <w:vAlign w:val="center"/>
                </w:tcPr>
                <w:p w14:paraId="7134741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1.5</w:t>
                  </w:r>
                </w:p>
              </w:tc>
              <w:tc>
                <w:tcPr>
                  <w:tcW w:w="1261" w:type="dxa"/>
                  <w:tcBorders>
                    <w:tl2br w:val="nil"/>
                    <w:tr2bl w:val="nil"/>
                  </w:tcBorders>
                  <w:vAlign w:val="center"/>
                </w:tcPr>
                <w:p w14:paraId="6494B8C1">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auto"/>
                      <w:sz w:val="21"/>
                      <w:szCs w:val="21"/>
                      <w:highlight w:val="none"/>
                      <w:vertAlign w:val="baseline"/>
                      <w:lang w:val="en-US" w:eastAsia="zh-CN"/>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603777A0">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6688408D">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r w14:paraId="03492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tcBorders>
                    <w:tl2br w:val="nil"/>
                    <w:tr2bl w:val="nil"/>
                  </w:tcBorders>
                  <w:vAlign w:val="center"/>
                </w:tcPr>
                <w:p w14:paraId="024C40F1">
                  <w:pPr>
                    <w:keepNext w:val="0"/>
                    <w:keepLines w:val="0"/>
                    <w:pageBreakBefore w:val="0"/>
                    <w:kinsoku/>
                    <w:wordWrap/>
                    <w:overflowPunct/>
                    <w:topLinePunct w:val="0"/>
                    <w:autoSpaceDE/>
                    <w:autoSpaceDN/>
                    <w:bidi w:val="0"/>
                    <w:adjustRightInd/>
                    <w:snapToGrid/>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17</w:t>
                  </w:r>
                </w:p>
              </w:tc>
              <w:tc>
                <w:tcPr>
                  <w:tcW w:w="1232" w:type="dxa"/>
                  <w:tcBorders>
                    <w:tl2br w:val="nil"/>
                    <w:tr2bl w:val="nil"/>
                  </w:tcBorders>
                  <w:shd w:val="clear" w:color="auto" w:fill="auto"/>
                  <w:vAlign w:val="center"/>
                </w:tcPr>
                <w:p w14:paraId="6FC895FA">
                  <w:pPr>
                    <w:pStyle w:val="115"/>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olor w:val="auto"/>
                      <w:sz w:val="21"/>
                      <w:szCs w:val="24"/>
                      <w:highlight w:val="none"/>
                      <w:lang w:val="en-US" w:eastAsia="zh-CN"/>
                    </w:rPr>
                  </w:pPr>
                  <w:r>
                    <w:rPr>
                      <w:rFonts w:hint="eastAsia" w:ascii="Times New Roman" w:hAnsi="Times New Roman"/>
                      <w:color w:val="auto"/>
                      <w:sz w:val="21"/>
                      <w:szCs w:val="24"/>
                      <w:highlight w:val="none"/>
                      <w:lang w:val="en-US" w:eastAsia="zh-CN"/>
                    </w:rPr>
                    <w:t>天然气热水</w:t>
                  </w:r>
                  <w:r>
                    <w:rPr>
                      <w:rFonts w:hint="eastAsia" w:ascii="Times New Roman" w:hAnsi="Times New Roman"/>
                      <w:color w:val="auto"/>
                      <w:sz w:val="21"/>
                      <w:szCs w:val="24"/>
                      <w:highlight w:val="none"/>
                      <w:lang w:val="de-DE" w:eastAsia="zh-CN"/>
                    </w:rPr>
                    <w:t>炉</w:t>
                  </w:r>
                </w:p>
              </w:tc>
              <w:tc>
                <w:tcPr>
                  <w:tcW w:w="450" w:type="dxa"/>
                  <w:tcBorders>
                    <w:tl2br w:val="nil"/>
                    <w:tr2bl w:val="nil"/>
                  </w:tcBorders>
                  <w:shd w:val="clear" w:color="auto" w:fill="auto"/>
                  <w:vAlign w:val="center"/>
                </w:tcPr>
                <w:p w14:paraId="448E948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10"/>
                      <w:sz w:val="21"/>
                      <w:szCs w:val="21"/>
                      <w:highlight w:val="none"/>
                    </w:rPr>
                    <w:t>1</w:t>
                  </w:r>
                </w:p>
              </w:tc>
              <w:tc>
                <w:tcPr>
                  <w:tcW w:w="1077" w:type="dxa"/>
                  <w:tcBorders>
                    <w:tl2br w:val="nil"/>
                    <w:tr2bl w:val="nil"/>
                  </w:tcBorders>
                  <w:shd w:val="clear" w:color="auto" w:fill="auto"/>
                  <w:vAlign w:val="center"/>
                </w:tcPr>
                <w:p w14:paraId="4E1AEE28">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w:t>
                  </w:r>
                  <w:r>
                    <w:rPr>
                      <w:rFonts w:hint="eastAsia" w:ascii="Times New Roman" w:hAnsi="Times New Roman" w:eastAsia="宋体"/>
                      <w:color w:val="auto"/>
                      <w:sz w:val="21"/>
                      <w:szCs w:val="21"/>
                      <w:highlight w:val="none"/>
                      <w:vertAlign w:val="baseline"/>
                      <w:lang w:val="en-US" w:eastAsia="zh-CN"/>
                    </w:rPr>
                    <w:t>75</w:t>
                  </w:r>
                </w:p>
              </w:tc>
              <w:tc>
                <w:tcPr>
                  <w:tcW w:w="675" w:type="dxa"/>
                  <w:tcBorders>
                    <w:tl2br w:val="nil"/>
                    <w:tr2bl w:val="nil"/>
                  </w:tcBorders>
                  <w:shd w:val="clear" w:color="auto" w:fill="auto"/>
                  <w:vAlign w:val="center"/>
                </w:tcPr>
                <w:p w14:paraId="25773B0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宋体"/>
                      <w:color w:val="auto"/>
                      <w:sz w:val="21"/>
                      <w:szCs w:val="21"/>
                      <w:highlight w:val="none"/>
                      <w:lang w:val="en-US" w:eastAsia="zh-CN"/>
                    </w:rPr>
                    <w:t>1</w:t>
                  </w:r>
                  <w:r>
                    <w:rPr>
                      <w:rFonts w:hint="eastAsia" w:ascii="Times New Roman" w:hAnsi="Times New Roman" w:eastAsia="宋体" w:cs="宋体"/>
                      <w:color w:val="auto"/>
                      <w:sz w:val="21"/>
                      <w:szCs w:val="21"/>
                      <w:highlight w:val="none"/>
                      <w:lang w:val="en-US" w:eastAsia="zh-CN"/>
                    </w:rPr>
                    <w:t>2</w:t>
                  </w:r>
                  <w:r>
                    <w:rPr>
                      <w:rFonts w:ascii="Times New Roman" w:hAnsi="Times New Roman" w:eastAsia="宋体" w:cs="宋体"/>
                      <w:color w:val="auto"/>
                      <w:sz w:val="21"/>
                      <w:szCs w:val="21"/>
                      <w:highlight w:val="none"/>
                    </w:rPr>
                    <w:t>.0</w:t>
                  </w:r>
                </w:p>
              </w:tc>
              <w:tc>
                <w:tcPr>
                  <w:tcW w:w="654" w:type="dxa"/>
                  <w:tcBorders>
                    <w:tl2br w:val="nil"/>
                    <w:tr2bl w:val="nil"/>
                  </w:tcBorders>
                  <w:shd w:val="clear" w:color="auto" w:fill="auto"/>
                  <w:vAlign w:val="center"/>
                </w:tcPr>
                <w:p w14:paraId="100E32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宋体"/>
                      <w:color w:val="auto"/>
                      <w:sz w:val="21"/>
                      <w:szCs w:val="21"/>
                      <w:highlight w:val="none"/>
                      <w:lang w:val="en-US" w:eastAsia="zh-CN"/>
                    </w:rPr>
                    <w:t>14</w:t>
                  </w:r>
                  <w:r>
                    <w:rPr>
                      <w:rFonts w:ascii="Times New Roman" w:hAnsi="Times New Roman" w:eastAsia="宋体" w:cs="宋体"/>
                      <w:color w:val="auto"/>
                      <w:sz w:val="21"/>
                      <w:szCs w:val="21"/>
                      <w:highlight w:val="none"/>
                    </w:rPr>
                    <w:t>.0</w:t>
                  </w:r>
                </w:p>
              </w:tc>
              <w:tc>
                <w:tcPr>
                  <w:tcW w:w="674" w:type="dxa"/>
                  <w:tcBorders>
                    <w:tl2br w:val="nil"/>
                    <w:tr2bl w:val="nil"/>
                  </w:tcBorders>
                  <w:shd w:val="clear" w:color="auto" w:fill="auto"/>
                  <w:vAlign w:val="center"/>
                </w:tcPr>
                <w:p w14:paraId="0535BC4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ascii="Times New Roman" w:hAnsi="Times New Roman" w:eastAsia="宋体" w:cs="宋体"/>
                      <w:color w:val="auto"/>
                      <w:sz w:val="21"/>
                      <w:szCs w:val="21"/>
                      <w:highlight w:val="none"/>
                    </w:rPr>
                    <w:t>0</w:t>
                  </w:r>
                  <w:r>
                    <w:rPr>
                      <w:rFonts w:hint="eastAsia" w:ascii="Times New Roman" w:hAnsi="Times New Roman" w:eastAsia="宋体" w:cs="宋体"/>
                      <w:color w:val="auto"/>
                      <w:sz w:val="21"/>
                      <w:szCs w:val="21"/>
                      <w:highlight w:val="none"/>
                      <w:lang w:val="en-US" w:eastAsia="zh-CN"/>
                    </w:rPr>
                    <w:t>.8</w:t>
                  </w:r>
                </w:p>
              </w:tc>
              <w:tc>
                <w:tcPr>
                  <w:tcW w:w="1261" w:type="dxa"/>
                  <w:tcBorders>
                    <w:tl2br w:val="nil"/>
                    <w:tr2bl w:val="nil"/>
                  </w:tcBorders>
                  <w:shd w:val="clear" w:color="auto" w:fill="auto"/>
                  <w:vAlign w:val="center"/>
                </w:tcPr>
                <w:p w14:paraId="6A822E11">
                  <w:pPr>
                    <w:pStyle w:val="4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olor w:val="auto"/>
                      <w:sz w:val="21"/>
                      <w:szCs w:val="21"/>
                      <w:highlight w:val="none"/>
                      <w:vertAlign w:val="baseline"/>
                      <w:lang w:val="en-US" w:eastAsia="zh-CN"/>
                    </w:rPr>
                    <w:t>点源</w:t>
                  </w:r>
                </w:p>
              </w:tc>
              <w:tc>
                <w:tcPr>
                  <w:tcW w:w="960" w:type="dxa"/>
                  <w:vMerge w:val="continue"/>
                  <w:tcBorders>
                    <w:tl2br w:val="nil"/>
                    <w:tr2bl w:val="nil"/>
                  </w:tcBorders>
                  <w:vAlign w:val="center"/>
                </w:tcPr>
                <w:p w14:paraId="535E26D4">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c>
                <w:tcPr>
                  <w:tcW w:w="1337" w:type="dxa"/>
                  <w:vMerge w:val="continue"/>
                  <w:tcBorders>
                    <w:tl2br w:val="nil"/>
                    <w:tr2bl w:val="nil"/>
                  </w:tcBorders>
                  <w:vAlign w:val="center"/>
                </w:tcPr>
                <w:p w14:paraId="5A773AD2">
                  <w:pPr>
                    <w:pStyle w:val="4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vertAlign w:val="baseline"/>
                    </w:rPr>
                  </w:pPr>
                </w:p>
              </w:tc>
            </w:tr>
          </w:tbl>
          <w:p w14:paraId="5E7E34CD">
            <w:pPr>
              <w:pStyle w:val="48"/>
              <w:jc w:val="left"/>
              <w:rPr>
                <w:rFonts w:hint="default" w:eastAsia="宋体"/>
                <w:color w:val="auto"/>
                <w:highlight w:val="none"/>
                <w:lang w:val="en-US" w:eastAsia="zh-CN"/>
              </w:rPr>
            </w:pPr>
            <w:r>
              <w:rPr>
                <w:rFonts w:hint="eastAsia"/>
                <w:color w:val="auto"/>
                <w:highlight w:val="none"/>
                <w:lang w:val="en-US" w:eastAsia="zh-CN"/>
              </w:rPr>
              <w:t>注：以厂区中心为原点；生产运行期间稳定声源，一天运行8h，夜间不生产。</w:t>
            </w:r>
          </w:p>
          <w:p w14:paraId="438E8A6D">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运营期</w:t>
            </w:r>
            <w:bookmarkEnd w:id="51"/>
            <w:bookmarkEnd w:id="52"/>
            <w:bookmarkEnd w:id="53"/>
            <w:r>
              <w:rPr>
                <w:rFonts w:hint="eastAsia" w:eastAsia="宋体"/>
                <w:color w:val="auto"/>
                <w:highlight w:val="none"/>
              </w:rPr>
              <w:t>噪声预测模式</w:t>
            </w:r>
          </w:p>
          <w:p w14:paraId="7131ED68">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根据《环境影响评价技术导则 声环境》（HJ2.4-20</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）的技术要求，本次评价采取导则推荐模式。</w:t>
            </w:r>
          </w:p>
          <w:p w14:paraId="5E8D1BA2">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室内声源计算公式</w:t>
            </w:r>
          </w:p>
          <w:p w14:paraId="648920B9">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①计算出某个室内靠近围护结构处的倍频带声压级：</w:t>
            </w:r>
          </w:p>
          <w:p w14:paraId="34AC93A1">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position w:val="-28"/>
                <w:sz w:val="24"/>
                <w:highlight w:val="none"/>
              </w:rPr>
              <w:object>
                <v:shape id="_x0000_i1025" o:spt="75" type="#_x0000_t75" style="height:34pt;width:132.95pt;" o:ole="t" filled="f" o:preferrelative="t" stroked="f" coordsize="21600,21600">
                  <v:path/>
                  <v:fill on="f" focussize="0,0"/>
                  <v:stroke on="f"/>
                  <v:imagedata r:id="rId25" o:title=""/>
                  <o:lock v:ext="edit" aspectratio="t"/>
                  <w10:wrap type="none"/>
                  <w10:anchorlock/>
                </v:shape>
                <o:OLEObject Type="Embed" ProgID="Equation.3" ShapeID="_x0000_i1025" DrawAspect="Content" ObjectID="_1468075725" r:id="rId24">
                  <o:LockedField>false</o:LockedField>
                </o:OLEObject>
              </w:object>
            </w:r>
          </w:p>
          <w:p w14:paraId="4E7D894B">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lang w:val="en-US" w:eastAsia="zh-CN"/>
              </w:rPr>
              <w:t>p1</w:t>
            </w:r>
            <w:r>
              <w:rPr>
                <w:rFonts w:hint="default" w:ascii="Times New Roman" w:hAnsi="Times New Roman" w:eastAsia="宋体" w:cs="Times New Roman"/>
                <w:color w:val="auto"/>
                <w:sz w:val="24"/>
                <w:highlight w:val="none"/>
              </w:rPr>
              <w:t>——某个室内声源在靠近围护结构处产生的倍频带声压级；</w:t>
            </w:r>
          </w:p>
          <w:p w14:paraId="3E37F97F">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lang w:val="en-US" w:eastAsia="zh-CN"/>
              </w:rPr>
              <w:t>w</w:t>
            </w:r>
            <w:r>
              <w:rPr>
                <w:rFonts w:hint="default" w:ascii="Times New Roman" w:hAnsi="Times New Roman" w:eastAsia="宋体" w:cs="Times New Roman"/>
                <w:color w:val="auto"/>
                <w:sz w:val="24"/>
                <w:highlight w:val="none"/>
              </w:rPr>
              <w:t>——某个声源的倍频带声功率级；</w:t>
            </w:r>
          </w:p>
          <w:p w14:paraId="06320275">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——室内某个声源与靠近围护结构处的距离；</w:t>
            </w:r>
          </w:p>
          <w:p w14:paraId="7450648B">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房间常数</w:t>
            </w:r>
            <w:r>
              <w:rPr>
                <w:rFonts w:hint="default" w:ascii="Times New Roman" w:hAnsi="Times New Roman" w:eastAsia="宋体" w:cs="Times New Roman"/>
                <w:color w:val="auto"/>
                <w:sz w:val="24"/>
                <w:highlight w:val="none"/>
              </w:rPr>
              <w:t>；</w:t>
            </w:r>
          </w:p>
          <w:p w14:paraId="4D0F8D0B">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指向性因素</w:t>
            </w:r>
            <w:r>
              <w:rPr>
                <w:rFonts w:hint="default" w:ascii="Times New Roman" w:hAnsi="Times New Roman" w:eastAsia="宋体" w:cs="Times New Roman"/>
                <w:color w:val="auto"/>
                <w:sz w:val="24"/>
                <w:highlight w:val="none"/>
              </w:rPr>
              <w:t>。</w:t>
            </w:r>
          </w:p>
          <w:p w14:paraId="11301BBA">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②计算出所有室内声源在靠近围护结构处产生的总倍频带声压级：</w:t>
            </w:r>
          </w:p>
          <w:p w14:paraId="6A0BEB1D">
            <w:pPr>
              <w:bidi w:val="0"/>
              <w:ind w:left="0" w:leftChars="0" w:firstLine="0" w:firstLineChars="0"/>
              <w:jc w:val="center"/>
              <w:rPr>
                <w:rFonts w:hint="default" w:ascii="Times New Roman" w:hAnsi="Times New Roman" w:cs="Times New Roman"/>
                <w:color w:val="auto"/>
                <w:position w:val="-32"/>
                <w:sz w:val="24"/>
                <w:highlight w:val="none"/>
              </w:rPr>
            </w:pPr>
            <w:r>
              <w:rPr>
                <w:rFonts w:hint="default" w:ascii="Times New Roman" w:hAnsi="Times New Roman" w:cs="Times New Roman"/>
                <w:color w:val="auto"/>
                <w:position w:val="-32"/>
                <w:sz w:val="24"/>
                <w:highlight w:val="none"/>
              </w:rPr>
              <w:object>
                <v:shape id="_x0000_i1026" o:spt="75" type="#_x0000_t75" style="height:38pt;width:131pt;" o:ole="t" filled="f" o:preferrelative="t" stroked="f" coordsize="21600,21600">
                  <v:path/>
                  <v:fill on="f" focussize="0,0"/>
                  <v:stroke on="f"/>
                  <v:imagedata r:id="rId27" o:title=""/>
                  <o:lock v:ext="edit" aspectratio="t"/>
                  <w10:wrap type="none"/>
                  <w10:anchorlock/>
                </v:shape>
                <o:OLEObject Type="Embed" ProgID="Equation.3" ShapeID="_x0000_i1026" DrawAspect="Content" ObjectID="_1468075726" r:id="rId26">
                  <o:LockedField>false</o:LockedField>
                </o:OLEObject>
              </w:object>
            </w:r>
          </w:p>
          <w:p w14:paraId="589F0EF7">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w:t>
            </w:r>
            <w:r>
              <w:rPr>
                <w:rFonts w:hint="eastAsia" w:ascii="Times New Roman" w:hAnsi="Times New Roman" w:eastAsia="宋体" w:cs="Times New Roman"/>
                <w:color w:val="auto"/>
                <w:sz w:val="24"/>
                <w:highlight w:val="none"/>
                <w:lang w:val="en-US" w:eastAsia="zh-CN"/>
              </w:rPr>
              <w:t>L</w:t>
            </w:r>
            <w:r>
              <w:rPr>
                <w:rFonts w:hint="eastAsia" w:ascii="Times New Roman" w:hAnsi="Times New Roman" w:eastAsia="宋体" w:cs="Times New Roman"/>
                <w:color w:val="auto"/>
                <w:sz w:val="24"/>
                <w:highlight w:val="none"/>
                <w:vertAlign w:val="subscript"/>
                <w:lang w:val="en-US" w:eastAsia="zh-CN"/>
              </w:rPr>
              <w:t>pli</w:t>
            </w:r>
            <w:r>
              <w:rPr>
                <w:rFonts w:hint="eastAsia"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val="en-US" w:eastAsia="zh-CN"/>
              </w:rPr>
              <w:t>——靠近维护结构处室内N个声源i倍频带的叠加声压级，dB；</w:t>
            </w:r>
          </w:p>
          <w:p w14:paraId="4BA76F6E">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L</w:t>
            </w:r>
            <w:r>
              <w:rPr>
                <w:rFonts w:hint="default" w:ascii="Times New Roman" w:hAnsi="Times New Roman" w:eastAsia="宋体" w:cs="Times New Roman"/>
                <w:color w:val="auto"/>
                <w:sz w:val="24"/>
                <w:highlight w:val="none"/>
                <w:vertAlign w:val="subscript"/>
                <w:lang w:val="en-US" w:eastAsia="zh-CN"/>
              </w:rPr>
              <w:t>p</w:t>
            </w:r>
            <w:r>
              <w:rPr>
                <w:rFonts w:hint="eastAsia"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vertAlign w:val="subscript"/>
                <w:lang w:val="en-US" w:eastAsia="zh-CN"/>
              </w:rPr>
              <w:t>ij</w:t>
            </w:r>
            <w:r>
              <w:rPr>
                <w:rFonts w:hint="default" w:ascii="Times New Roman" w:hAnsi="Times New Roman" w:eastAsia="宋体" w:cs="Times New Roman"/>
                <w:color w:val="auto"/>
                <w:sz w:val="24"/>
                <w:highlight w:val="none"/>
                <w:lang w:val="en-US" w:eastAsia="zh-CN"/>
              </w:rPr>
              <w:t>——室内j声源i倍频带的声压级，dB；</w:t>
            </w:r>
          </w:p>
          <w:p w14:paraId="00B12DDB">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N——室内声源总数。</w:t>
            </w:r>
          </w:p>
          <w:p w14:paraId="4FB4FAAE">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室外声源传播衰减公式</w:t>
            </w:r>
          </w:p>
          <w:p w14:paraId="5450A3BE">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计算某个声源在预测点的倍频带声压级：</w:t>
            </w:r>
          </w:p>
          <w:p w14:paraId="19443A0C">
            <w:pPr>
              <w:keepNext w:val="0"/>
              <w:bidi w:val="0"/>
              <w:adjustRightInd/>
              <w:snapToGrid/>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38pt;width:153pt;" o:ole="t" filled="f" o:preferrelative="t" stroked="f" coordsize="21600,21600">
                  <v:path/>
                  <v:fill on="f" focussize="0,0"/>
                  <v:stroke on="f"/>
                  <v:imagedata r:id="rId29" o:title=""/>
                  <o:lock v:ext="edit" aspectratio="t"/>
                  <w10:wrap type="none"/>
                  <w10:anchorlock/>
                </v:shape>
                <o:OLEObject Type="Embed" ProgID="Equation.3" ShapeID="_x0000_i1027" DrawAspect="Content" ObjectID="_1468075727" r:id="rId28">
                  <o:LockedField>false</o:LockedField>
                </o:OLEObject>
              </w:object>
            </w:r>
          </w:p>
          <w:p w14:paraId="2AA73A48">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——点声源在预测点产生的倍频带声压级；</w:t>
            </w:r>
          </w:p>
          <w:p w14:paraId="4672778B">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val="en-US" w:eastAsia="zh-CN"/>
              </w:rPr>
              <w:t>（r0）</w:t>
            </w:r>
            <w:r>
              <w:rPr>
                <w:rFonts w:hint="default" w:ascii="Times New Roman" w:hAnsi="Times New Roman" w:eastAsia="宋体" w:cs="Times New Roman"/>
                <w:color w:val="auto"/>
                <w:sz w:val="24"/>
                <w:highlight w:val="none"/>
              </w:rPr>
              <w:t>——参考位置r0处的倍频带声压级；</w:t>
            </w:r>
          </w:p>
          <w:p w14:paraId="7AD6ED10">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——预测点距声源的距离，m；</w:t>
            </w:r>
          </w:p>
          <w:p w14:paraId="3D0C498B">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参考位置距声源的距离，m</w:t>
            </w:r>
            <w:r>
              <w:rPr>
                <w:rFonts w:hint="default" w:ascii="Times New Roman" w:hAnsi="Times New Roman" w:eastAsia="宋体" w:cs="Times New Roman"/>
                <w:color w:val="auto"/>
                <w:sz w:val="24"/>
                <w:highlight w:val="none"/>
              </w:rPr>
              <w:t>；</w:t>
            </w:r>
          </w:p>
          <w:p w14:paraId="1FE5B956">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ΔL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各种因素引起的衰减量</w:t>
            </w:r>
            <w:r>
              <w:rPr>
                <w:rFonts w:hint="default" w:ascii="Times New Roman" w:hAnsi="Times New Roman" w:eastAsia="宋体" w:cs="Times New Roman"/>
                <w:color w:val="auto"/>
                <w:sz w:val="24"/>
                <w:highlight w:val="none"/>
              </w:rPr>
              <w:t>。</w:t>
            </w:r>
          </w:p>
          <w:p w14:paraId="4D768C67">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声源叠加贡献值公式</w:t>
            </w:r>
          </w:p>
          <w:p w14:paraId="4C30208C">
            <w:pPr>
              <w:keepNext w:val="0"/>
              <w:bidi w:val="0"/>
              <w:adjustRightInd/>
              <w:snapToGrid/>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8" o:spt="75" type="#_x0000_t75" style="height:38pt;width:132pt;" o:ole="t" filled="f" o:preferrelative="t" stroked="f" coordsize="21600,21600">
                  <v:path/>
                  <v:fill on="f" focussize="0,0"/>
                  <v:stroke on="f"/>
                  <v:imagedata r:id="rId31" o:title=""/>
                  <o:lock v:ext="edit" aspectratio="t"/>
                  <w10:wrap type="none"/>
                  <w10:anchorlock/>
                </v:shape>
                <o:OLEObject Type="Embed" ProgID="Equation.3" ShapeID="_x0000_i1028" DrawAspect="Content" ObjectID="_1468075728" r:id="rId30">
                  <o:LockedField>false</o:LockedField>
                </o:OLEObject>
              </w:object>
            </w:r>
          </w:p>
          <w:p w14:paraId="1C41DA54">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式中：Leq</w:t>
            </w:r>
            <w:r>
              <w:rPr>
                <w:rFonts w:hint="default" w:ascii="Times New Roman" w:hAnsi="Times New Roman" w:eastAsia="宋体" w:cs="Times New Roman"/>
                <w:color w:val="auto"/>
                <w:sz w:val="24"/>
                <w:highlight w:val="none"/>
                <w:lang w:val="en-US" w:eastAsia="zh-CN"/>
              </w:rPr>
              <w:t>g</w:t>
            </w:r>
            <w:r>
              <w:rPr>
                <w:rFonts w:hint="default" w:ascii="Times New Roman" w:hAnsi="Times New Roman" w:eastAsia="宋体" w:cs="Times New Roman"/>
                <w:color w:val="auto"/>
                <w:sz w:val="24"/>
                <w:highlight w:val="none"/>
                <w:lang w:eastAsia="zh-CN"/>
              </w:rPr>
              <w:t>——建设项目声源在预测点的等声级贡献值，dB（A）；</w:t>
            </w:r>
          </w:p>
          <w:p w14:paraId="7CCC5EF7">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L</w:t>
            </w:r>
            <w:r>
              <w:rPr>
                <w:rFonts w:hint="default" w:ascii="Times New Roman" w:hAnsi="Times New Roman" w:eastAsia="宋体" w:cs="Times New Roman"/>
                <w:color w:val="auto"/>
                <w:sz w:val="24"/>
                <w:highlight w:val="none"/>
                <w:lang w:val="en-US" w:eastAsia="zh-CN"/>
              </w:rPr>
              <w:t>Ai</w:t>
            </w:r>
            <w:r>
              <w:rPr>
                <w:rFonts w:hint="default" w:ascii="Times New Roman" w:hAnsi="Times New Roman" w:eastAsia="宋体" w:cs="Times New Roman"/>
                <w:color w:val="auto"/>
                <w:sz w:val="24"/>
                <w:highlight w:val="none"/>
                <w:lang w:eastAsia="zh-CN"/>
              </w:rPr>
              <w:t>——i声源在预测点产生的A声级，dB（A）；</w:t>
            </w:r>
          </w:p>
          <w:p w14:paraId="53314DAA">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——预测计算的时间段，</w:t>
            </w:r>
            <w:r>
              <w:rPr>
                <w:rFonts w:hint="default" w:ascii="Times New Roman" w:hAnsi="Times New Roman" w:eastAsia="宋体" w:cs="Times New Roman"/>
                <w:color w:val="auto"/>
                <w:sz w:val="24"/>
                <w:highlight w:val="none"/>
                <w:lang w:val="en-US" w:eastAsia="zh-CN"/>
              </w:rPr>
              <w:t>s；</w:t>
            </w:r>
          </w:p>
          <w:p w14:paraId="0AAEF8F5">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ti——i声源在T时段内的运行时间，s</w:t>
            </w:r>
            <w:r>
              <w:rPr>
                <w:rFonts w:hint="default" w:ascii="Times New Roman" w:hAnsi="Times New Roman" w:eastAsia="宋体" w:cs="Times New Roman"/>
                <w:color w:val="auto"/>
                <w:sz w:val="24"/>
                <w:highlight w:val="none"/>
                <w:lang w:eastAsia="zh-CN"/>
              </w:rPr>
              <w:t>。</w:t>
            </w:r>
          </w:p>
          <w:p w14:paraId="43FB6FFC">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预测值公式</w:t>
            </w:r>
          </w:p>
          <w:p w14:paraId="0076B126">
            <w:pPr>
              <w:keepNext w:val="0"/>
              <w:bidi w:val="0"/>
              <w:adjustRightInd/>
              <w:snapToGrid/>
              <w:spacing w:line="360" w:lineRule="auto"/>
              <w:ind w:firstLine="480" w:firstLineChars="20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object>
                <v:shape id="_x0000_i1029" o:spt="75" type="#_x0000_t75" style="height:21pt;width:135pt;" o:ole="t" filled="f" o:preferrelative="t" stroked="f" coordsize="21600,21600">
                  <v:path/>
                  <v:fill on="f" focussize="0,0"/>
                  <v:stroke on="f"/>
                  <v:imagedata r:id="rId33" o:title=""/>
                  <o:lock v:ext="edit" aspectratio="t"/>
                  <w10:wrap type="none"/>
                  <w10:anchorlock/>
                </v:shape>
                <o:OLEObject Type="Embed" ProgID="Equation.3" ShapeID="_x0000_i1029" DrawAspect="Content" ObjectID="_1468075729" r:id="rId32">
                  <o:LockedField>false</o:LockedField>
                </o:OLEObject>
              </w:object>
            </w:r>
          </w:p>
          <w:p w14:paraId="7D6861F3">
            <w:pPr>
              <w:keepNext w:val="0"/>
              <w:bidi w:val="0"/>
              <w:adjustRightInd/>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式中：Leq——</w:t>
            </w:r>
            <w:r>
              <w:rPr>
                <w:rFonts w:hint="default" w:ascii="Times New Roman" w:hAnsi="Times New Roman" w:eastAsia="宋体" w:cs="Times New Roman"/>
                <w:color w:val="auto"/>
                <w:sz w:val="24"/>
                <w:highlight w:val="none"/>
                <w:lang w:val="en-US" w:eastAsia="zh-CN"/>
              </w:rPr>
              <w:t>预测点的总声压级</w:t>
            </w:r>
            <w:r>
              <w:rPr>
                <w:rFonts w:hint="default" w:ascii="Times New Roman" w:hAnsi="Times New Roman" w:eastAsia="宋体" w:cs="Times New Roman"/>
                <w:color w:val="auto"/>
                <w:sz w:val="24"/>
                <w:highlight w:val="none"/>
                <w:lang w:eastAsia="zh-CN"/>
              </w:rPr>
              <w:t>，dB（A）；</w:t>
            </w:r>
          </w:p>
          <w:p w14:paraId="4D11471E">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L</w:t>
            </w:r>
            <w:r>
              <w:rPr>
                <w:rFonts w:hint="default" w:ascii="Times New Roman" w:hAnsi="Times New Roman" w:eastAsia="宋体" w:cs="Times New Roman"/>
                <w:color w:val="auto"/>
                <w:sz w:val="24"/>
                <w:highlight w:val="none"/>
                <w:lang w:val="en-US" w:eastAsia="zh-CN"/>
              </w:rPr>
              <w:t>eqg</w:t>
            </w:r>
            <w:r>
              <w:rPr>
                <w:rFonts w:hint="default" w:ascii="Times New Roman" w:hAnsi="Times New Roman" w:eastAsia="宋体" w:cs="Times New Roman"/>
                <w:color w:val="auto"/>
                <w:sz w:val="24"/>
                <w:highlight w:val="none"/>
                <w:lang w:eastAsia="zh-CN"/>
              </w:rPr>
              <w:t>——建设项目声源在预测点的等效声级贡献值，dB（A）；</w:t>
            </w:r>
          </w:p>
          <w:p w14:paraId="1B7FDA5C">
            <w:pPr>
              <w:keepNext w:val="0"/>
              <w:bidi w:val="0"/>
              <w:adjustRightInd/>
              <w:snapToGrid/>
              <w:spacing w:line="360" w:lineRule="auto"/>
              <w:ind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L</w:t>
            </w:r>
            <w:r>
              <w:rPr>
                <w:rFonts w:hint="default" w:ascii="Times New Roman" w:hAnsi="Times New Roman" w:eastAsia="宋体" w:cs="Times New Roman"/>
                <w:color w:val="auto"/>
                <w:sz w:val="24"/>
                <w:highlight w:val="none"/>
                <w:lang w:val="en-US" w:eastAsia="zh-CN"/>
              </w:rPr>
              <w:t>eqb</w:t>
            </w:r>
            <w:r>
              <w:rPr>
                <w:rFonts w:hint="default" w:ascii="Times New Roman" w:hAnsi="Times New Roman" w:eastAsia="宋体" w:cs="Times New Roman"/>
                <w:color w:val="auto"/>
                <w:sz w:val="24"/>
                <w:highlight w:val="none"/>
                <w:lang w:eastAsia="zh-CN"/>
              </w:rPr>
              <w:t>——预测点的背景值，dB（A）。</w:t>
            </w:r>
          </w:p>
          <w:p w14:paraId="3EC29681">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噪声预测及影响评价</w:t>
            </w:r>
          </w:p>
          <w:p w14:paraId="30274054">
            <w:pPr>
              <w:pStyle w:val="46"/>
              <w:ind w:firstLine="480"/>
              <w:rPr>
                <w:color w:val="auto"/>
                <w:highlight w:val="none"/>
              </w:rPr>
            </w:pPr>
            <w:r>
              <w:rPr>
                <w:color w:val="auto"/>
                <w:highlight w:val="none"/>
              </w:rPr>
              <w:t>本项目</w:t>
            </w:r>
            <w:r>
              <w:rPr>
                <w:rFonts w:hint="eastAsia"/>
                <w:color w:val="auto"/>
                <w:highlight w:val="none"/>
                <w:lang w:val="en-US" w:eastAsia="zh-CN"/>
              </w:rPr>
              <w:t>噪声预测结果</w:t>
            </w:r>
            <w:r>
              <w:rPr>
                <w:color w:val="auto"/>
                <w:highlight w:val="none"/>
              </w:rPr>
              <w:t>详见表</w:t>
            </w:r>
            <w:r>
              <w:rPr>
                <w:rFonts w:hint="eastAsia"/>
                <w:color w:val="auto"/>
                <w:highlight w:val="none"/>
                <w:lang w:val="en-US" w:eastAsia="zh-CN"/>
              </w:rPr>
              <w:t>4.4-2</w:t>
            </w:r>
            <w:r>
              <w:rPr>
                <w:color w:val="auto"/>
                <w:highlight w:val="none"/>
              </w:rPr>
              <w:t>。</w:t>
            </w:r>
          </w:p>
          <w:p w14:paraId="143276A8">
            <w:pPr>
              <w:pStyle w:val="44"/>
              <w:tabs>
                <w:tab w:val="left" w:pos="0"/>
                <w:tab w:val="clear" w:pos="420"/>
              </w:tabs>
              <w:bidi w:val="0"/>
              <w:ind w:left="210" w:leftChars="0" w:firstLineChars="0"/>
              <w:rPr>
                <w:color w:val="auto"/>
                <w:highlight w:val="none"/>
                <w:lang w:eastAsia="zh-CN"/>
              </w:rPr>
            </w:pPr>
            <w:bookmarkStart w:id="54" w:name="_Ref31583"/>
            <w:r>
              <w:rPr>
                <w:color w:val="auto"/>
                <w:highlight w:val="none"/>
                <w:lang w:eastAsia="zh-CN"/>
              </w:rPr>
              <w:t>厂界噪声预测结果与达标分析表</w:t>
            </w:r>
            <w:bookmarkEnd w:id="54"/>
          </w:p>
          <w:tbl>
            <w:tblPr>
              <w:tblStyle w:val="3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2314"/>
              <w:gridCol w:w="1307"/>
              <w:gridCol w:w="1387"/>
              <w:gridCol w:w="1802"/>
            </w:tblGrid>
            <w:tr w14:paraId="6F4A5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7" w:type="pct"/>
                  <w:tcBorders>
                    <w:bottom w:val="single" w:color="auto" w:sz="12" w:space="0"/>
                  </w:tcBorders>
                  <w:shd w:val="clear" w:color="auto" w:fill="auto"/>
                  <w:vAlign w:val="center"/>
                </w:tcPr>
                <w:p w14:paraId="5A9111F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b/>
                      <w:bCs/>
                      <w:color w:val="auto"/>
                      <w:spacing w:val="5"/>
                      <w:sz w:val="21"/>
                      <w:highlight w:val="none"/>
                    </w:rPr>
                    <w:t>预测点</w:t>
                  </w:r>
                </w:p>
              </w:tc>
              <w:tc>
                <w:tcPr>
                  <w:tcW w:w="1323" w:type="pct"/>
                  <w:tcBorders>
                    <w:bottom w:val="single" w:color="auto" w:sz="12" w:space="0"/>
                  </w:tcBorders>
                  <w:shd w:val="clear" w:color="auto" w:fill="auto"/>
                  <w:vAlign w:val="center"/>
                </w:tcPr>
                <w:p w14:paraId="445932D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b/>
                      <w:bCs/>
                      <w:color w:val="auto"/>
                      <w:spacing w:val="4"/>
                      <w:sz w:val="21"/>
                      <w:highlight w:val="none"/>
                    </w:rPr>
                    <w:t>贡献值</w:t>
                  </w:r>
                </w:p>
              </w:tc>
              <w:tc>
                <w:tcPr>
                  <w:tcW w:w="747" w:type="pct"/>
                  <w:tcBorders>
                    <w:bottom w:val="single" w:color="auto" w:sz="12" w:space="0"/>
                  </w:tcBorders>
                  <w:shd w:val="clear" w:color="auto" w:fill="auto"/>
                  <w:vAlign w:val="center"/>
                </w:tcPr>
                <w:p w14:paraId="2FE6E7E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b/>
                      <w:bCs/>
                      <w:color w:val="auto"/>
                      <w:spacing w:val="6"/>
                      <w:sz w:val="21"/>
                      <w:highlight w:val="none"/>
                      <w:lang w:val="en-US" w:eastAsia="zh-CN"/>
                    </w:rPr>
                  </w:pPr>
                  <w:r>
                    <w:rPr>
                      <w:rFonts w:hint="eastAsia" w:ascii="Times New Roman" w:hAnsi="Times New Roman" w:eastAsia="宋体"/>
                      <w:b/>
                      <w:bCs/>
                      <w:color w:val="auto"/>
                      <w:spacing w:val="6"/>
                      <w:sz w:val="21"/>
                      <w:highlight w:val="none"/>
                      <w:lang w:val="en-US" w:eastAsia="zh-CN"/>
                    </w:rPr>
                    <w:t>标准值</w:t>
                  </w:r>
                </w:p>
              </w:tc>
              <w:tc>
                <w:tcPr>
                  <w:tcW w:w="793" w:type="pct"/>
                  <w:tcBorders>
                    <w:bottom w:val="single" w:color="auto" w:sz="12" w:space="0"/>
                  </w:tcBorders>
                  <w:shd w:val="clear" w:color="auto" w:fill="auto"/>
                  <w:vAlign w:val="center"/>
                </w:tcPr>
                <w:p w14:paraId="734FA72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b/>
                      <w:bCs/>
                      <w:color w:val="auto"/>
                      <w:spacing w:val="6"/>
                      <w:sz w:val="21"/>
                      <w:highlight w:val="none"/>
                      <w:lang w:val="en-US" w:eastAsia="zh-CN"/>
                    </w:rPr>
                  </w:pPr>
                  <w:r>
                    <w:rPr>
                      <w:rFonts w:hint="eastAsia" w:ascii="Times New Roman" w:hAnsi="Times New Roman" w:eastAsia="宋体"/>
                      <w:b/>
                      <w:bCs/>
                      <w:color w:val="auto"/>
                      <w:spacing w:val="6"/>
                      <w:sz w:val="21"/>
                      <w:highlight w:val="none"/>
                      <w:lang w:val="en-US" w:eastAsia="zh-CN"/>
                    </w:rPr>
                    <w:t>时段</w:t>
                  </w:r>
                </w:p>
              </w:tc>
              <w:tc>
                <w:tcPr>
                  <w:tcW w:w="1029" w:type="pct"/>
                  <w:tcBorders>
                    <w:bottom w:val="single" w:color="auto" w:sz="12" w:space="0"/>
                  </w:tcBorders>
                  <w:shd w:val="clear" w:color="auto" w:fill="auto"/>
                  <w:vAlign w:val="center"/>
                </w:tcPr>
                <w:p w14:paraId="44EB585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b/>
                      <w:bCs/>
                      <w:color w:val="auto"/>
                      <w:spacing w:val="6"/>
                      <w:sz w:val="21"/>
                      <w:highlight w:val="none"/>
                      <w:lang w:val="en-US" w:eastAsia="zh-CN"/>
                    </w:rPr>
                  </w:pPr>
                  <w:r>
                    <w:rPr>
                      <w:rFonts w:hint="eastAsia" w:ascii="Times New Roman" w:hAnsi="Times New Roman" w:eastAsia="宋体"/>
                      <w:b/>
                      <w:bCs/>
                      <w:color w:val="auto"/>
                      <w:spacing w:val="6"/>
                      <w:sz w:val="21"/>
                      <w:highlight w:val="none"/>
                      <w:lang w:val="en-US" w:eastAsia="zh-CN"/>
                    </w:rPr>
                    <w:t>达标情况</w:t>
                  </w:r>
                </w:p>
              </w:tc>
            </w:tr>
            <w:tr w14:paraId="6BCBA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7" w:type="pct"/>
                  <w:tcBorders>
                    <w:top w:val="single" w:color="auto" w:sz="12" w:space="0"/>
                    <w:tl2br w:val="nil"/>
                    <w:tr2bl w:val="nil"/>
                  </w:tcBorders>
                  <w:shd w:val="clear" w:color="auto" w:fill="auto"/>
                  <w:vAlign w:val="center"/>
                </w:tcPr>
                <w:p w14:paraId="703BBD5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4"/>
                      <w:sz w:val="21"/>
                      <w:highlight w:val="none"/>
                    </w:rPr>
                    <w:t>东厂界</w:t>
                  </w:r>
                </w:p>
              </w:tc>
              <w:tc>
                <w:tcPr>
                  <w:tcW w:w="1323" w:type="pct"/>
                  <w:tcBorders>
                    <w:top w:val="single" w:color="auto" w:sz="12" w:space="0"/>
                    <w:tl2br w:val="nil"/>
                    <w:tr2bl w:val="nil"/>
                  </w:tcBorders>
                  <w:shd w:val="clear" w:color="auto" w:fill="auto"/>
                  <w:vAlign w:val="center"/>
                </w:tcPr>
                <w:p w14:paraId="623F448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4"/>
                      <w:position w:val="2"/>
                      <w:sz w:val="21"/>
                      <w:szCs w:val="20"/>
                      <w:highlight w:val="none"/>
                      <w:lang w:val="en-US" w:eastAsia="zh-CN"/>
                    </w:rPr>
                    <w:t>5</w:t>
                  </w:r>
                  <w:r>
                    <w:rPr>
                      <w:rFonts w:ascii="Times New Roman" w:hAnsi="Times New Roman" w:eastAsia="宋体" w:cs="Times New Roman"/>
                      <w:color w:val="auto"/>
                      <w:spacing w:val="4"/>
                      <w:position w:val="2"/>
                      <w:sz w:val="21"/>
                      <w:szCs w:val="20"/>
                      <w:highlight w:val="none"/>
                    </w:rPr>
                    <w:t>3.30</w:t>
                  </w:r>
                </w:p>
              </w:tc>
              <w:tc>
                <w:tcPr>
                  <w:tcW w:w="747" w:type="pct"/>
                  <w:vMerge w:val="restart"/>
                  <w:tcBorders>
                    <w:top w:val="single" w:color="auto" w:sz="12" w:space="0"/>
                    <w:tl2br w:val="nil"/>
                    <w:tr2bl w:val="nil"/>
                  </w:tcBorders>
                  <w:shd w:val="clear" w:color="auto" w:fill="auto"/>
                  <w:vAlign w:val="center"/>
                </w:tcPr>
                <w:p w14:paraId="01ED0E4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position w:val="2"/>
                      <w:sz w:val="21"/>
                      <w:szCs w:val="20"/>
                      <w:highlight w:val="none"/>
                    </w:rPr>
                  </w:pPr>
                  <w:r>
                    <w:rPr>
                      <w:rFonts w:ascii="Times New Roman" w:hAnsi="Times New Roman" w:eastAsia="宋体" w:cs="Times New Roman"/>
                      <w:color w:val="auto"/>
                      <w:position w:val="2"/>
                      <w:sz w:val="21"/>
                      <w:szCs w:val="20"/>
                      <w:highlight w:val="none"/>
                    </w:rPr>
                    <w:t>65</w:t>
                  </w:r>
                </w:p>
              </w:tc>
              <w:tc>
                <w:tcPr>
                  <w:tcW w:w="793" w:type="pct"/>
                  <w:vMerge w:val="restart"/>
                  <w:tcBorders>
                    <w:top w:val="single" w:color="auto" w:sz="12" w:space="0"/>
                    <w:tl2br w:val="nil"/>
                    <w:tr2bl w:val="nil"/>
                  </w:tcBorders>
                  <w:shd w:val="clear" w:color="auto" w:fill="auto"/>
                  <w:vAlign w:val="center"/>
                </w:tcPr>
                <w:p w14:paraId="5FD9EBA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auto"/>
                      <w:position w:val="2"/>
                      <w:sz w:val="21"/>
                      <w:szCs w:val="20"/>
                      <w:highlight w:val="none"/>
                      <w:lang w:val="en-US" w:eastAsia="zh-CN"/>
                    </w:rPr>
                  </w:pPr>
                  <w:r>
                    <w:rPr>
                      <w:rFonts w:hint="eastAsia" w:ascii="Times New Roman" w:hAnsi="Times New Roman" w:eastAsia="宋体" w:cs="Times New Roman"/>
                      <w:color w:val="auto"/>
                      <w:position w:val="2"/>
                      <w:sz w:val="21"/>
                      <w:szCs w:val="20"/>
                      <w:highlight w:val="none"/>
                      <w:lang w:val="en-US" w:eastAsia="zh-CN"/>
                    </w:rPr>
                    <w:t>昼间</w:t>
                  </w:r>
                </w:p>
              </w:tc>
              <w:tc>
                <w:tcPr>
                  <w:tcW w:w="1029" w:type="pct"/>
                  <w:vMerge w:val="restart"/>
                  <w:tcBorders>
                    <w:top w:val="single" w:color="auto" w:sz="12" w:space="0"/>
                    <w:tl2br w:val="nil"/>
                    <w:tr2bl w:val="nil"/>
                  </w:tcBorders>
                  <w:shd w:val="clear" w:color="auto" w:fill="auto"/>
                  <w:vAlign w:val="center"/>
                </w:tcPr>
                <w:p w14:paraId="7FDE784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ascii="Times New Roman" w:hAnsi="Times New Roman" w:eastAsia="宋体" w:cs="Times New Roman"/>
                      <w:color w:val="auto"/>
                      <w:position w:val="2"/>
                      <w:sz w:val="21"/>
                      <w:szCs w:val="20"/>
                      <w:highlight w:val="none"/>
                      <w:lang w:val="en-US" w:eastAsia="zh-CN"/>
                    </w:rPr>
                    <w:t>达标</w:t>
                  </w:r>
                </w:p>
              </w:tc>
            </w:tr>
            <w:tr w14:paraId="21875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7" w:type="pct"/>
                  <w:tcBorders>
                    <w:tl2br w:val="nil"/>
                    <w:tr2bl w:val="nil"/>
                  </w:tcBorders>
                  <w:shd w:val="clear" w:color="auto" w:fill="auto"/>
                  <w:vAlign w:val="center"/>
                </w:tcPr>
                <w:p w14:paraId="11770EB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5"/>
                      <w:sz w:val="21"/>
                      <w:highlight w:val="none"/>
                    </w:rPr>
                    <w:t>西厂界</w:t>
                  </w:r>
                </w:p>
              </w:tc>
              <w:tc>
                <w:tcPr>
                  <w:tcW w:w="1323" w:type="pct"/>
                  <w:tcBorders>
                    <w:tl2br w:val="nil"/>
                    <w:tr2bl w:val="nil"/>
                  </w:tcBorders>
                  <w:shd w:val="clear" w:color="auto" w:fill="auto"/>
                  <w:vAlign w:val="center"/>
                </w:tcPr>
                <w:p w14:paraId="78B6602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4"/>
                      <w:position w:val="2"/>
                      <w:sz w:val="21"/>
                      <w:szCs w:val="20"/>
                      <w:highlight w:val="none"/>
                      <w:lang w:val="en-US" w:eastAsia="zh-CN"/>
                    </w:rPr>
                    <w:t>5</w:t>
                  </w:r>
                  <w:r>
                    <w:rPr>
                      <w:rFonts w:ascii="Times New Roman" w:hAnsi="Times New Roman" w:eastAsia="宋体" w:cs="Times New Roman"/>
                      <w:color w:val="auto"/>
                      <w:spacing w:val="4"/>
                      <w:position w:val="2"/>
                      <w:sz w:val="21"/>
                      <w:szCs w:val="20"/>
                      <w:highlight w:val="none"/>
                    </w:rPr>
                    <w:t>8.93</w:t>
                  </w:r>
                </w:p>
              </w:tc>
              <w:tc>
                <w:tcPr>
                  <w:tcW w:w="747" w:type="pct"/>
                  <w:vMerge w:val="continue"/>
                  <w:tcBorders>
                    <w:tl2br w:val="nil"/>
                    <w:tr2bl w:val="nil"/>
                  </w:tcBorders>
                  <w:shd w:val="clear" w:color="auto" w:fill="auto"/>
                  <w:vAlign w:val="center"/>
                </w:tcPr>
                <w:p w14:paraId="603A9C06">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793" w:type="pct"/>
                  <w:vMerge w:val="continue"/>
                  <w:tcBorders>
                    <w:tl2br w:val="nil"/>
                    <w:tr2bl w:val="nil"/>
                  </w:tcBorders>
                  <w:shd w:val="clear" w:color="auto" w:fill="auto"/>
                  <w:vAlign w:val="center"/>
                </w:tcPr>
                <w:p w14:paraId="34FCF22B">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029" w:type="pct"/>
                  <w:vMerge w:val="continue"/>
                  <w:tcBorders>
                    <w:tl2br w:val="nil"/>
                    <w:tr2bl w:val="nil"/>
                  </w:tcBorders>
                  <w:shd w:val="clear" w:color="auto" w:fill="auto"/>
                  <w:vAlign w:val="center"/>
                </w:tcPr>
                <w:p w14:paraId="6D21A88B">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r>
            <w:tr w14:paraId="05739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7" w:type="pct"/>
                  <w:tcBorders>
                    <w:tl2br w:val="nil"/>
                    <w:tr2bl w:val="nil"/>
                  </w:tcBorders>
                  <w:shd w:val="clear" w:color="auto" w:fill="auto"/>
                  <w:vAlign w:val="center"/>
                </w:tcPr>
                <w:p w14:paraId="6501C72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6"/>
                      <w:sz w:val="21"/>
                      <w:highlight w:val="none"/>
                    </w:rPr>
                    <w:t>南厂界</w:t>
                  </w:r>
                </w:p>
              </w:tc>
              <w:tc>
                <w:tcPr>
                  <w:tcW w:w="1323" w:type="pct"/>
                  <w:tcBorders>
                    <w:tl2br w:val="nil"/>
                    <w:tr2bl w:val="nil"/>
                  </w:tcBorders>
                  <w:shd w:val="clear" w:color="auto" w:fill="auto"/>
                  <w:vAlign w:val="center"/>
                </w:tcPr>
                <w:p w14:paraId="1E83845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3"/>
                      <w:position w:val="2"/>
                      <w:sz w:val="21"/>
                      <w:szCs w:val="20"/>
                      <w:highlight w:val="none"/>
                      <w:lang w:val="en-US" w:eastAsia="zh-CN"/>
                    </w:rPr>
                    <w:t>5</w:t>
                  </w:r>
                  <w:r>
                    <w:rPr>
                      <w:rFonts w:ascii="Times New Roman" w:hAnsi="Times New Roman" w:eastAsia="宋体" w:cs="Times New Roman"/>
                      <w:color w:val="auto"/>
                      <w:spacing w:val="3"/>
                      <w:position w:val="2"/>
                      <w:sz w:val="21"/>
                      <w:szCs w:val="20"/>
                      <w:highlight w:val="none"/>
                    </w:rPr>
                    <w:t>2.44</w:t>
                  </w:r>
                </w:p>
              </w:tc>
              <w:tc>
                <w:tcPr>
                  <w:tcW w:w="747" w:type="pct"/>
                  <w:vMerge w:val="continue"/>
                  <w:tcBorders>
                    <w:tl2br w:val="nil"/>
                    <w:tr2bl w:val="nil"/>
                  </w:tcBorders>
                  <w:shd w:val="clear" w:color="auto" w:fill="auto"/>
                  <w:vAlign w:val="center"/>
                </w:tcPr>
                <w:p w14:paraId="59C10289">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793" w:type="pct"/>
                  <w:vMerge w:val="continue"/>
                  <w:tcBorders>
                    <w:tl2br w:val="nil"/>
                    <w:tr2bl w:val="nil"/>
                  </w:tcBorders>
                  <w:shd w:val="clear" w:color="auto" w:fill="auto"/>
                  <w:vAlign w:val="center"/>
                </w:tcPr>
                <w:p w14:paraId="3B458563">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029" w:type="pct"/>
                  <w:vMerge w:val="continue"/>
                  <w:tcBorders>
                    <w:tl2br w:val="nil"/>
                    <w:tr2bl w:val="nil"/>
                  </w:tcBorders>
                  <w:shd w:val="clear" w:color="auto" w:fill="auto"/>
                  <w:vAlign w:val="center"/>
                </w:tcPr>
                <w:p w14:paraId="6C659D8D">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r>
            <w:tr w14:paraId="561FC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07" w:type="pct"/>
                  <w:tcBorders>
                    <w:tl2br w:val="nil"/>
                    <w:tr2bl w:val="nil"/>
                  </w:tcBorders>
                  <w:shd w:val="clear" w:color="auto" w:fill="auto"/>
                  <w:vAlign w:val="center"/>
                </w:tcPr>
                <w:p w14:paraId="1DE6ACE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5"/>
                      <w:sz w:val="21"/>
                      <w:highlight w:val="none"/>
                    </w:rPr>
                    <w:t>北厂界</w:t>
                  </w:r>
                </w:p>
              </w:tc>
              <w:tc>
                <w:tcPr>
                  <w:tcW w:w="1323" w:type="pct"/>
                  <w:tcBorders>
                    <w:tl2br w:val="nil"/>
                    <w:tr2bl w:val="nil"/>
                  </w:tcBorders>
                  <w:shd w:val="clear" w:color="auto" w:fill="auto"/>
                  <w:vAlign w:val="center"/>
                </w:tcPr>
                <w:p w14:paraId="56A84C5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spacing w:val="3"/>
                      <w:position w:val="2"/>
                      <w:sz w:val="21"/>
                      <w:szCs w:val="20"/>
                      <w:highlight w:val="none"/>
                      <w:lang w:val="en-US" w:eastAsia="zh-CN"/>
                    </w:rPr>
                    <w:t>5</w:t>
                  </w:r>
                  <w:r>
                    <w:rPr>
                      <w:rFonts w:ascii="Times New Roman" w:hAnsi="Times New Roman" w:eastAsia="宋体" w:cs="Times New Roman"/>
                      <w:color w:val="auto"/>
                      <w:spacing w:val="3"/>
                      <w:position w:val="2"/>
                      <w:sz w:val="21"/>
                      <w:szCs w:val="20"/>
                      <w:highlight w:val="none"/>
                    </w:rPr>
                    <w:t>4.76</w:t>
                  </w:r>
                </w:p>
              </w:tc>
              <w:tc>
                <w:tcPr>
                  <w:tcW w:w="747" w:type="pct"/>
                  <w:vMerge w:val="continue"/>
                  <w:tcBorders>
                    <w:tl2br w:val="nil"/>
                    <w:tr2bl w:val="nil"/>
                  </w:tcBorders>
                  <w:shd w:val="clear" w:color="auto" w:fill="auto"/>
                  <w:vAlign w:val="center"/>
                </w:tcPr>
                <w:p w14:paraId="27DBC5CF">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793" w:type="pct"/>
                  <w:vMerge w:val="continue"/>
                  <w:tcBorders>
                    <w:tl2br w:val="nil"/>
                    <w:tr2bl w:val="nil"/>
                  </w:tcBorders>
                  <w:shd w:val="clear" w:color="auto" w:fill="auto"/>
                  <w:vAlign w:val="center"/>
                </w:tcPr>
                <w:p w14:paraId="592F9013">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c>
                <w:tcPr>
                  <w:tcW w:w="1029" w:type="pct"/>
                  <w:vMerge w:val="continue"/>
                  <w:tcBorders>
                    <w:tl2br w:val="nil"/>
                    <w:tr2bl w:val="nil"/>
                  </w:tcBorders>
                  <w:shd w:val="clear" w:color="auto" w:fill="auto"/>
                  <w:vAlign w:val="center"/>
                </w:tcPr>
                <w:p w14:paraId="6FBD1119">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ascii="Times New Roman" w:hAnsi="Times New Roman" w:eastAsia="宋体" w:cs="Times New Roman"/>
                      <w:color w:val="auto"/>
                      <w:kern w:val="2"/>
                      <w:sz w:val="21"/>
                      <w:szCs w:val="20"/>
                      <w:highlight w:val="none"/>
                      <w:lang w:val="en-US" w:eastAsia="zh-CN" w:bidi="ar-SA"/>
                    </w:rPr>
                  </w:pPr>
                </w:p>
              </w:tc>
            </w:tr>
            <w:tr w14:paraId="34C8C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5"/>
                  <w:tcBorders>
                    <w:tl2br w:val="nil"/>
                    <w:tr2bl w:val="nil"/>
                  </w:tcBorders>
                  <w:shd w:val="clear" w:color="auto" w:fill="auto"/>
                  <w:vAlign w:val="center"/>
                </w:tcPr>
                <w:p w14:paraId="34B86380">
                  <w:pPr>
                    <w:keepNext w:val="0"/>
                    <w:keepLines w:val="0"/>
                    <w:pageBreakBefore w:val="0"/>
                    <w:widowControl w:val="0"/>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kern w:val="2"/>
                      <w:sz w:val="21"/>
                      <w:szCs w:val="20"/>
                      <w:highlight w:val="none"/>
                      <w:lang w:val="en-US" w:eastAsia="zh-CN" w:bidi="ar-SA"/>
                    </w:rPr>
                    <w:t>注：本项目实行单班工作制度，夜间不安排生产活动。</w:t>
                  </w:r>
                </w:p>
              </w:tc>
            </w:tr>
          </w:tbl>
          <w:p w14:paraId="2A277398">
            <w:pPr>
              <w:pStyle w:val="103"/>
              <w:widowControl/>
              <w:autoSpaceDE w:val="0"/>
              <w:autoSpaceDN w:val="0"/>
              <w:spacing w:before="120" w:beforeLines="50" w:line="360" w:lineRule="auto"/>
              <w:ind w:firstLine="482"/>
              <w:jc w:val="both"/>
              <w:rPr>
                <w:rFonts w:hint="eastAsia" w:eastAsia="宋体" w:cs="宋体"/>
                <w:color w:val="auto"/>
                <w:highlight w:val="none"/>
                <w:lang w:eastAsia="zh-CN"/>
              </w:rPr>
            </w:pPr>
            <w:r>
              <w:rPr>
                <w:color w:val="auto"/>
                <w:spacing w:val="-1"/>
                <w:sz w:val="24"/>
                <w:szCs w:val="24"/>
                <w:highlight w:val="none"/>
              </w:rPr>
              <w:t>由上表可见，本项目昼间四至厂界噪声贡献值可分别达到《工业企业厂界环境噪声排放标准》（</w:t>
            </w:r>
            <w:r>
              <w:rPr>
                <w:rFonts w:ascii="Times New Roman" w:hAnsi="Times New Roman" w:eastAsia="Times New Roman" w:cs="Times New Roman"/>
                <w:color w:val="auto"/>
                <w:spacing w:val="-1"/>
                <w:sz w:val="24"/>
                <w:szCs w:val="24"/>
                <w:highlight w:val="none"/>
              </w:rPr>
              <w:t>GB12348-2008</w:t>
            </w:r>
            <w:r>
              <w:rPr>
                <w:color w:val="auto"/>
                <w:spacing w:val="-1"/>
                <w:sz w:val="24"/>
                <w:szCs w:val="24"/>
                <w:highlight w:val="none"/>
              </w:rPr>
              <w:t>）中的</w:t>
            </w:r>
            <w:r>
              <w:rPr>
                <w:rFonts w:ascii="Times New Roman" w:hAnsi="Times New Roman" w:eastAsia="Times New Roman" w:cs="Times New Roman"/>
                <w:color w:val="auto"/>
                <w:spacing w:val="-1"/>
                <w:sz w:val="24"/>
                <w:szCs w:val="24"/>
                <w:highlight w:val="none"/>
              </w:rPr>
              <w:t>3</w:t>
            </w:r>
            <w:r>
              <w:rPr>
                <w:color w:val="auto"/>
                <w:spacing w:val="-1"/>
                <w:sz w:val="24"/>
                <w:szCs w:val="24"/>
                <w:highlight w:val="none"/>
              </w:rPr>
              <w:t>类标准</w:t>
            </w:r>
            <w:r>
              <w:rPr>
                <w:color w:val="auto"/>
                <w:spacing w:val="-2"/>
                <w:sz w:val="24"/>
                <w:szCs w:val="24"/>
                <w:highlight w:val="none"/>
              </w:rPr>
              <w:t>限值要求。因</w:t>
            </w:r>
            <w:r>
              <w:rPr>
                <w:color w:val="auto"/>
                <w:sz w:val="24"/>
                <w:szCs w:val="24"/>
                <w:highlight w:val="none"/>
              </w:rPr>
              <w:t>此，项目运营期间，在采取相应降噪措施后，</w:t>
            </w:r>
            <w:r>
              <w:rPr>
                <w:color w:val="auto"/>
                <w:spacing w:val="-1"/>
                <w:sz w:val="24"/>
                <w:szCs w:val="24"/>
                <w:highlight w:val="none"/>
              </w:rPr>
              <w:t>对区域声环境的影响较小。</w:t>
            </w:r>
          </w:p>
          <w:p w14:paraId="714EDC86">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噪声环境监测要求</w:t>
            </w:r>
          </w:p>
          <w:p w14:paraId="64C9B51F">
            <w:pPr>
              <w:pStyle w:val="46"/>
              <w:ind w:firstLine="480"/>
              <w:rPr>
                <w:rFonts w:hint="eastAsia" w:eastAsia="宋体"/>
                <w:color w:val="auto"/>
                <w:highlight w:val="none"/>
                <w:lang w:eastAsia="zh-CN"/>
              </w:rPr>
            </w:pPr>
            <w:r>
              <w:rPr>
                <w:rFonts w:hint="eastAsia"/>
                <w:color w:val="auto"/>
                <w:highlight w:val="none"/>
              </w:rPr>
              <w:t>项目噪声监测计划见下表</w:t>
            </w:r>
            <w:r>
              <w:rPr>
                <w:rFonts w:hint="eastAsia"/>
                <w:color w:val="auto"/>
                <w:highlight w:val="none"/>
                <w:lang w:eastAsia="zh-CN"/>
              </w:rPr>
              <w:t>。</w:t>
            </w:r>
          </w:p>
          <w:p w14:paraId="31B2B914">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after="0"/>
              <w:ind w:left="630" w:lef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噪声监测计划</w:t>
            </w:r>
          </w:p>
          <w:tbl>
            <w:tblPr>
              <w:tblStyle w:val="34"/>
              <w:tblW w:w="4997"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1157"/>
              <w:gridCol w:w="1328"/>
              <w:gridCol w:w="4194"/>
              <w:gridCol w:w="2067"/>
            </w:tblGrid>
            <w:tr w14:paraId="192402FD">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57" w:hRule="atLeast"/>
              </w:trPr>
              <w:tc>
                <w:tcPr>
                  <w:tcW w:w="661" w:type="pct"/>
                  <w:tcBorders>
                    <w:tl2br w:val="nil"/>
                    <w:tr2bl w:val="nil"/>
                  </w:tcBorders>
                  <w:vAlign w:val="center"/>
                </w:tcPr>
                <w:p w14:paraId="7CC59C59">
                  <w:pPr>
                    <w:pStyle w:val="48"/>
                    <w:tabs>
                      <w:tab w:val="left" w:pos="0"/>
                    </w:tabs>
                    <w:rPr>
                      <w:color w:val="auto"/>
                      <w:highlight w:val="none"/>
                    </w:rPr>
                  </w:pPr>
                  <w:r>
                    <w:rPr>
                      <w:color w:val="auto"/>
                      <w:highlight w:val="none"/>
                    </w:rPr>
                    <w:t>监测点位</w:t>
                  </w:r>
                </w:p>
              </w:tc>
              <w:tc>
                <w:tcPr>
                  <w:tcW w:w="759" w:type="pct"/>
                  <w:tcBorders>
                    <w:tl2br w:val="nil"/>
                    <w:tr2bl w:val="nil"/>
                  </w:tcBorders>
                  <w:vAlign w:val="center"/>
                </w:tcPr>
                <w:p w14:paraId="4A1997CC">
                  <w:pPr>
                    <w:pStyle w:val="48"/>
                    <w:tabs>
                      <w:tab w:val="left" w:pos="0"/>
                    </w:tabs>
                    <w:rPr>
                      <w:color w:val="auto"/>
                      <w:highlight w:val="none"/>
                    </w:rPr>
                  </w:pPr>
                  <w:r>
                    <w:rPr>
                      <w:color w:val="auto"/>
                      <w:highlight w:val="none"/>
                    </w:rPr>
                    <w:t>监测项目</w:t>
                  </w:r>
                </w:p>
              </w:tc>
              <w:tc>
                <w:tcPr>
                  <w:tcW w:w="2397" w:type="pct"/>
                  <w:tcBorders>
                    <w:tl2br w:val="nil"/>
                    <w:tr2bl w:val="nil"/>
                  </w:tcBorders>
                  <w:vAlign w:val="center"/>
                </w:tcPr>
                <w:p w14:paraId="11542C05">
                  <w:pPr>
                    <w:pStyle w:val="48"/>
                    <w:tabs>
                      <w:tab w:val="left" w:pos="0"/>
                    </w:tabs>
                    <w:rPr>
                      <w:color w:val="auto"/>
                      <w:highlight w:val="none"/>
                    </w:rPr>
                  </w:pPr>
                  <w:r>
                    <w:rPr>
                      <w:color w:val="auto"/>
                      <w:highlight w:val="none"/>
                    </w:rPr>
                    <w:t>执行标准</w:t>
                  </w:r>
                </w:p>
              </w:tc>
              <w:tc>
                <w:tcPr>
                  <w:tcW w:w="1181" w:type="pct"/>
                  <w:tcBorders>
                    <w:tl2br w:val="nil"/>
                    <w:tr2bl w:val="nil"/>
                  </w:tcBorders>
                  <w:vAlign w:val="center"/>
                </w:tcPr>
                <w:p w14:paraId="2FCE5BD4">
                  <w:pPr>
                    <w:pStyle w:val="48"/>
                    <w:tabs>
                      <w:tab w:val="left" w:pos="0"/>
                    </w:tabs>
                    <w:rPr>
                      <w:color w:val="auto"/>
                      <w:highlight w:val="none"/>
                    </w:rPr>
                  </w:pPr>
                  <w:r>
                    <w:rPr>
                      <w:color w:val="auto"/>
                      <w:highlight w:val="none"/>
                    </w:rPr>
                    <w:t>监测频率</w:t>
                  </w:r>
                </w:p>
              </w:tc>
            </w:tr>
            <w:tr w14:paraId="02030380">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666" w:hRule="atLeast"/>
              </w:trPr>
              <w:tc>
                <w:tcPr>
                  <w:tcW w:w="661" w:type="pct"/>
                  <w:tcBorders>
                    <w:tl2br w:val="nil"/>
                    <w:tr2bl w:val="nil"/>
                  </w:tcBorders>
                  <w:vAlign w:val="center"/>
                </w:tcPr>
                <w:p w14:paraId="3B26B724">
                  <w:pPr>
                    <w:pStyle w:val="48"/>
                    <w:tabs>
                      <w:tab w:val="left" w:pos="0"/>
                    </w:tabs>
                    <w:ind w:left="0" w:leftChars="0" w:firstLine="0" w:firstLineChars="0"/>
                    <w:rPr>
                      <w:rFonts w:hint="eastAsia"/>
                      <w:color w:val="auto"/>
                      <w:highlight w:val="none"/>
                      <w:lang w:val="en-US" w:eastAsia="zh-CN"/>
                    </w:rPr>
                  </w:pPr>
                  <w:r>
                    <w:rPr>
                      <w:color w:val="auto"/>
                      <w:highlight w:val="none"/>
                    </w:rPr>
                    <w:t>厂界</w:t>
                  </w:r>
                </w:p>
              </w:tc>
              <w:tc>
                <w:tcPr>
                  <w:tcW w:w="759" w:type="pct"/>
                  <w:tcBorders>
                    <w:tl2br w:val="nil"/>
                    <w:tr2bl w:val="nil"/>
                  </w:tcBorders>
                  <w:vAlign w:val="center"/>
                </w:tcPr>
                <w:p w14:paraId="2B108F01">
                  <w:pPr>
                    <w:pStyle w:val="48"/>
                    <w:tabs>
                      <w:tab w:val="left" w:pos="0"/>
                    </w:tabs>
                    <w:ind w:left="0" w:leftChars="0" w:firstLine="0" w:firstLineChars="0"/>
                    <w:rPr>
                      <w:color w:val="auto"/>
                      <w:highlight w:val="none"/>
                    </w:rPr>
                  </w:pPr>
                  <w:r>
                    <w:rPr>
                      <w:color w:val="auto"/>
                      <w:highlight w:val="none"/>
                    </w:rPr>
                    <w:t>Leq(A)</w:t>
                  </w:r>
                </w:p>
              </w:tc>
              <w:tc>
                <w:tcPr>
                  <w:tcW w:w="2397" w:type="pct"/>
                  <w:tcBorders>
                    <w:tl2br w:val="nil"/>
                    <w:tr2bl w:val="nil"/>
                  </w:tcBorders>
                  <w:vAlign w:val="center"/>
                </w:tcPr>
                <w:p w14:paraId="28858D1D">
                  <w:pPr>
                    <w:pStyle w:val="48"/>
                    <w:tabs>
                      <w:tab w:val="left" w:pos="0"/>
                    </w:tabs>
                    <w:ind w:left="0" w:leftChars="0" w:firstLine="0" w:firstLineChars="0"/>
                    <w:rPr>
                      <w:color w:val="auto"/>
                      <w:highlight w:val="none"/>
                    </w:rPr>
                  </w:pPr>
                  <w:r>
                    <w:rPr>
                      <w:color w:val="auto"/>
                      <w:highlight w:val="none"/>
                    </w:rPr>
                    <w:t>《工业企业厂界环境噪声排放标准》</w:t>
                  </w:r>
                  <w:r>
                    <w:rPr>
                      <w:rFonts w:hint="eastAsia"/>
                      <w:color w:val="auto"/>
                      <w:highlight w:val="none"/>
                      <w:lang w:eastAsia="zh-CN"/>
                    </w:rPr>
                    <w:t>（</w:t>
                  </w:r>
                  <w:r>
                    <w:rPr>
                      <w:color w:val="auto"/>
                      <w:highlight w:val="none"/>
                    </w:rPr>
                    <w:t>GB12348-2008</w:t>
                  </w:r>
                  <w:r>
                    <w:rPr>
                      <w:rFonts w:hint="eastAsia"/>
                      <w:color w:val="auto"/>
                      <w:highlight w:val="none"/>
                      <w:lang w:eastAsia="zh-CN"/>
                    </w:rPr>
                    <w:t>）</w:t>
                  </w:r>
                  <w:r>
                    <w:rPr>
                      <w:color w:val="auto"/>
                      <w:highlight w:val="none"/>
                    </w:rPr>
                    <w:t>的</w:t>
                  </w:r>
                  <w:r>
                    <w:rPr>
                      <w:rFonts w:hint="eastAsia"/>
                      <w:color w:val="auto"/>
                      <w:highlight w:val="none"/>
                      <w:lang w:val="en-US" w:eastAsia="zh-CN"/>
                    </w:rPr>
                    <w:t>3</w:t>
                  </w:r>
                  <w:r>
                    <w:rPr>
                      <w:color w:val="auto"/>
                      <w:highlight w:val="none"/>
                    </w:rPr>
                    <w:t>类</w:t>
                  </w:r>
                </w:p>
              </w:tc>
              <w:tc>
                <w:tcPr>
                  <w:tcW w:w="1181" w:type="pct"/>
                  <w:tcBorders>
                    <w:tl2br w:val="nil"/>
                    <w:tr2bl w:val="nil"/>
                  </w:tcBorders>
                  <w:vAlign w:val="center"/>
                </w:tcPr>
                <w:p w14:paraId="5C5FE9A5">
                  <w:pPr>
                    <w:pStyle w:val="48"/>
                    <w:tabs>
                      <w:tab w:val="left" w:pos="0"/>
                    </w:tabs>
                    <w:ind w:left="0" w:leftChars="0" w:firstLine="0" w:firstLineChars="0"/>
                    <w:rPr>
                      <w:color w:val="auto"/>
                      <w:highlight w:val="none"/>
                    </w:rPr>
                  </w:pPr>
                  <w:r>
                    <w:rPr>
                      <w:color w:val="auto"/>
                      <w:highlight w:val="none"/>
                    </w:rPr>
                    <w:t>1次/季</w:t>
                  </w:r>
                </w:p>
              </w:tc>
            </w:tr>
          </w:tbl>
          <w:p w14:paraId="077C9C4C">
            <w:pPr>
              <w:pStyle w:val="3"/>
              <w:numPr>
                <w:ilvl w:val="1"/>
                <w:numId w:val="1"/>
              </w:numPr>
              <w:bidi w:val="0"/>
              <w:ind w:left="0" w:leftChars="0" w:firstLine="0" w:firstLineChars="0"/>
              <w:rPr>
                <w:rFonts w:hint="eastAsia" w:eastAsia="宋体"/>
                <w:color w:val="auto"/>
                <w:highlight w:val="none"/>
                <w:lang w:val="en-US" w:eastAsia="zh-CN"/>
              </w:rPr>
            </w:pPr>
            <w:r>
              <w:rPr>
                <w:rFonts w:hint="eastAsia" w:eastAsia="宋体"/>
                <w:color w:val="auto"/>
                <w:highlight w:val="none"/>
                <w:lang w:val="en-US" w:eastAsia="zh-CN"/>
              </w:rPr>
              <w:t>固体废物</w:t>
            </w:r>
          </w:p>
          <w:p w14:paraId="554FAE1F">
            <w:pPr>
              <w:pStyle w:val="4"/>
              <w:numPr>
                <w:ilvl w:val="2"/>
                <w:numId w:val="1"/>
              </w:numPr>
              <w:bidi w:val="0"/>
              <w:ind w:left="720" w:leftChars="0" w:hanging="720" w:firstLineChars="0"/>
              <w:rPr>
                <w:rFonts w:hint="eastAsia" w:eastAsia="宋体"/>
                <w:color w:val="auto"/>
                <w:highlight w:val="none"/>
              </w:rPr>
            </w:pPr>
            <w:r>
              <w:rPr>
                <w:rFonts w:hint="eastAsia" w:eastAsia="宋体"/>
                <w:color w:val="auto"/>
                <w:highlight w:val="none"/>
              </w:rPr>
              <w:t>固废污染源分析</w:t>
            </w:r>
          </w:p>
          <w:p w14:paraId="41822A9D">
            <w:pPr>
              <w:pStyle w:val="46"/>
              <w:ind w:firstLine="480"/>
              <w:rPr>
                <w:rFonts w:hint="eastAsia" w:ascii="Times New Roman" w:hAnsi="Times New Roman" w:eastAsia="宋体" w:cs="宋体"/>
                <w:color w:val="auto"/>
                <w:highlight w:val="none"/>
                <w:lang w:val="en-US" w:eastAsia="zh-CN"/>
              </w:rPr>
            </w:pPr>
            <w:r>
              <w:rPr>
                <w:rFonts w:hint="eastAsia" w:cs="宋体"/>
                <w:color w:val="auto"/>
                <w:highlight w:val="none"/>
                <w:lang w:val="en-US" w:eastAsia="zh-CN"/>
              </w:rPr>
              <w:t>1.</w:t>
            </w:r>
            <w:r>
              <w:rPr>
                <w:rFonts w:hint="eastAsia" w:ascii="Times New Roman" w:hAnsi="Times New Roman" w:eastAsia="宋体" w:cs="宋体"/>
                <w:color w:val="auto"/>
                <w:highlight w:val="none"/>
                <w:lang w:val="en-US" w:eastAsia="zh-CN"/>
              </w:rPr>
              <w:t>生活垃圾</w:t>
            </w:r>
          </w:p>
          <w:p w14:paraId="23A8C2CB">
            <w:pPr>
              <w:pStyle w:val="46"/>
              <w:ind w:firstLine="48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本项目职工定员为</w:t>
            </w:r>
            <w:r>
              <w:rPr>
                <w:rFonts w:hint="eastAsia" w:cs="宋体"/>
                <w:color w:val="auto"/>
                <w:highlight w:val="none"/>
                <w:lang w:val="en-US" w:eastAsia="zh-CN"/>
              </w:rPr>
              <w:t>30</w:t>
            </w:r>
            <w:r>
              <w:rPr>
                <w:rFonts w:hint="eastAsia" w:ascii="Times New Roman" w:hAnsi="Times New Roman" w:eastAsia="宋体" w:cs="宋体"/>
                <w:color w:val="auto"/>
                <w:highlight w:val="none"/>
                <w:lang w:val="en-US" w:eastAsia="zh-CN"/>
              </w:rPr>
              <w:t>人</w:t>
            </w:r>
            <w:r>
              <w:rPr>
                <w:rFonts w:hint="default" w:ascii="Times New Roman" w:hAnsi="Times New Roman" w:eastAsia="宋体" w:cs="宋体"/>
                <w:color w:val="auto"/>
                <w:highlight w:val="none"/>
                <w:lang w:val="en-US" w:eastAsia="zh-CN"/>
              </w:rPr>
              <w:t>，</w:t>
            </w:r>
            <w:r>
              <w:rPr>
                <w:rFonts w:hint="eastAsia" w:ascii="Times New Roman" w:hAnsi="Times New Roman" w:eastAsia="宋体" w:cs="宋体"/>
                <w:color w:val="auto"/>
                <w:highlight w:val="none"/>
                <w:lang w:val="en-US" w:eastAsia="zh-CN"/>
              </w:rPr>
              <w:t>均不住厂，</w:t>
            </w:r>
            <w:r>
              <w:rPr>
                <w:rFonts w:hint="default" w:ascii="Times New Roman" w:hAnsi="Times New Roman" w:eastAsia="宋体" w:cs="宋体"/>
                <w:color w:val="auto"/>
                <w:highlight w:val="none"/>
                <w:lang w:val="en-US" w:eastAsia="zh-CN"/>
              </w:rPr>
              <w:t>年工作日为</w:t>
            </w:r>
            <w:r>
              <w:rPr>
                <w:rFonts w:hint="eastAsia" w:cs="宋体"/>
                <w:color w:val="auto"/>
                <w:highlight w:val="none"/>
                <w:lang w:val="en-US" w:eastAsia="zh-CN"/>
              </w:rPr>
              <w:t>300</w:t>
            </w:r>
            <w:r>
              <w:rPr>
                <w:rFonts w:hint="default" w:ascii="Times New Roman" w:hAnsi="Times New Roman" w:eastAsia="宋体" w:cs="宋体"/>
                <w:color w:val="auto"/>
                <w:highlight w:val="none"/>
                <w:lang w:val="en-US" w:eastAsia="zh-CN"/>
              </w:rPr>
              <w:t>天。不住厂职工生活垃圾系数取0.</w:t>
            </w:r>
            <w:r>
              <w:rPr>
                <w:rFonts w:hint="eastAsia" w:ascii="Times New Roman" w:hAnsi="Times New Roman" w:eastAsia="宋体" w:cs="宋体"/>
                <w:color w:val="auto"/>
                <w:highlight w:val="none"/>
                <w:lang w:val="en-US" w:eastAsia="zh-CN"/>
              </w:rPr>
              <w:t>6</w:t>
            </w:r>
            <w:r>
              <w:rPr>
                <w:rFonts w:hint="default" w:ascii="Times New Roman" w:hAnsi="Times New Roman" w:eastAsia="宋体" w:cs="宋体"/>
                <w:color w:val="auto"/>
                <w:highlight w:val="none"/>
                <w:lang w:val="en-US" w:eastAsia="zh-CN"/>
              </w:rPr>
              <w:t>kg/人</w:t>
            </w:r>
            <w:r>
              <w:rPr>
                <w:rFonts w:hint="eastAsia" w:ascii="Times New Roman" w:hAnsi="Times New Roman" w:eastAsia="宋体" w:cs="宋体"/>
                <w:color w:val="auto"/>
                <w:highlight w:val="none"/>
                <w:lang w:val="en-US" w:eastAsia="zh-CN"/>
              </w:rPr>
              <w:t>·</w:t>
            </w:r>
            <w:r>
              <w:rPr>
                <w:rFonts w:hint="default" w:ascii="Times New Roman" w:hAnsi="Times New Roman" w:eastAsia="宋体" w:cs="宋体"/>
                <w:color w:val="auto"/>
                <w:highlight w:val="none"/>
                <w:lang w:val="en-US" w:eastAsia="zh-CN"/>
              </w:rPr>
              <w:t>日，则项目职工生活垃圾产生量为</w:t>
            </w:r>
            <w:r>
              <w:rPr>
                <w:rFonts w:hint="eastAsia" w:cs="宋体"/>
                <w:color w:val="auto"/>
                <w:highlight w:val="none"/>
                <w:lang w:val="en-US" w:eastAsia="zh-CN"/>
              </w:rPr>
              <w:t>18</w:t>
            </w:r>
            <w:r>
              <w:rPr>
                <w:rFonts w:hint="default" w:ascii="Times New Roman" w:hAnsi="Times New Roman" w:eastAsia="宋体" w:cs="宋体"/>
                <w:color w:val="auto"/>
                <w:highlight w:val="none"/>
                <w:lang w:val="en-US" w:eastAsia="zh-CN"/>
              </w:rPr>
              <w:t>kg/d，年产生量为</w:t>
            </w:r>
            <w:r>
              <w:rPr>
                <w:rFonts w:hint="eastAsia" w:cs="宋体"/>
                <w:color w:val="auto"/>
                <w:highlight w:val="none"/>
                <w:lang w:val="en-US" w:eastAsia="zh-CN"/>
              </w:rPr>
              <w:t>5.4</w:t>
            </w:r>
            <w:r>
              <w:rPr>
                <w:rFonts w:hint="default" w:ascii="Times New Roman" w:hAnsi="Times New Roman" w:eastAsia="宋体" w:cs="宋体"/>
                <w:color w:val="auto"/>
                <w:highlight w:val="none"/>
                <w:lang w:val="en-US" w:eastAsia="zh-CN"/>
              </w:rPr>
              <w:t>t。项目生活垃圾由环卫部门定期统一清运处理</w:t>
            </w:r>
            <w:r>
              <w:rPr>
                <w:rFonts w:hint="eastAsia" w:ascii="Times New Roman" w:hAnsi="Times New Roman" w:eastAsia="宋体" w:cs="宋体"/>
                <w:color w:val="auto"/>
                <w:highlight w:val="none"/>
                <w:lang w:val="en-US" w:eastAsia="zh-CN"/>
              </w:rPr>
              <w:t>。</w:t>
            </w:r>
          </w:p>
          <w:p w14:paraId="57B68D8E">
            <w:pPr>
              <w:pStyle w:val="118"/>
              <w:spacing w:line="360" w:lineRule="auto"/>
              <w:jc w:val="both"/>
              <w:rPr>
                <w:rFonts w:hint="eastAsia"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2.</w:t>
            </w:r>
            <w:r>
              <w:rPr>
                <w:rFonts w:hint="eastAsia" w:ascii="Times New Roman" w:hAnsi="Times New Roman" w:eastAsia="宋体" w:cs="Times New Roman"/>
                <w:bCs/>
                <w:color w:val="auto"/>
                <w:highlight w:val="none"/>
                <w:lang w:val="en-US" w:eastAsia="zh-CN"/>
              </w:rPr>
              <w:t>一般工业固体废物</w:t>
            </w:r>
          </w:p>
          <w:p w14:paraId="021CAB2A">
            <w:pPr>
              <w:pStyle w:val="118"/>
              <w:spacing w:line="360" w:lineRule="auto"/>
              <w:jc w:val="both"/>
              <w:rPr>
                <w:rFonts w:hint="eastAsia" w:cs="Times New Roman"/>
                <w:color w:val="auto"/>
                <w:highlight w:val="none"/>
                <w:lang w:val="en-US" w:eastAsia="zh-CN"/>
              </w:rPr>
            </w:pPr>
            <w:r>
              <w:rPr>
                <w:rFonts w:hint="eastAsia" w:cs="Times New Roman"/>
                <w:color w:val="auto"/>
                <w:highlight w:val="none"/>
                <w:lang w:val="en-US" w:eastAsia="zh-CN"/>
              </w:rPr>
              <w:t>①废一般包装材料</w:t>
            </w:r>
          </w:p>
          <w:p w14:paraId="77BADECA">
            <w:pPr>
              <w:pStyle w:val="118"/>
              <w:spacing w:line="360" w:lineRule="auto"/>
              <w:jc w:val="both"/>
              <w:rPr>
                <w:rFonts w:hint="eastAsia" w:cs="Times New Roman"/>
                <w:color w:val="auto"/>
                <w:highlight w:val="none"/>
                <w:lang w:val="en-US" w:eastAsia="zh-CN"/>
              </w:rPr>
            </w:pPr>
            <w:r>
              <w:rPr>
                <w:rFonts w:hint="eastAsia" w:cs="Times New Roman"/>
                <w:color w:val="auto"/>
                <w:highlight w:val="none"/>
                <w:lang w:val="en-US" w:eastAsia="zh-CN"/>
              </w:rPr>
              <w:t>项目原料、产品包装会产生少量的废包装材料，根据企业提供资料可知，废包装材料产生量约0.9t/a。废包装材料属于一般固废，</w:t>
            </w:r>
            <w:r>
              <w:rPr>
                <w:rFonts w:hint="eastAsia" w:ascii="Times New Roman" w:hAnsi="Times New Roman" w:eastAsia="宋体" w:cs="Times New Roman"/>
                <w:b w:val="0"/>
                <w:bCs w:val="0"/>
                <w:color w:val="auto"/>
                <w:spacing w:val="0"/>
                <w:position w:val="0"/>
                <w:sz w:val="24"/>
                <w:szCs w:val="24"/>
                <w:highlight w:val="none"/>
                <w:u w:val="none"/>
                <w:lang w:val="en-US" w:eastAsia="zh-CN"/>
              </w:rPr>
              <w:t>固体废物代码为</w:t>
            </w:r>
            <w:r>
              <w:rPr>
                <w:rFonts w:hint="default" w:ascii="Times New Roman" w:hAnsi="Times New Roman" w:eastAsia="宋体" w:cs="Times New Roman"/>
                <w:b w:val="0"/>
                <w:bCs w:val="0"/>
                <w:color w:val="auto"/>
                <w:spacing w:val="0"/>
                <w:position w:val="0"/>
                <w:sz w:val="24"/>
                <w:szCs w:val="24"/>
                <w:highlight w:val="none"/>
                <w:u w:val="none"/>
                <w:lang w:val="en-US" w:eastAsia="zh-CN"/>
              </w:rPr>
              <w:t>900-003-S17</w:t>
            </w:r>
            <w:r>
              <w:rPr>
                <w:rFonts w:hint="eastAsia" w:ascii="Times New Roman" w:hAnsi="Times New Roman" w:eastAsia="宋体" w:cs="Times New Roman"/>
                <w:b w:val="0"/>
                <w:bCs w:val="0"/>
                <w:color w:val="auto"/>
                <w:spacing w:val="0"/>
                <w:position w:val="0"/>
                <w:sz w:val="24"/>
                <w:szCs w:val="24"/>
                <w:highlight w:val="none"/>
                <w:u w:val="none"/>
                <w:lang w:val="en-US" w:eastAsia="zh-CN"/>
              </w:rPr>
              <w:t>、</w:t>
            </w:r>
            <w:r>
              <w:rPr>
                <w:rFonts w:hint="default" w:ascii="Times New Roman" w:hAnsi="Times New Roman" w:eastAsia="宋体" w:cs="Times New Roman"/>
                <w:b w:val="0"/>
                <w:bCs w:val="0"/>
                <w:color w:val="auto"/>
                <w:spacing w:val="0"/>
                <w:position w:val="0"/>
                <w:sz w:val="24"/>
                <w:szCs w:val="24"/>
                <w:highlight w:val="none"/>
                <w:u w:val="none"/>
                <w:lang w:val="en-US" w:eastAsia="zh-CN"/>
              </w:rPr>
              <w:t>900-005-S17</w:t>
            </w:r>
            <w:r>
              <w:rPr>
                <w:rFonts w:hint="eastAsia" w:ascii="Times New Roman" w:hAnsi="Times New Roman" w:eastAsia="宋体" w:cs="Times New Roman"/>
                <w:b w:val="0"/>
                <w:bCs w:val="0"/>
                <w:color w:val="auto"/>
                <w:spacing w:val="0"/>
                <w:position w:val="0"/>
                <w:sz w:val="24"/>
                <w:szCs w:val="24"/>
                <w:highlight w:val="none"/>
                <w:u w:val="none"/>
                <w:lang w:val="en-US" w:eastAsia="zh-CN"/>
              </w:rPr>
              <w:t>，收集后外售给资源回收单位利用</w:t>
            </w:r>
            <w:r>
              <w:rPr>
                <w:rFonts w:hint="eastAsia" w:cs="Times New Roman"/>
                <w:color w:val="auto"/>
                <w:highlight w:val="none"/>
                <w:lang w:val="en-US" w:eastAsia="zh-CN"/>
              </w:rPr>
              <w:t>。</w:t>
            </w:r>
          </w:p>
          <w:p w14:paraId="243B3964">
            <w:pPr>
              <w:pStyle w:val="118"/>
              <w:spacing w:line="360" w:lineRule="auto"/>
              <w:jc w:val="both"/>
              <w:rPr>
                <w:rFonts w:hint="eastAsia" w:cs="Times New Roman"/>
                <w:color w:val="auto"/>
                <w:highlight w:val="none"/>
                <w:lang w:val="en-US" w:eastAsia="zh-CN"/>
              </w:rPr>
            </w:pPr>
            <w:r>
              <w:rPr>
                <w:rFonts w:hint="eastAsia" w:cs="Times New Roman"/>
                <w:color w:val="auto"/>
                <w:highlight w:val="none"/>
                <w:lang w:val="en-US" w:eastAsia="zh-CN"/>
              </w:rPr>
              <w:t>②废金属料</w:t>
            </w:r>
          </w:p>
          <w:p w14:paraId="00DFE8B7">
            <w:pPr>
              <w:pStyle w:val="118"/>
              <w:spacing w:line="360" w:lineRule="auto"/>
              <w:jc w:val="both"/>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项目装配过程中会产生少量的废金属料，根据企业提供资料可知，废金属料产生量</w:t>
            </w:r>
            <w:r>
              <w:rPr>
                <w:rFonts w:hint="eastAsia" w:ascii="Times New Roman" w:hAnsi="Times New Roman" w:eastAsia="宋体" w:cs="Times New Roman"/>
                <w:color w:val="auto"/>
                <w:highlight w:val="none"/>
                <w:lang w:val="en-US" w:eastAsia="zh-CN"/>
              </w:rPr>
              <w:t>约10t/a。废金属料属于一般固废，固体废物代码为900-003-62，委托合法合规单位回收利用或处置。</w:t>
            </w:r>
          </w:p>
          <w:p w14:paraId="18CD55DD">
            <w:pPr>
              <w:pStyle w:val="118"/>
              <w:spacing w:line="360" w:lineRule="auto"/>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③焊渣</w:t>
            </w:r>
          </w:p>
          <w:p w14:paraId="26860080">
            <w:pPr>
              <w:pStyle w:val="118"/>
              <w:spacing w:line="360" w:lineRule="auto"/>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的资料以及类比同类型企业，项目焊接工序中会产生焊渣，焊渣的产生量约为原料使用量的10%～20%。本评价考虑最不利条件以20%算，本项目焊材年用量20t，则焊渣的产生量约4t/a，固体废物代码为900-002-08，收集后委托合法合规单位回收利用或处置。</w:t>
            </w:r>
          </w:p>
          <w:p w14:paraId="41636D1C">
            <w:pPr>
              <w:pStyle w:val="115"/>
              <w:spacing w:before="73" w:line="218" w:lineRule="auto"/>
              <w:ind w:left="586"/>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④废金属灰</w:t>
            </w:r>
          </w:p>
          <w:p w14:paraId="751191EE">
            <w:pPr>
              <w:pStyle w:val="115"/>
              <w:spacing w:before="184" w:line="359" w:lineRule="auto"/>
              <w:ind w:left="116" w:right="159" w:firstLine="473"/>
              <w:rPr>
                <w:rFonts w:hint="eastAsia"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布袋除尘器在处理焊接烟尘的过程中会收集到被处理的废金属灰，收集量约为0.35t/a，固体废物代码为900-004-62，定期收集后委托合法合规单位回收利用或处置。</w:t>
            </w:r>
          </w:p>
          <w:p w14:paraId="7B36AB9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Cs/>
                <w:color w:val="auto"/>
                <w:kern w:val="0"/>
                <w:sz w:val="24"/>
                <w:szCs w:val="24"/>
                <w:highlight w:val="none"/>
                <w:lang w:val="en-US" w:eastAsia="en-US" w:bidi="ar-SA"/>
              </w:rPr>
            </w:pPr>
            <w:r>
              <w:rPr>
                <w:rFonts w:hint="eastAsia" w:ascii="Times New Roman" w:hAnsi="Times New Roman" w:eastAsia="宋体" w:cs="Times New Roman"/>
                <w:bCs/>
                <w:color w:val="auto"/>
                <w:kern w:val="0"/>
                <w:sz w:val="24"/>
                <w:szCs w:val="24"/>
                <w:highlight w:val="none"/>
                <w:lang w:val="en-US" w:eastAsia="zh-CN" w:bidi="ar-SA"/>
              </w:rPr>
              <w:t>⑤纯水制备</w:t>
            </w:r>
            <w:r>
              <w:rPr>
                <w:rFonts w:hint="eastAsia" w:ascii="Times New Roman" w:hAnsi="Times New Roman" w:eastAsia="宋体" w:cs="Times New Roman"/>
                <w:bCs/>
                <w:color w:val="auto"/>
                <w:kern w:val="0"/>
                <w:sz w:val="24"/>
                <w:szCs w:val="24"/>
                <w:highlight w:val="none"/>
                <w:lang w:val="en-US" w:eastAsia="en-US" w:bidi="ar-SA"/>
              </w:rPr>
              <w:t>废</w:t>
            </w:r>
            <w:r>
              <w:rPr>
                <w:rFonts w:hint="default" w:ascii="Times New Roman" w:hAnsi="Times New Roman" w:eastAsia="宋体" w:cs="Times New Roman"/>
                <w:bCs/>
                <w:color w:val="auto"/>
                <w:kern w:val="0"/>
                <w:sz w:val="24"/>
                <w:szCs w:val="24"/>
                <w:highlight w:val="none"/>
                <w:lang w:val="en-US" w:eastAsia="zh-CN" w:bidi="ar-SA"/>
              </w:rPr>
              <w:t>RO</w:t>
            </w:r>
            <w:r>
              <w:rPr>
                <w:rFonts w:hint="eastAsia" w:ascii="Times New Roman" w:hAnsi="Times New Roman" w:eastAsia="宋体" w:cs="Times New Roman"/>
                <w:bCs/>
                <w:color w:val="auto"/>
                <w:kern w:val="0"/>
                <w:sz w:val="24"/>
                <w:szCs w:val="24"/>
                <w:highlight w:val="none"/>
                <w:lang w:val="en-US" w:eastAsia="zh-CN" w:bidi="ar-SA"/>
              </w:rPr>
              <w:t>膜</w:t>
            </w:r>
            <w:r>
              <w:rPr>
                <w:rFonts w:hint="eastAsia" w:ascii="Times New Roman" w:hAnsi="Times New Roman" w:eastAsia="宋体" w:cs="Times New Roman"/>
                <w:bCs/>
                <w:color w:val="auto"/>
                <w:kern w:val="0"/>
                <w:sz w:val="24"/>
                <w:szCs w:val="24"/>
                <w:highlight w:val="none"/>
                <w:lang w:val="en-US" w:eastAsia="en-US" w:bidi="ar-SA"/>
              </w:rPr>
              <w:t>、废过滤材料</w:t>
            </w:r>
          </w:p>
          <w:p w14:paraId="776790F0">
            <w:pPr>
              <w:spacing w:line="360" w:lineRule="auto"/>
              <w:ind w:firstLine="480" w:firstLineChars="200"/>
              <w:rPr>
                <w:rFonts w:hint="eastAsia" w:ascii="Times New Roman" w:hAnsi="Times New Roman" w:eastAsia="宋体" w:cs="Times New Roman"/>
                <w:bCs/>
                <w:color w:val="auto"/>
                <w:kern w:val="0"/>
                <w:sz w:val="24"/>
                <w:szCs w:val="24"/>
                <w:highlight w:val="none"/>
                <w:lang w:val="en-US" w:eastAsia="en-US" w:bidi="ar-SA"/>
              </w:rPr>
            </w:pPr>
            <w:r>
              <w:rPr>
                <w:rFonts w:hint="eastAsia" w:ascii="Times New Roman" w:hAnsi="Times New Roman" w:eastAsia="宋体" w:cs="Times New Roman"/>
                <w:bCs/>
                <w:color w:val="auto"/>
                <w:kern w:val="0"/>
                <w:sz w:val="24"/>
                <w:szCs w:val="24"/>
                <w:highlight w:val="none"/>
                <w:lang w:val="en-US" w:eastAsia="en-US" w:bidi="ar-SA"/>
              </w:rPr>
              <w:t>纯水制备过程中需定期更换各类滤芯，</w:t>
            </w:r>
            <w:r>
              <w:rPr>
                <w:rFonts w:hint="eastAsia" w:ascii="Times New Roman" w:hAnsi="Times New Roman" w:eastAsia="宋体" w:cs="Times New Roman"/>
                <w:bCs/>
                <w:color w:val="auto"/>
                <w:kern w:val="0"/>
                <w:sz w:val="24"/>
                <w:szCs w:val="24"/>
                <w:highlight w:val="none"/>
                <w:lang w:val="en-US" w:eastAsia="zh-CN" w:bidi="ar-SA"/>
              </w:rPr>
              <w:t>半年</w:t>
            </w:r>
            <w:r>
              <w:rPr>
                <w:rFonts w:hint="eastAsia" w:ascii="Times New Roman" w:hAnsi="Times New Roman" w:eastAsia="宋体" w:cs="Times New Roman"/>
                <w:bCs/>
                <w:color w:val="auto"/>
                <w:kern w:val="0"/>
                <w:sz w:val="24"/>
                <w:szCs w:val="24"/>
                <w:highlight w:val="none"/>
                <w:lang w:val="en-US" w:eastAsia="en-US" w:bidi="ar-SA"/>
              </w:rPr>
              <w:t>更换一次，产生废</w:t>
            </w:r>
            <w:r>
              <w:rPr>
                <w:rFonts w:hint="default" w:ascii="Times New Roman" w:hAnsi="Times New Roman" w:eastAsia="宋体" w:cs="Times New Roman"/>
                <w:bCs/>
                <w:color w:val="auto"/>
                <w:kern w:val="0"/>
                <w:sz w:val="24"/>
                <w:szCs w:val="24"/>
                <w:highlight w:val="none"/>
                <w:lang w:val="en-US" w:eastAsia="zh-CN" w:bidi="ar-SA"/>
              </w:rPr>
              <w:t>RO</w:t>
            </w:r>
            <w:r>
              <w:rPr>
                <w:rFonts w:hint="eastAsia" w:ascii="Times New Roman" w:hAnsi="Times New Roman" w:eastAsia="宋体" w:cs="Times New Roman"/>
                <w:bCs/>
                <w:color w:val="auto"/>
                <w:kern w:val="0"/>
                <w:sz w:val="24"/>
                <w:szCs w:val="24"/>
                <w:highlight w:val="none"/>
                <w:lang w:val="en-US" w:eastAsia="zh-CN" w:bidi="ar-SA"/>
              </w:rPr>
              <w:t>膜</w:t>
            </w:r>
            <w:r>
              <w:rPr>
                <w:rFonts w:hint="eastAsia" w:ascii="Times New Roman" w:hAnsi="Times New Roman" w:eastAsia="宋体" w:cs="Times New Roman"/>
                <w:bCs/>
                <w:color w:val="auto"/>
                <w:kern w:val="0"/>
                <w:sz w:val="24"/>
                <w:szCs w:val="24"/>
                <w:highlight w:val="none"/>
                <w:lang w:val="en-US" w:eastAsia="en-US" w:bidi="ar-SA"/>
              </w:rPr>
              <w:t>、废过滤材料等，各类滤芯主要为去除自来水中少量的</w:t>
            </w:r>
            <w:r>
              <w:rPr>
                <w:rFonts w:hint="eastAsia" w:ascii="Times New Roman" w:hAnsi="Times New Roman" w:eastAsia="宋体" w:cs="Times New Roman"/>
                <w:bCs/>
                <w:color w:val="auto"/>
                <w:kern w:val="0"/>
                <w:sz w:val="24"/>
                <w:szCs w:val="24"/>
                <w:highlight w:val="none"/>
                <w:lang w:val="en-US" w:eastAsia="en-US" w:bidi="ar-SA"/>
              </w:rPr>
              <w:fldChar w:fldCharType="begin"/>
            </w:r>
            <w:r>
              <w:rPr>
                <w:rFonts w:hint="eastAsia" w:ascii="Times New Roman" w:hAnsi="Times New Roman" w:eastAsia="宋体" w:cs="Times New Roman"/>
                <w:bCs/>
                <w:color w:val="auto"/>
                <w:kern w:val="0"/>
                <w:sz w:val="24"/>
                <w:szCs w:val="24"/>
                <w:highlight w:val="none"/>
                <w:lang w:val="en-US" w:eastAsia="en-US" w:bidi="ar-SA"/>
              </w:rPr>
              <w:instrText xml:space="preserve"> HYPERLINK "https://baike.so.com/doc/303971-321815.html" \t "https://baike.so.com/doc/_blank" </w:instrText>
            </w:r>
            <w:r>
              <w:rPr>
                <w:rFonts w:hint="eastAsia" w:ascii="Times New Roman" w:hAnsi="Times New Roman" w:eastAsia="宋体" w:cs="Times New Roman"/>
                <w:bCs/>
                <w:color w:val="auto"/>
                <w:kern w:val="0"/>
                <w:sz w:val="24"/>
                <w:szCs w:val="24"/>
                <w:highlight w:val="none"/>
                <w:lang w:val="en-US" w:eastAsia="en-US" w:bidi="ar-SA"/>
              </w:rPr>
              <w:fldChar w:fldCharType="separate"/>
            </w:r>
            <w:r>
              <w:rPr>
                <w:rFonts w:hint="eastAsia" w:ascii="Times New Roman" w:hAnsi="Times New Roman" w:eastAsia="宋体" w:cs="Times New Roman"/>
                <w:bCs/>
                <w:color w:val="auto"/>
                <w:kern w:val="0"/>
                <w:sz w:val="24"/>
                <w:szCs w:val="24"/>
                <w:highlight w:val="none"/>
                <w:lang w:val="en-US" w:eastAsia="en-US" w:bidi="ar-SA"/>
              </w:rPr>
              <w:t>钙盐</w:t>
            </w:r>
            <w:r>
              <w:rPr>
                <w:rFonts w:hint="eastAsia" w:ascii="Times New Roman" w:hAnsi="Times New Roman" w:eastAsia="宋体" w:cs="Times New Roman"/>
                <w:bCs/>
                <w:color w:val="auto"/>
                <w:kern w:val="0"/>
                <w:sz w:val="24"/>
                <w:szCs w:val="24"/>
                <w:highlight w:val="none"/>
                <w:lang w:val="en-US" w:eastAsia="en-US" w:bidi="ar-SA"/>
              </w:rPr>
              <w:fldChar w:fldCharType="end"/>
            </w:r>
            <w:r>
              <w:rPr>
                <w:rFonts w:hint="eastAsia" w:ascii="Times New Roman" w:hAnsi="Times New Roman" w:eastAsia="宋体" w:cs="Times New Roman"/>
                <w:bCs/>
                <w:color w:val="auto"/>
                <w:kern w:val="0"/>
                <w:sz w:val="24"/>
                <w:szCs w:val="24"/>
                <w:highlight w:val="none"/>
                <w:lang w:val="en-US" w:eastAsia="en-US" w:bidi="ar-SA"/>
              </w:rPr>
              <w:t>和镁盐</w:t>
            </w:r>
            <w:r>
              <w:rPr>
                <w:rFonts w:hint="eastAsia" w:ascii="Times New Roman" w:hAnsi="Times New Roman" w:eastAsia="宋体" w:cs="Times New Roman"/>
                <w:bCs/>
                <w:color w:val="auto"/>
                <w:kern w:val="0"/>
                <w:sz w:val="24"/>
                <w:szCs w:val="24"/>
                <w:highlight w:val="none"/>
                <w:lang w:val="en-US" w:eastAsia="zh-CN" w:bidi="ar-SA"/>
              </w:rPr>
              <w:t>、</w:t>
            </w:r>
            <w:r>
              <w:rPr>
                <w:rFonts w:hint="eastAsia" w:ascii="Times New Roman" w:hAnsi="Times New Roman" w:eastAsia="宋体" w:cs="Times New Roman"/>
                <w:bCs/>
                <w:color w:val="auto"/>
                <w:kern w:val="0"/>
                <w:sz w:val="24"/>
                <w:szCs w:val="24"/>
                <w:highlight w:val="none"/>
                <w:lang w:val="en-US" w:eastAsia="en-US" w:bidi="ar-SA"/>
              </w:rPr>
              <w:t>可溶性无机物、有机物、颗粒物等，不含有毒、有害成分，不属于《国家危险废物名录</w:t>
            </w:r>
            <w:r>
              <w:rPr>
                <w:rFonts w:hint="eastAsia" w:cs="Times New Roman"/>
                <w:bCs/>
                <w:color w:val="auto"/>
                <w:kern w:val="0"/>
                <w:sz w:val="24"/>
                <w:szCs w:val="24"/>
                <w:highlight w:val="none"/>
                <w:lang w:val="en-US" w:eastAsia="zh-CN" w:bidi="ar-SA"/>
              </w:rPr>
              <w:t>（</w:t>
            </w:r>
            <w:r>
              <w:rPr>
                <w:rFonts w:hint="eastAsia" w:ascii="Times New Roman" w:hAnsi="Times New Roman" w:eastAsia="宋体" w:cs="Times New Roman"/>
                <w:bCs/>
                <w:color w:val="auto"/>
                <w:kern w:val="0"/>
                <w:sz w:val="24"/>
                <w:szCs w:val="24"/>
                <w:highlight w:val="none"/>
                <w:lang w:val="en-US" w:eastAsia="en-US" w:bidi="ar-SA"/>
              </w:rPr>
              <w:t>2025年版</w:t>
            </w:r>
            <w:r>
              <w:rPr>
                <w:rFonts w:hint="eastAsia" w:cs="Times New Roman"/>
                <w:bCs/>
                <w:color w:val="auto"/>
                <w:kern w:val="0"/>
                <w:sz w:val="24"/>
                <w:szCs w:val="24"/>
                <w:highlight w:val="none"/>
                <w:lang w:val="en-US" w:eastAsia="zh-CN" w:bidi="ar-SA"/>
              </w:rPr>
              <w:t>）</w:t>
            </w:r>
            <w:r>
              <w:rPr>
                <w:rFonts w:hint="eastAsia" w:ascii="Times New Roman" w:hAnsi="Times New Roman" w:eastAsia="宋体" w:cs="Times New Roman"/>
                <w:bCs/>
                <w:color w:val="auto"/>
                <w:kern w:val="0"/>
                <w:sz w:val="24"/>
                <w:szCs w:val="24"/>
                <w:highlight w:val="none"/>
                <w:lang w:val="en-US" w:eastAsia="en-US" w:bidi="ar-SA"/>
              </w:rPr>
              <w:t>》中规定的危险废物，属于一般工业固废，根据估算，预计产生废</w:t>
            </w:r>
            <w:r>
              <w:rPr>
                <w:rFonts w:hint="default" w:ascii="Times New Roman" w:hAnsi="Times New Roman" w:eastAsia="宋体" w:cs="Times New Roman"/>
                <w:bCs/>
                <w:color w:val="auto"/>
                <w:kern w:val="0"/>
                <w:sz w:val="24"/>
                <w:szCs w:val="24"/>
                <w:highlight w:val="none"/>
                <w:lang w:val="en-US" w:eastAsia="zh-CN" w:bidi="ar-SA"/>
              </w:rPr>
              <w:t>RO</w:t>
            </w:r>
            <w:r>
              <w:rPr>
                <w:rFonts w:hint="eastAsia" w:ascii="Times New Roman" w:hAnsi="Times New Roman" w:eastAsia="宋体" w:cs="Times New Roman"/>
                <w:bCs/>
                <w:color w:val="auto"/>
                <w:kern w:val="0"/>
                <w:sz w:val="24"/>
                <w:szCs w:val="24"/>
                <w:highlight w:val="none"/>
                <w:lang w:val="en-US" w:eastAsia="zh-CN" w:bidi="ar-SA"/>
              </w:rPr>
              <w:t>膜</w:t>
            </w:r>
            <w:r>
              <w:rPr>
                <w:rFonts w:hint="eastAsia" w:ascii="Times New Roman" w:hAnsi="Times New Roman" w:eastAsia="宋体" w:cs="Times New Roman"/>
                <w:bCs/>
                <w:color w:val="auto"/>
                <w:kern w:val="0"/>
                <w:sz w:val="24"/>
                <w:szCs w:val="24"/>
                <w:highlight w:val="none"/>
                <w:lang w:val="en-US" w:eastAsia="en-US" w:bidi="ar-SA"/>
              </w:rPr>
              <w:t>0.</w:t>
            </w:r>
            <w:r>
              <w:rPr>
                <w:rFonts w:hint="eastAsia" w:ascii="Times New Roman" w:hAnsi="Times New Roman" w:eastAsia="宋体" w:cs="Times New Roman"/>
                <w:bCs/>
                <w:color w:val="auto"/>
                <w:kern w:val="0"/>
                <w:sz w:val="24"/>
                <w:szCs w:val="24"/>
                <w:highlight w:val="none"/>
                <w:lang w:val="en-US" w:eastAsia="zh-CN" w:bidi="ar-SA"/>
              </w:rPr>
              <w:t>05</w:t>
            </w:r>
            <w:r>
              <w:rPr>
                <w:rFonts w:hint="eastAsia" w:ascii="Times New Roman" w:hAnsi="Times New Roman" w:eastAsia="宋体" w:cs="Times New Roman"/>
                <w:bCs/>
                <w:color w:val="auto"/>
                <w:kern w:val="0"/>
                <w:sz w:val="24"/>
                <w:szCs w:val="24"/>
                <w:highlight w:val="none"/>
                <w:lang w:val="en-US" w:eastAsia="en-US" w:bidi="ar-SA"/>
              </w:rPr>
              <w:t>t、废过滤材料0.0</w:t>
            </w:r>
            <w:r>
              <w:rPr>
                <w:rFonts w:hint="eastAsia" w:ascii="Times New Roman" w:hAnsi="Times New Roman" w:eastAsia="宋体" w:cs="Times New Roman"/>
                <w:bCs/>
                <w:color w:val="auto"/>
                <w:kern w:val="0"/>
                <w:sz w:val="24"/>
                <w:szCs w:val="24"/>
                <w:highlight w:val="none"/>
                <w:lang w:val="en-US" w:eastAsia="zh-CN" w:bidi="ar-SA"/>
              </w:rPr>
              <w:t>5</w:t>
            </w:r>
            <w:r>
              <w:rPr>
                <w:rFonts w:hint="eastAsia" w:ascii="Times New Roman" w:hAnsi="Times New Roman" w:eastAsia="宋体" w:cs="Times New Roman"/>
                <w:bCs/>
                <w:color w:val="auto"/>
                <w:kern w:val="0"/>
                <w:sz w:val="24"/>
                <w:szCs w:val="24"/>
                <w:highlight w:val="none"/>
                <w:lang w:val="en-US" w:eastAsia="en-US" w:bidi="ar-SA"/>
              </w:rPr>
              <w:t>t/a，交由专业回收公司处理</w:t>
            </w:r>
            <w:r>
              <w:rPr>
                <w:rFonts w:hint="eastAsia" w:ascii="Times New Roman" w:hAnsi="Times New Roman" w:eastAsia="宋体" w:cs="Times New Roman"/>
                <w:bCs/>
                <w:color w:val="auto"/>
                <w:kern w:val="0"/>
                <w:sz w:val="24"/>
                <w:szCs w:val="24"/>
                <w:highlight w:val="none"/>
                <w:lang w:val="en-US" w:eastAsia="zh-CN" w:bidi="ar-SA"/>
              </w:rPr>
              <w:t>，固体废物代码为</w:t>
            </w:r>
            <w:r>
              <w:rPr>
                <w:rFonts w:hint="default" w:ascii="Times New Roman" w:hAnsi="Times New Roman" w:eastAsia="宋体" w:cs="Times New Roman"/>
                <w:bCs/>
                <w:color w:val="auto"/>
                <w:kern w:val="0"/>
                <w:sz w:val="24"/>
                <w:szCs w:val="24"/>
                <w:highlight w:val="none"/>
                <w:lang w:val="en-US" w:eastAsia="zh-CN" w:bidi="ar-SA"/>
              </w:rPr>
              <w:t>900-0</w:t>
            </w:r>
            <w:r>
              <w:rPr>
                <w:rFonts w:hint="eastAsia" w:ascii="Times New Roman" w:hAnsi="Times New Roman" w:eastAsia="宋体" w:cs="Times New Roman"/>
                <w:bCs/>
                <w:color w:val="auto"/>
                <w:kern w:val="0"/>
                <w:sz w:val="24"/>
                <w:szCs w:val="24"/>
                <w:highlight w:val="none"/>
                <w:lang w:val="en-US" w:eastAsia="zh-CN" w:bidi="ar-SA"/>
              </w:rPr>
              <w:t>09</w:t>
            </w:r>
            <w:r>
              <w:rPr>
                <w:rFonts w:hint="default" w:ascii="Times New Roman" w:hAnsi="Times New Roman" w:eastAsia="宋体" w:cs="Times New Roman"/>
                <w:bCs/>
                <w:color w:val="auto"/>
                <w:kern w:val="0"/>
                <w:sz w:val="24"/>
                <w:szCs w:val="24"/>
                <w:highlight w:val="none"/>
                <w:lang w:val="en-US" w:eastAsia="zh-CN" w:bidi="ar-SA"/>
              </w:rPr>
              <w:t>-S</w:t>
            </w:r>
            <w:r>
              <w:rPr>
                <w:rFonts w:hint="eastAsia" w:ascii="Times New Roman" w:hAnsi="Times New Roman" w:eastAsia="宋体" w:cs="Times New Roman"/>
                <w:bCs/>
                <w:color w:val="auto"/>
                <w:kern w:val="0"/>
                <w:sz w:val="24"/>
                <w:szCs w:val="24"/>
                <w:highlight w:val="none"/>
                <w:lang w:val="en-US" w:eastAsia="zh-CN" w:bidi="ar-SA"/>
              </w:rPr>
              <w:t>59</w:t>
            </w:r>
            <w:r>
              <w:rPr>
                <w:rFonts w:hint="eastAsia" w:ascii="Times New Roman" w:hAnsi="Times New Roman" w:eastAsia="宋体" w:cs="Times New Roman"/>
                <w:bCs/>
                <w:color w:val="auto"/>
                <w:kern w:val="0"/>
                <w:sz w:val="24"/>
                <w:szCs w:val="24"/>
                <w:highlight w:val="none"/>
                <w:lang w:val="en-US" w:eastAsia="en-US" w:bidi="ar-SA"/>
              </w:rPr>
              <w:t>。</w:t>
            </w:r>
          </w:p>
          <w:p w14:paraId="6D53094F">
            <w:pPr>
              <w:spacing w:line="360" w:lineRule="auto"/>
              <w:ind w:firstLine="482"/>
              <w:rPr>
                <w:rFonts w:ascii="Times New Roman" w:hAnsi="Times New Roman"/>
                <w:color w:val="auto"/>
                <w:sz w:val="24"/>
                <w:highlight w:val="none"/>
              </w:rPr>
            </w:pPr>
            <w:r>
              <w:rPr>
                <w:rFonts w:hint="eastAsia"/>
                <w:color w:val="auto"/>
                <w:sz w:val="24"/>
                <w:highlight w:val="none"/>
                <w:lang w:eastAsia="zh-CN"/>
              </w:rPr>
              <w:t>3.</w:t>
            </w:r>
            <w:r>
              <w:rPr>
                <w:rFonts w:ascii="Times New Roman" w:hAnsi="Times New Roman"/>
                <w:color w:val="auto"/>
                <w:sz w:val="24"/>
                <w:highlight w:val="none"/>
              </w:rPr>
              <w:t>危险废物</w:t>
            </w:r>
          </w:p>
          <w:p w14:paraId="4AD431AF">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①废化学品包装</w:t>
            </w:r>
          </w:p>
          <w:p w14:paraId="4D4944FC">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化学品使用会产生废包装，根据企业提供资料可知，废化学品包装产生量为0.2t/a，属于《国家危险废物名录》（2025年版）中的HW49其他废物（含有或沾染毒性、感染性危险废物的废弃包装物、容器、过滤吸附介质），废物代码为900-041-49。经收集后暂存于危险废物贮存间，定期交由委托有危废资质的单位回收处理。</w:t>
            </w:r>
          </w:p>
          <w:p w14:paraId="121E73E2">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②废机油</w:t>
            </w:r>
          </w:p>
          <w:p w14:paraId="71868F77">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项目生产设备维修保养过程会产生少量的废机油，废机油产生量约0.2t/a</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废机油属于危险废物，根据《国家危险废物名录》（2025年），废机油及废机油桶属于“HW08 废矿物油与含矿物油废物：其他生产、销售、使用过程中产生的废矿物油及沾染矿物油的废弃包装物”，废物代码为900-249-08，暂存于危险废物贮存间，定期交由委托有危废资质的单位回收处理。</w:t>
            </w:r>
          </w:p>
          <w:p w14:paraId="56B26533">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③废含油抹布手套</w:t>
            </w:r>
          </w:p>
          <w:p w14:paraId="1DD86C39">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项目装配、设备维护保养过程中会产生废含油抹布手套，产生量约0.4t/a。废含油抹布手套因沾染机油属于危险废物，根据《国家危险废物名录》（2025年），废含油抹布手套</w:t>
            </w:r>
            <w:r>
              <w:rPr>
                <w:rFonts w:hint="eastAsia" w:cs="Times New Roman"/>
                <w:color w:val="auto"/>
                <w:highlight w:val="none"/>
                <w:lang w:val="en-US" w:eastAsia="zh-CN"/>
              </w:rPr>
              <w:t>属于含有或沾染毒性、感染性危险废物的废弃包装物、容器、过滤吸附介质（包括废弃的含油抹布、劳保用品），废物代码为900-041-49</w:t>
            </w:r>
            <w:r>
              <w:rPr>
                <w:rFonts w:hint="eastAsia" w:ascii="Times New Roman" w:hAnsi="Times New Roman" w:eastAsia="宋体" w:cs="Times New Roman"/>
                <w:color w:val="auto"/>
                <w:highlight w:val="none"/>
                <w:lang w:val="en-US" w:eastAsia="zh-CN"/>
              </w:rPr>
              <w:t>危废类别为HW49，委托有资质单位处置。</w:t>
            </w:r>
          </w:p>
          <w:p w14:paraId="10A72A53">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④废活性炭</w:t>
            </w:r>
          </w:p>
          <w:p w14:paraId="05161F98">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本项目产生的有机废气利用活性炭吸附处理，为保证活性炭吸附活性，需定期更换活性炭，产生废活性炭，本项目活性炭一</w:t>
            </w:r>
            <w:r>
              <w:rPr>
                <w:rFonts w:hint="eastAsia" w:cs="Times New Roman"/>
                <w:color w:val="auto"/>
                <w:highlight w:val="none"/>
                <w:lang w:val="en-US" w:eastAsia="zh-CN"/>
              </w:rPr>
              <w:t>月</w:t>
            </w:r>
            <w:r>
              <w:rPr>
                <w:rFonts w:hint="eastAsia" w:ascii="Times New Roman" w:hAnsi="Times New Roman" w:eastAsia="宋体" w:cs="Times New Roman"/>
                <w:color w:val="auto"/>
                <w:highlight w:val="none"/>
                <w:lang w:val="en-US" w:eastAsia="zh-CN"/>
              </w:rPr>
              <w:t>更换一次。</w:t>
            </w:r>
          </w:p>
          <w:p w14:paraId="2A82FEFC">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w:t>
            </w:r>
            <w:r>
              <w:rPr>
                <w:rFonts w:hint="eastAsia" w:cs="Times New Roman"/>
                <w:color w:val="auto"/>
                <w:highlight w:val="none"/>
                <w:lang w:val="en-US" w:eastAsia="zh-CN"/>
              </w:rPr>
              <w:t>前文</w:t>
            </w:r>
            <w:r>
              <w:rPr>
                <w:rFonts w:hint="eastAsia" w:ascii="Times New Roman" w:hAnsi="Times New Roman" w:eastAsia="宋体" w:cs="Times New Roman"/>
                <w:color w:val="auto"/>
                <w:highlight w:val="none"/>
                <w:lang w:val="en-US" w:eastAsia="zh-CN"/>
              </w:rPr>
              <w:t>计算结果，本项目废活性炭产生量为</w:t>
            </w:r>
            <w:r>
              <w:rPr>
                <w:rFonts w:hint="eastAsia" w:cs="Times New Roman"/>
                <w:color w:val="auto"/>
                <w:highlight w:val="none"/>
                <w:lang w:val="en-US" w:eastAsia="zh-CN"/>
              </w:rPr>
              <w:t>7.9599</w:t>
            </w:r>
            <w:r>
              <w:rPr>
                <w:rFonts w:hint="eastAsia" w:ascii="Times New Roman" w:hAnsi="Times New Roman" w:eastAsia="宋体" w:cs="Times New Roman"/>
                <w:color w:val="auto"/>
                <w:highlight w:val="none"/>
                <w:lang w:val="en-US" w:eastAsia="zh-CN"/>
              </w:rPr>
              <w:t>t/a，根据《国家危险废物名录》（2025年版）可知，废活性炭属于HW49其他废物，代码为900-039-49。更换的废活性炭应收集后暂存于危险废物贮存间，定期交由委托有危废资质的单位回收处理。</w:t>
            </w:r>
          </w:p>
          <w:p w14:paraId="309635E9">
            <w:pPr>
              <w:pStyle w:val="12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⑤废过滤物</w:t>
            </w:r>
            <w:r>
              <w:rPr>
                <w:rFonts w:hint="eastAsia" w:cs="Times New Roman"/>
                <w:color w:val="auto"/>
                <w:highlight w:val="none"/>
                <w:lang w:val="en-US" w:eastAsia="zh-CN"/>
              </w:rPr>
              <w:t>（槽渣）</w:t>
            </w:r>
          </w:p>
          <w:p w14:paraId="0C7B64C6">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脱脂槽液由配套过滤装置滤去残渣后循环使用，产生废过滤物，产生量约0.8t/a，属于危险废物，根据《国家危险废物名录》（2025年版），项目槽渣属于危险废物，为“HW17表面处理废物：金属或者塑料表面酸（碱）洗、除油、除锈（不包括喷砂除锈）、洗涤、磷化、出光、化抛工艺产生的废腐蚀液、废洗涤液、废槽液、槽渣和废水处理污泥”，废物代码为336-064-17。经收集后暂存于危险废物贮存间，定期交由委托有危废资质的单位回收处理。</w:t>
            </w:r>
          </w:p>
          <w:p w14:paraId="5CFCAE46">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⑥废水处理污泥</w:t>
            </w:r>
          </w:p>
          <w:p w14:paraId="797ACADB">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第二次全国污染源普查工业污染源产排污系数手册》（试用版）机械行业系数手册，本项目年使用絮凝剂约210kg/a、污泥产生率4.53t/t-絮凝剂，计算得出污泥产生量0.95t/a，污泥为《国家危险废物名录》（2025年版）“HW17 表面处理废物：金属或者塑料表面酸（碱）洗、除油、除锈（不包括喷砂除锈）、洗涤、磷化、出光、化抛工艺产生的废腐蚀液、废洗涤液、废槽液、槽渣和废水处理污泥”，废物代码为336-064-17。由福州术立新能源科技有限公司负责收集、贮存和转运处置。</w:t>
            </w:r>
          </w:p>
          <w:p w14:paraId="79E54837">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⑦废油桶</w:t>
            </w:r>
          </w:p>
          <w:p w14:paraId="3249B964">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根据建设单位提供资料，项目厂内进购的液压油和润滑油的包装桶规格为20kg/桶，项目在生产过程中年用机油0.2t/a，则产生的废包装桶为10个，约0.2t/a，属于危险废物，危废类别为HW08，委托有资质单位处置。</w:t>
            </w:r>
          </w:p>
          <w:p w14:paraId="2B693E71">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⑧废滤膜</w:t>
            </w:r>
          </w:p>
          <w:p w14:paraId="3909CC09">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单位提供资料，项目超滤系统会产生废滤膜，产生量约0.4t/a，属于《国家危险废物名录》（2025年版）中的HW49其他废物（含有或沾染毒性、感染性危险废物的废弃包装物、容器、过滤吸附介质），废物代码为900-041-49。经收集后暂存于危险废物贮存间，定期交由委托有危废资质的单位回收处理。</w:t>
            </w:r>
          </w:p>
          <w:p w14:paraId="695299E0">
            <w:pPr>
              <w:pStyle w:val="1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⑨废涂料桶</w:t>
            </w:r>
          </w:p>
          <w:p w14:paraId="214390A5">
            <w:pPr>
              <w:pStyle w:val="12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highlight w:val="none"/>
                <w:lang w:val="en-US" w:eastAsia="zh-CN"/>
              </w:rPr>
              <w:t>根据建设单位提供资料，项目电泳涂料使用过程会产生废涂料桶，产生量约0.4t/a，属于《国家危险废物名录》（</w:t>
            </w:r>
            <w:r>
              <w:rPr>
                <w:rFonts w:hint="default" w:ascii="Times New Roman" w:hAnsi="Times New Roman" w:eastAsia="宋体" w:cs="Times New Roman"/>
                <w:color w:val="auto"/>
                <w:highlight w:val="none"/>
                <w:lang w:val="en-US" w:eastAsia="zh-CN"/>
              </w:rPr>
              <w:t>2025</w:t>
            </w:r>
            <w:r>
              <w:rPr>
                <w:rFonts w:hint="eastAsia" w:ascii="Times New Roman" w:hAnsi="Times New Roman" w:eastAsia="宋体" w:cs="Times New Roman"/>
                <w:color w:val="auto"/>
                <w:highlight w:val="none"/>
                <w:lang w:val="en-US" w:eastAsia="zh-CN"/>
              </w:rPr>
              <w:t>年版）中的</w:t>
            </w:r>
            <w:r>
              <w:rPr>
                <w:rFonts w:hint="default" w:ascii="Times New Roman" w:hAnsi="Times New Roman" w:eastAsia="宋体" w:cs="Times New Roman"/>
                <w:color w:val="auto"/>
                <w:highlight w:val="none"/>
                <w:lang w:val="en-US" w:eastAsia="zh-CN"/>
              </w:rPr>
              <w:t>HW49</w:t>
            </w:r>
            <w:r>
              <w:rPr>
                <w:rFonts w:hint="eastAsia" w:ascii="Times New Roman" w:hAnsi="Times New Roman" w:eastAsia="宋体" w:cs="Times New Roman"/>
                <w:color w:val="auto"/>
                <w:highlight w:val="none"/>
                <w:lang w:val="en-US" w:eastAsia="zh-CN"/>
              </w:rPr>
              <w:t>其他废物（含有或沾染毒性、感染性危险废物的废弃包装物、容器、过滤吸附介质），废物代码为</w:t>
            </w:r>
            <w:r>
              <w:rPr>
                <w:rFonts w:hint="default" w:ascii="Times New Roman" w:hAnsi="Times New Roman" w:eastAsia="宋体" w:cs="Times New Roman"/>
                <w:color w:val="auto"/>
                <w:highlight w:val="none"/>
                <w:lang w:val="en-US" w:eastAsia="zh-CN"/>
              </w:rPr>
              <w:t>900-041-49</w:t>
            </w:r>
            <w:r>
              <w:rPr>
                <w:rFonts w:hint="eastAsia" w:ascii="Times New Roman" w:hAnsi="Times New Roman" w:eastAsia="宋体" w:cs="Times New Roman"/>
                <w:color w:val="auto"/>
                <w:highlight w:val="none"/>
                <w:lang w:val="en-US" w:eastAsia="zh-CN"/>
              </w:rPr>
              <w:t>。经收集后暂存于危险废物贮存</w:t>
            </w:r>
            <w:r>
              <w:rPr>
                <w:rFonts w:hint="eastAsia" w:ascii="Times New Roman" w:hAnsi="Times New Roman" w:eastAsia="宋体" w:cs="Times New Roman"/>
                <w:color w:val="auto"/>
                <w:kern w:val="2"/>
                <w:sz w:val="24"/>
                <w:szCs w:val="24"/>
                <w:highlight w:val="none"/>
                <w:lang w:val="en-US" w:eastAsia="zh-CN" w:bidi="ar-SA"/>
              </w:rPr>
              <w:t>间，定期交由委托有危废资质的单位回收处理。</w:t>
            </w:r>
          </w:p>
          <w:p w14:paraId="585B7C59">
            <w:pPr>
              <w:pStyle w:val="120"/>
              <w:rPr>
                <w:rFonts w:hint="eastAsia" w:cs="Times New Roman"/>
                <w:color w:val="auto"/>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⑩</w:t>
            </w:r>
            <w:r>
              <w:rPr>
                <w:rFonts w:hint="eastAsia" w:cs="Times New Roman"/>
                <w:color w:val="auto"/>
                <w:highlight w:val="none"/>
                <w:lang w:val="en-US" w:eastAsia="zh-CN"/>
              </w:rPr>
              <w:t>废滤筒滤芯</w:t>
            </w:r>
          </w:p>
          <w:p w14:paraId="668EE7FB">
            <w:pPr>
              <w:pStyle w:val="120"/>
              <w:rPr>
                <w:rFonts w:hint="default" w:cs="Times New Roman"/>
                <w:color w:val="auto"/>
                <w:highlight w:val="none"/>
                <w:lang w:val="en-US" w:eastAsia="zh-CN"/>
              </w:rPr>
            </w:pPr>
            <w:r>
              <w:rPr>
                <w:rFonts w:hint="default" w:cs="Times New Roman"/>
                <w:color w:val="auto"/>
                <w:highlight w:val="none"/>
                <w:lang w:val="en-US" w:eastAsia="zh-CN"/>
              </w:rPr>
              <w:t>项目喷粉线设滤芯回收装置回收塑粉，需定期更换，按1个季度更换一次计，每次产生滤芯约为0.5t，则滤芯年产生量为2.0t。滤芯属于《国家危险废物名录》（2025年版）中的HW49其他废物（含有或沾染毒性、感染性危险废物的废弃包装物、容器、过滤吸附介质），废物代码为900-041-49。经收集后暂存于危险废物贮存间，定期交由委托有危废资质的单位回收处理。</w:t>
            </w:r>
          </w:p>
          <w:p w14:paraId="45C727C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Times New Roman" w:hAnsi="Times New Roman" w:eastAsia="宋体" w:cs="Times New Roman"/>
                <w:b w:val="0"/>
                <w:bCs w:val="0"/>
                <w:color w:val="auto"/>
                <w:spacing w:val="0"/>
                <w:position w:val="0"/>
                <w:sz w:val="24"/>
                <w:szCs w:val="24"/>
                <w:highlight w:val="none"/>
                <w:u w:val="none"/>
                <w:lang w:val="en-US" w:eastAsia="zh-CN"/>
              </w:rPr>
            </w:pPr>
            <w:r>
              <w:rPr>
                <w:rFonts w:hint="eastAsia" w:ascii="微软雅黑" w:hAnsi="微软雅黑" w:eastAsia="微软雅黑" w:cs="微软雅黑"/>
                <w:color w:val="auto"/>
                <w:highlight w:val="none"/>
                <w:lang w:val="en-US" w:eastAsia="zh-CN"/>
              </w:rPr>
              <w:t>⑪</w:t>
            </w:r>
            <w:r>
              <w:rPr>
                <w:rFonts w:hint="eastAsia" w:ascii="Times New Roman" w:hAnsi="Times New Roman" w:eastAsia="宋体" w:cs="Times New Roman"/>
                <w:b w:val="0"/>
                <w:bCs w:val="0"/>
                <w:color w:val="auto"/>
                <w:spacing w:val="0"/>
                <w:position w:val="0"/>
                <w:sz w:val="24"/>
                <w:szCs w:val="24"/>
                <w:highlight w:val="none"/>
                <w:u w:val="none"/>
                <w:lang w:val="en-US" w:eastAsia="zh-CN"/>
              </w:rPr>
              <w:t>浮油</w:t>
            </w:r>
          </w:p>
          <w:p w14:paraId="2EB4A0F9">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auto"/>
                <w:spacing w:val="0"/>
                <w:position w:val="0"/>
                <w:sz w:val="24"/>
                <w:szCs w:val="24"/>
                <w:highlight w:val="none"/>
                <w:u w:val="none"/>
                <w:lang w:val="en-US" w:eastAsia="zh-CN"/>
              </w:rPr>
            </w:pPr>
            <w:r>
              <w:rPr>
                <w:rFonts w:hint="eastAsia" w:ascii="宋体" w:hAnsi="宋体" w:eastAsia="宋体" w:cs="宋体"/>
                <w:color w:val="auto"/>
                <w:kern w:val="0"/>
                <w:position w:val="0"/>
                <w:sz w:val="24"/>
                <w:szCs w:val="24"/>
                <w:highlight w:val="none"/>
                <w:lang w:val="en-US" w:eastAsia="zh-CN" w:bidi="ar"/>
              </w:rPr>
              <w:t>项目脱脂槽设有油水分离装置，</w:t>
            </w:r>
            <w:r>
              <w:rPr>
                <w:rFonts w:hint="eastAsia" w:ascii="Times New Roman" w:hAnsi="Times New Roman" w:eastAsia="宋体" w:cs="Times New Roman"/>
                <w:b w:val="0"/>
                <w:bCs w:val="0"/>
                <w:color w:val="auto"/>
                <w:spacing w:val="0"/>
                <w:position w:val="0"/>
                <w:sz w:val="24"/>
                <w:szCs w:val="24"/>
                <w:highlight w:val="none"/>
                <w:u w:val="none"/>
                <w:lang w:val="en-US" w:eastAsia="zh-CN"/>
              </w:rPr>
              <w:t>脱脂槽槽液中含有的矿物油经</w:t>
            </w:r>
            <w:r>
              <w:rPr>
                <w:rFonts w:hint="eastAsia" w:ascii="宋体" w:hAnsi="宋体" w:eastAsia="宋体" w:cs="宋体"/>
                <w:color w:val="auto"/>
                <w:kern w:val="0"/>
                <w:position w:val="0"/>
                <w:sz w:val="24"/>
                <w:szCs w:val="24"/>
                <w:highlight w:val="none"/>
                <w:lang w:val="en-US" w:eastAsia="zh-CN" w:bidi="ar"/>
              </w:rPr>
              <w:t>油水分离装置处理后</w:t>
            </w:r>
            <w:r>
              <w:rPr>
                <w:rFonts w:hint="eastAsia" w:ascii="Times New Roman" w:hAnsi="Times New Roman" w:eastAsia="宋体" w:cs="Times New Roman"/>
                <w:b w:val="0"/>
                <w:bCs w:val="0"/>
                <w:color w:val="auto"/>
                <w:spacing w:val="0"/>
                <w:position w:val="0"/>
                <w:sz w:val="24"/>
                <w:szCs w:val="24"/>
                <w:highlight w:val="none"/>
                <w:u w:val="none"/>
                <w:lang w:val="en-US" w:eastAsia="zh-CN"/>
              </w:rPr>
              <w:t>，槽液回用于生产，</w:t>
            </w:r>
            <w:r>
              <w:rPr>
                <w:rFonts w:hint="eastAsia" w:ascii="宋体" w:hAnsi="宋体" w:eastAsia="宋体" w:cs="宋体"/>
                <w:color w:val="auto"/>
                <w:kern w:val="0"/>
                <w:position w:val="0"/>
                <w:sz w:val="24"/>
                <w:szCs w:val="24"/>
                <w:highlight w:val="none"/>
                <w:lang w:val="en-US" w:eastAsia="zh-CN" w:bidi="ar"/>
              </w:rPr>
              <w:t>油水分离装置分离的浮油</w:t>
            </w:r>
            <w:r>
              <w:rPr>
                <w:rFonts w:hint="eastAsia" w:ascii="Times New Roman" w:hAnsi="Times New Roman" w:eastAsia="宋体" w:cs="Times New Roman"/>
                <w:b w:val="0"/>
                <w:bCs w:val="0"/>
                <w:color w:val="auto"/>
                <w:spacing w:val="0"/>
                <w:position w:val="0"/>
                <w:sz w:val="24"/>
                <w:szCs w:val="24"/>
                <w:highlight w:val="none"/>
                <w:u w:val="none"/>
                <w:lang w:val="en-US" w:eastAsia="zh-CN"/>
              </w:rPr>
              <w:t>安排工人定期打捞，根据《国家危险废物名录》（</w:t>
            </w:r>
            <w:r>
              <w:rPr>
                <w:rFonts w:hint="default" w:ascii="Times New Roman" w:hAnsi="Times New Roman" w:eastAsia="宋体" w:cs="Times New Roman"/>
                <w:b w:val="0"/>
                <w:bCs w:val="0"/>
                <w:color w:val="auto"/>
                <w:spacing w:val="0"/>
                <w:position w:val="0"/>
                <w:sz w:val="24"/>
                <w:szCs w:val="24"/>
                <w:highlight w:val="none"/>
                <w:u w:val="none"/>
                <w:lang w:val="en-US" w:eastAsia="zh-CN"/>
              </w:rPr>
              <w:t>2025</w:t>
            </w:r>
            <w:r>
              <w:rPr>
                <w:rFonts w:hint="eastAsia" w:ascii="Times New Roman" w:hAnsi="Times New Roman" w:eastAsia="宋体" w:cs="Times New Roman"/>
                <w:b w:val="0"/>
                <w:bCs w:val="0"/>
                <w:color w:val="auto"/>
                <w:spacing w:val="0"/>
                <w:position w:val="0"/>
                <w:sz w:val="24"/>
                <w:szCs w:val="24"/>
                <w:highlight w:val="none"/>
                <w:u w:val="none"/>
                <w:lang w:val="en-US" w:eastAsia="zh-CN"/>
              </w:rPr>
              <w:t>年），其属于“</w:t>
            </w:r>
            <w:r>
              <w:rPr>
                <w:rFonts w:hint="default" w:ascii="Times New Roman" w:hAnsi="Times New Roman" w:eastAsia="宋体" w:cs="Times New Roman"/>
                <w:b w:val="0"/>
                <w:bCs w:val="0"/>
                <w:color w:val="auto"/>
                <w:spacing w:val="0"/>
                <w:position w:val="0"/>
                <w:sz w:val="24"/>
                <w:szCs w:val="24"/>
                <w:highlight w:val="none"/>
                <w:u w:val="none"/>
                <w:lang w:val="en-US" w:eastAsia="zh-CN"/>
              </w:rPr>
              <w:t xml:space="preserve">HW08 </w:t>
            </w:r>
            <w:r>
              <w:rPr>
                <w:rFonts w:hint="eastAsia" w:ascii="Times New Roman" w:hAnsi="Times New Roman" w:eastAsia="宋体" w:cs="Times New Roman"/>
                <w:b w:val="0"/>
                <w:bCs w:val="0"/>
                <w:color w:val="auto"/>
                <w:spacing w:val="0"/>
                <w:position w:val="0"/>
                <w:sz w:val="24"/>
                <w:szCs w:val="24"/>
                <w:highlight w:val="none"/>
                <w:u w:val="none"/>
                <w:lang w:val="en-US" w:eastAsia="zh-CN"/>
              </w:rPr>
              <w:t>废矿物油与含矿物油废物：含油废水处理中隔油、气浮、沉淀等处理过程中产生的浮油、浮渣和污泥</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不包括废水生化处理污泥</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”，废物代码为</w:t>
            </w:r>
            <w:r>
              <w:rPr>
                <w:rFonts w:hint="default" w:ascii="Times New Roman" w:hAnsi="Times New Roman" w:eastAsia="宋体" w:cs="Times New Roman"/>
                <w:b w:val="0"/>
                <w:bCs w:val="0"/>
                <w:color w:val="auto"/>
                <w:spacing w:val="0"/>
                <w:position w:val="0"/>
                <w:sz w:val="24"/>
                <w:szCs w:val="24"/>
                <w:highlight w:val="none"/>
                <w:u w:val="none"/>
                <w:lang w:val="en-US" w:eastAsia="zh-CN"/>
              </w:rPr>
              <w:t>900-2</w:t>
            </w:r>
            <w:r>
              <w:rPr>
                <w:rFonts w:hint="eastAsia" w:ascii="Times New Roman" w:hAnsi="Times New Roman" w:eastAsia="宋体" w:cs="Times New Roman"/>
                <w:b w:val="0"/>
                <w:bCs w:val="0"/>
                <w:color w:val="auto"/>
                <w:spacing w:val="0"/>
                <w:position w:val="0"/>
                <w:sz w:val="24"/>
                <w:szCs w:val="24"/>
                <w:highlight w:val="none"/>
                <w:u w:val="none"/>
                <w:lang w:val="en-US" w:eastAsia="zh-CN"/>
              </w:rPr>
              <w:t>10</w:t>
            </w:r>
            <w:r>
              <w:rPr>
                <w:rFonts w:hint="default" w:ascii="Times New Roman" w:hAnsi="Times New Roman" w:eastAsia="宋体" w:cs="Times New Roman"/>
                <w:b w:val="0"/>
                <w:bCs w:val="0"/>
                <w:color w:val="auto"/>
                <w:spacing w:val="0"/>
                <w:position w:val="0"/>
                <w:sz w:val="24"/>
                <w:szCs w:val="24"/>
                <w:highlight w:val="none"/>
                <w:u w:val="none"/>
                <w:lang w:val="en-US" w:eastAsia="zh-CN"/>
              </w:rPr>
              <w:t>-08</w:t>
            </w:r>
            <w:r>
              <w:rPr>
                <w:rFonts w:hint="eastAsia" w:ascii="Times New Roman" w:hAnsi="Times New Roman" w:eastAsia="宋体" w:cs="Times New Roman"/>
                <w:b w:val="0"/>
                <w:bCs w:val="0"/>
                <w:color w:val="auto"/>
                <w:spacing w:val="0"/>
                <w:position w:val="0"/>
                <w:sz w:val="24"/>
                <w:szCs w:val="24"/>
                <w:highlight w:val="none"/>
                <w:u w:val="none"/>
                <w:lang w:val="en-US" w:eastAsia="zh-CN"/>
              </w:rPr>
              <w:t>，打捞上来后用专用容器收集，暂存于危险废物贮存间，定期交由委托有危废资质的单位回收处理，产生量约</w:t>
            </w:r>
            <w:r>
              <w:rPr>
                <w:rFonts w:hint="default" w:ascii="Times New Roman" w:hAnsi="Times New Roman" w:eastAsia="宋体" w:cs="Times New Roman"/>
                <w:b w:val="0"/>
                <w:bCs w:val="0"/>
                <w:color w:val="auto"/>
                <w:spacing w:val="0"/>
                <w:position w:val="0"/>
                <w:sz w:val="24"/>
                <w:szCs w:val="24"/>
                <w:highlight w:val="none"/>
                <w:u w:val="none"/>
                <w:lang w:val="en-US" w:eastAsia="zh-CN"/>
              </w:rPr>
              <w:t>0.2t/a</w:t>
            </w:r>
            <w:r>
              <w:rPr>
                <w:rFonts w:hint="eastAsia" w:ascii="Times New Roman" w:hAnsi="Times New Roman" w:eastAsia="宋体" w:cs="Times New Roman"/>
                <w:b w:val="0"/>
                <w:bCs w:val="0"/>
                <w:color w:val="auto"/>
                <w:spacing w:val="0"/>
                <w:position w:val="0"/>
                <w:sz w:val="24"/>
                <w:szCs w:val="24"/>
                <w:highlight w:val="none"/>
                <w:u w:val="none"/>
                <w:lang w:val="en-US" w:eastAsia="zh-CN"/>
              </w:rPr>
              <w:t>。</w:t>
            </w:r>
          </w:p>
          <w:p w14:paraId="15F8C7E5">
            <w:pPr>
              <w:pStyle w:val="46"/>
              <w:ind w:firstLine="480"/>
              <w:rPr>
                <w:rFonts w:hint="default" w:eastAsia="宋体"/>
                <w:color w:val="auto"/>
                <w:highlight w:val="none"/>
                <w:lang w:val="en-US" w:eastAsia="zh-CN"/>
              </w:rPr>
            </w:pPr>
            <w:r>
              <w:rPr>
                <w:rFonts w:hint="eastAsia" w:ascii="微软雅黑" w:hAnsi="微软雅黑" w:eastAsia="微软雅黑" w:cs="微软雅黑"/>
                <w:b w:val="0"/>
                <w:bCs w:val="0"/>
                <w:color w:val="auto"/>
                <w:spacing w:val="0"/>
                <w:position w:val="0"/>
                <w:sz w:val="24"/>
                <w:szCs w:val="24"/>
                <w:highlight w:val="none"/>
                <w:u w:val="none"/>
                <w:lang w:val="en-US" w:eastAsia="zh-CN"/>
              </w:rPr>
              <w:t>⑫</w:t>
            </w:r>
            <w:r>
              <w:rPr>
                <w:rFonts w:hint="eastAsia"/>
                <w:color w:val="auto"/>
                <w:highlight w:val="none"/>
                <w:lang w:val="en-US" w:eastAsia="zh-CN"/>
              </w:rPr>
              <w:t>废漆渣</w:t>
            </w:r>
          </w:p>
          <w:p w14:paraId="3945ACCD">
            <w:pPr>
              <w:pStyle w:val="46"/>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本项目喷漆作业中会产生漆渣，根据前文废气污染源强核算可知，预计漆渣产生量约为</w:t>
            </w:r>
            <w:r>
              <w:rPr>
                <w:rFonts w:hint="eastAsia"/>
                <w:color w:val="000000" w:themeColor="text1"/>
                <w:highlight w:val="none"/>
                <w:lang w:val="en-US" w:eastAsia="zh-CN"/>
                <w14:textFill>
                  <w14:solidFill>
                    <w14:schemeClr w14:val="tx1"/>
                  </w14:solidFill>
                </w14:textFill>
              </w:rPr>
              <w:t>1.6524‬</w:t>
            </w:r>
            <w:r>
              <w:rPr>
                <w:rFonts w:hint="eastAsia"/>
                <w:color w:val="000000" w:themeColor="text1"/>
                <w:highlight w:val="none"/>
                <w14:textFill>
                  <w14:solidFill>
                    <w14:schemeClr w14:val="tx1"/>
                  </w14:solidFill>
                </w14:textFill>
              </w:rPr>
              <w:t>t/a，本项目涉及</w:t>
            </w:r>
            <w:r>
              <w:rPr>
                <w:rFonts w:hint="eastAsia"/>
                <w:color w:val="000000" w:themeColor="text1"/>
                <w:highlight w:val="none"/>
                <w:lang w:val="en-US" w:eastAsia="zh-CN"/>
                <w14:textFill>
                  <w14:solidFill>
                    <w14:schemeClr w14:val="tx1"/>
                  </w14:solidFill>
                </w14:textFill>
              </w:rPr>
              <w:t>水性环氧酯涂料</w:t>
            </w:r>
            <w:r>
              <w:rPr>
                <w:rFonts w:hint="eastAsia"/>
                <w:color w:val="000000" w:themeColor="text1"/>
                <w:highlight w:val="none"/>
                <w14:textFill>
                  <w14:solidFill>
                    <w14:schemeClr w14:val="tx1"/>
                  </w14:solidFill>
                </w14:textFill>
              </w:rPr>
              <w:t>，但由于建设单位未对</w:t>
            </w:r>
            <w:r>
              <w:rPr>
                <w:rFonts w:hint="eastAsia"/>
                <w:color w:val="000000" w:themeColor="text1"/>
                <w:highlight w:val="none"/>
                <w:lang w:val="en-US" w:eastAsia="zh-CN"/>
                <w14:textFill>
                  <w14:solidFill>
                    <w14:schemeClr w14:val="tx1"/>
                  </w14:solidFill>
                </w14:textFill>
              </w:rPr>
              <w:t>水性环氧酯涂料</w:t>
            </w:r>
            <w:r>
              <w:rPr>
                <w:rFonts w:hint="eastAsia"/>
                <w:color w:val="000000" w:themeColor="text1"/>
                <w:highlight w:val="none"/>
                <w14:textFill>
                  <w14:solidFill>
                    <w14:schemeClr w14:val="tx1"/>
                  </w14:solidFill>
                </w14:textFill>
              </w:rPr>
              <w:t>漆渣进行危废鉴定，因此，本评价将漆渣全部按危险废物处置。</w:t>
            </w:r>
          </w:p>
          <w:p w14:paraId="5A8E4D09">
            <w:pPr>
              <w:pStyle w:val="46"/>
              <w:ind w:firstLine="480"/>
              <w:rPr>
                <w:rFonts w:hint="eastAsia"/>
                <w:color w:val="auto"/>
                <w:highlight w:val="none"/>
                <w:lang w:val="en-US" w:eastAsia="zh-CN"/>
              </w:rPr>
            </w:pPr>
            <w:r>
              <w:rPr>
                <w:rFonts w:hint="eastAsia" w:ascii="微软雅黑" w:hAnsi="微软雅黑" w:eastAsia="微软雅黑" w:cs="微软雅黑"/>
                <w:color w:val="auto"/>
                <w:highlight w:val="none"/>
                <w:lang w:val="en-US" w:eastAsia="zh-CN"/>
              </w:rPr>
              <w:t>⑬</w:t>
            </w:r>
            <w:r>
              <w:rPr>
                <w:rFonts w:hint="eastAsia"/>
                <w:color w:val="auto"/>
                <w:highlight w:val="none"/>
                <w:lang w:val="en-US" w:eastAsia="zh-CN"/>
              </w:rPr>
              <w:t>废槽液</w:t>
            </w:r>
          </w:p>
          <w:p w14:paraId="7058B1B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微软雅黑" w:hAnsi="微软雅黑" w:eastAsia="微软雅黑" w:cs="微软雅黑"/>
                <w:color w:val="auto"/>
                <w:highlight w:val="none"/>
                <w:lang w:val="en-US" w:eastAsia="zh-CN"/>
              </w:rPr>
            </w:pPr>
            <w:r>
              <w:rPr>
                <w:rFonts w:hint="eastAsia" w:ascii="Times New Roman" w:hAnsi="Times New Roman" w:eastAsia="宋体" w:cs="Times New Roman"/>
                <w:b w:val="0"/>
                <w:bCs w:val="0"/>
                <w:color w:val="auto"/>
                <w:spacing w:val="0"/>
                <w:position w:val="0"/>
                <w:sz w:val="24"/>
                <w:szCs w:val="24"/>
                <w:highlight w:val="none"/>
                <w:u w:val="none"/>
                <w:lang w:val="en-US" w:eastAsia="zh-CN"/>
              </w:rPr>
              <w:t>本项目脱脂槽、电泳槽等槽液日常循环使用，定期捞渣，脱脂槽设有油水分离装置，电泳槽设有超滤系统，以延长各槽液的使用寿命。但槽液循环使用一段时间后仍需排放，按2年更换1次槽液计算，废槽液总产生量为各槽容积之和除以更换周期，即（39.60+13.20+25.92+26.40+36.30+23.76+26.40+39.60+60.48+21.60+19.44）/2=166.35/2=83.18t/a。该废槽液属于《国家危险废物名录》（2025年版）</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HW17表面处理废物</w:t>
            </w:r>
            <w:r>
              <w:rPr>
                <w:rFonts w:hint="eastAsia" w:cs="Times New Roman"/>
                <w:b w:val="0"/>
                <w:bCs w:val="0"/>
                <w:color w:val="auto"/>
                <w:spacing w:val="0"/>
                <w:position w:val="0"/>
                <w:sz w:val="24"/>
                <w:szCs w:val="24"/>
                <w:highlight w:val="none"/>
                <w:u w:val="none"/>
                <w:lang w:val="en-US" w:eastAsia="zh-CN"/>
              </w:rPr>
              <w:t>”</w:t>
            </w:r>
            <w:r>
              <w:rPr>
                <w:rFonts w:hint="eastAsia" w:ascii="Times New Roman" w:hAnsi="Times New Roman" w:eastAsia="宋体" w:cs="Times New Roman"/>
                <w:b w:val="0"/>
                <w:bCs w:val="0"/>
                <w:color w:val="auto"/>
                <w:spacing w:val="0"/>
                <w:position w:val="0"/>
                <w:sz w:val="24"/>
                <w:szCs w:val="24"/>
                <w:highlight w:val="none"/>
                <w:u w:val="none"/>
                <w:lang w:val="en-US" w:eastAsia="zh-CN"/>
              </w:rPr>
              <w:t>：金属或者塑料表面酸（碱）洗、除油、除锈（不包括喷砂除锈）、洗涤、磷化、出光、化抛工艺产生的废腐蚀液、废洗涤液、废槽液、槽渣和废水处理污泥，废物代码为336-064-17。废槽液每2年更换一次，更换时联系危险废物运输公司到厂区内转运处置，不在厂区内贮存。</w:t>
            </w:r>
          </w:p>
          <w:p w14:paraId="58F2D3B4">
            <w:pPr>
              <w:pStyle w:val="46"/>
              <w:ind w:firstLine="480"/>
              <w:rPr>
                <w:rFonts w:hint="eastAsia"/>
                <w:color w:val="auto"/>
                <w:highlight w:val="none"/>
              </w:rPr>
            </w:pPr>
            <w:r>
              <w:rPr>
                <w:color w:val="auto"/>
                <w:highlight w:val="none"/>
              </w:rPr>
              <w:t>本项目</w:t>
            </w:r>
            <w:r>
              <w:rPr>
                <w:rFonts w:hint="eastAsia"/>
                <w:color w:val="auto"/>
                <w:highlight w:val="none"/>
                <w:lang w:val="en-US" w:eastAsia="zh-CN"/>
              </w:rPr>
              <w:t>一般</w:t>
            </w:r>
            <w:r>
              <w:rPr>
                <w:color w:val="auto"/>
                <w:highlight w:val="none"/>
              </w:rPr>
              <w:t>固废</w:t>
            </w:r>
            <w:r>
              <w:rPr>
                <w:rFonts w:hint="eastAsia"/>
                <w:color w:val="auto"/>
                <w:highlight w:val="none"/>
                <w:lang w:val="en-US" w:eastAsia="zh-CN"/>
              </w:rPr>
              <w:t>与危险固废</w:t>
            </w:r>
            <w:r>
              <w:rPr>
                <w:color w:val="auto"/>
                <w:highlight w:val="none"/>
              </w:rPr>
              <w:t>产生情况及处置见</w:t>
            </w:r>
            <w:r>
              <w:rPr>
                <w:rFonts w:hint="eastAsia"/>
                <w:color w:val="auto"/>
                <w:highlight w:val="none"/>
              </w:rPr>
              <w:t>下表</w:t>
            </w:r>
            <w:r>
              <w:rPr>
                <w:rFonts w:hint="eastAsia"/>
                <w:color w:val="auto"/>
                <w:highlight w:val="none"/>
                <w:lang w:val="en-US" w:eastAsia="zh-CN"/>
              </w:rPr>
              <w:t>4.5-1与表4.5-2</w:t>
            </w:r>
            <w:r>
              <w:rPr>
                <w:rFonts w:hint="eastAsia"/>
                <w:color w:val="auto"/>
                <w:highlight w:val="none"/>
              </w:rPr>
              <w:t>。</w:t>
            </w:r>
            <w:bookmarkStart w:id="55" w:name="_Ref31352"/>
            <w:bookmarkStart w:id="56" w:name="_Ref28204"/>
            <w:bookmarkStart w:id="57" w:name="OLE_LINK22"/>
            <w:bookmarkStart w:id="58" w:name="OLE_LINK21"/>
          </w:p>
          <w:p w14:paraId="4F6D08AB">
            <w:pPr>
              <w:pStyle w:val="44"/>
              <w:keepNext/>
              <w:keepLines/>
              <w:pageBreakBefore w:val="0"/>
              <w:widowControl w:val="0"/>
              <w:numPr>
                <w:ilvl w:val="7"/>
                <w:numId w:val="17"/>
              </w:numPr>
              <w:tabs>
                <w:tab w:val="left" w:pos="0"/>
              </w:tabs>
              <w:kinsoku/>
              <w:wordWrap/>
              <w:overflowPunct/>
              <w:topLinePunct w:val="0"/>
              <w:autoSpaceDE/>
              <w:autoSpaceDN/>
              <w:bidi w:val="0"/>
              <w:adjustRightInd/>
              <w:snapToGrid/>
              <w:spacing w:before="157" w:beforeLines="50" w:after="0"/>
              <w:ind w:left="630" w:lef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一般</w:t>
            </w:r>
            <w:r>
              <w:rPr>
                <w:rFonts w:hint="eastAsia" w:ascii="Times New Roman" w:hAnsi="Times New Roman" w:eastAsia="宋体" w:cs="Times New Roman"/>
                <w:color w:val="auto"/>
                <w:highlight w:val="none"/>
                <w:lang w:val="en-US" w:eastAsia="zh-CN"/>
              </w:rPr>
              <w:t>固废产生情况及处置一览</w:t>
            </w:r>
            <w:bookmarkEnd w:id="55"/>
            <w:bookmarkEnd w:id="56"/>
            <w:r>
              <w:rPr>
                <w:rFonts w:hint="eastAsia" w:ascii="Times New Roman" w:hAnsi="Times New Roman" w:eastAsia="宋体" w:cs="Times New Roman"/>
                <w:color w:val="auto"/>
                <w:highlight w:val="none"/>
                <w:lang w:val="en-US" w:eastAsia="zh-CN"/>
              </w:rPr>
              <w:t>表</w:t>
            </w:r>
          </w:p>
          <w:tbl>
            <w:tblPr>
              <w:tblStyle w:val="3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5"/>
              <w:gridCol w:w="1235"/>
              <w:gridCol w:w="1317"/>
              <w:gridCol w:w="748"/>
              <w:gridCol w:w="944"/>
              <w:gridCol w:w="587"/>
              <w:gridCol w:w="718"/>
              <w:gridCol w:w="657"/>
              <w:gridCol w:w="669"/>
              <w:gridCol w:w="1446"/>
            </w:tblGrid>
            <w:tr w14:paraId="5A495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5" w:type="pct"/>
                  <w:tcBorders>
                    <w:bottom w:val="single" w:color="auto" w:sz="12" w:space="0"/>
                  </w:tcBorders>
                  <w:vAlign w:val="center"/>
                </w:tcPr>
                <w:p w14:paraId="1EF04E62">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序号</w:t>
                  </w:r>
                </w:p>
              </w:tc>
              <w:tc>
                <w:tcPr>
                  <w:tcW w:w="707" w:type="pct"/>
                  <w:tcBorders>
                    <w:bottom w:val="single" w:color="auto" w:sz="12" w:space="0"/>
                  </w:tcBorders>
                  <w:vAlign w:val="center"/>
                </w:tcPr>
                <w:p w14:paraId="741BE800">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固废名称</w:t>
                  </w:r>
                </w:p>
              </w:tc>
              <w:tc>
                <w:tcPr>
                  <w:tcW w:w="737" w:type="pct"/>
                  <w:tcBorders>
                    <w:bottom w:val="single" w:color="auto" w:sz="12" w:space="0"/>
                  </w:tcBorders>
                  <w:vAlign w:val="center"/>
                </w:tcPr>
                <w:p w14:paraId="24C52493">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类别编号</w:t>
                  </w:r>
                </w:p>
              </w:tc>
              <w:tc>
                <w:tcPr>
                  <w:tcW w:w="430" w:type="pct"/>
                  <w:tcBorders>
                    <w:bottom w:val="single" w:color="auto" w:sz="12" w:space="0"/>
                  </w:tcBorders>
                  <w:vAlign w:val="center"/>
                </w:tcPr>
                <w:p w14:paraId="1AE71946">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产生量</w:t>
                  </w:r>
                  <w:r>
                    <w:rPr>
                      <w:rFonts w:hint="eastAsia"/>
                      <w:b w:val="0"/>
                      <w:bCs w:val="0"/>
                      <w:color w:val="auto"/>
                      <w:sz w:val="21"/>
                      <w:szCs w:val="21"/>
                      <w:highlight w:val="none"/>
                      <w:lang w:eastAsia="zh-CN"/>
                    </w:rPr>
                    <w:t>（</w:t>
                  </w:r>
                  <w:r>
                    <w:rPr>
                      <w:rFonts w:ascii="Times New Roman" w:hAnsi="Times New Roman" w:eastAsia="宋体"/>
                      <w:b w:val="0"/>
                      <w:bCs w:val="0"/>
                      <w:color w:val="auto"/>
                      <w:sz w:val="21"/>
                      <w:szCs w:val="21"/>
                      <w:highlight w:val="none"/>
                    </w:rPr>
                    <w:t>t/a</w:t>
                  </w:r>
                  <w:r>
                    <w:rPr>
                      <w:rFonts w:hint="eastAsia"/>
                      <w:b w:val="0"/>
                      <w:bCs w:val="0"/>
                      <w:color w:val="auto"/>
                      <w:sz w:val="21"/>
                      <w:szCs w:val="21"/>
                      <w:highlight w:val="none"/>
                      <w:lang w:eastAsia="zh-CN"/>
                    </w:rPr>
                    <w:t>）</w:t>
                  </w:r>
                </w:p>
              </w:tc>
              <w:tc>
                <w:tcPr>
                  <w:tcW w:w="541" w:type="pct"/>
                  <w:tcBorders>
                    <w:bottom w:val="single" w:color="auto" w:sz="12" w:space="0"/>
                  </w:tcBorders>
                  <w:vAlign w:val="center"/>
                </w:tcPr>
                <w:p w14:paraId="1767D14E">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产生工序及装置</w:t>
                  </w:r>
                </w:p>
              </w:tc>
              <w:tc>
                <w:tcPr>
                  <w:tcW w:w="337" w:type="pct"/>
                  <w:tcBorders>
                    <w:bottom w:val="single" w:color="auto" w:sz="12" w:space="0"/>
                  </w:tcBorders>
                  <w:vAlign w:val="center"/>
                </w:tcPr>
                <w:p w14:paraId="54D77ED0">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形态</w:t>
                  </w:r>
                </w:p>
              </w:tc>
              <w:tc>
                <w:tcPr>
                  <w:tcW w:w="412" w:type="pct"/>
                  <w:tcBorders>
                    <w:bottom w:val="single" w:color="auto" w:sz="12" w:space="0"/>
                  </w:tcBorders>
                  <w:vAlign w:val="center"/>
                </w:tcPr>
                <w:p w14:paraId="5058AE8E">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主要成分</w:t>
                  </w:r>
                </w:p>
              </w:tc>
              <w:tc>
                <w:tcPr>
                  <w:tcW w:w="377" w:type="pct"/>
                  <w:tcBorders>
                    <w:bottom w:val="single" w:color="auto" w:sz="12" w:space="0"/>
                  </w:tcBorders>
                  <w:vAlign w:val="center"/>
                </w:tcPr>
                <w:p w14:paraId="7B6E79DE">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有害成分</w:t>
                  </w:r>
                </w:p>
              </w:tc>
              <w:tc>
                <w:tcPr>
                  <w:tcW w:w="384" w:type="pct"/>
                  <w:tcBorders>
                    <w:bottom w:val="single" w:color="auto" w:sz="12" w:space="0"/>
                  </w:tcBorders>
                  <w:vAlign w:val="center"/>
                </w:tcPr>
                <w:p w14:paraId="0AF28E59">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产废规律</w:t>
                  </w:r>
                </w:p>
              </w:tc>
              <w:tc>
                <w:tcPr>
                  <w:tcW w:w="826" w:type="pct"/>
                  <w:tcBorders>
                    <w:bottom w:val="single" w:color="auto" w:sz="12" w:space="0"/>
                  </w:tcBorders>
                  <w:vAlign w:val="center"/>
                </w:tcPr>
                <w:p w14:paraId="713D2CEC">
                  <w:pPr>
                    <w:pStyle w:val="48"/>
                    <w:tabs>
                      <w:tab w:val="left" w:pos="0"/>
                    </w:tabs>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处置去向</w:t>
                  </w:r>
                </w:p>
              </w:tc>
            </w:tr>
            <w:tr w14:paraId="5E58A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3" w:hRule="atLeast"/>
              </w:trPr>
              <w:tc>
                <w:tcPr>
                  <w:tcW w:w="245" w:type="pct"/>
                  <w:tcBorders>
                    <w:top w:val="single" w:color="auto" w:sz="12" w:space="0"/>
                    <w:tl2br w:val="nil"/>
                    <w:tr2bl w:val="nil"/>
                  </w:tcBorders>
                  <w:shd w:val="clear" w:color="auto" w:fill="auto"/>
                  <w:vAlign w:val="center"/>
                </w:tcPr>
                <w:p w14:paraId="3C8C8903">
                  <w:pPr>
                    <w:pStyle w:val="48"/>
                    <w:tabs>
                      <w:tab w:val="left" w:pos="0"/>
                    </w:tabs>
                    <w:ind w:left="0" w:leftChars="0" w:firstLine="0" w:firstLineChars="0"/>
                    <w:jc w:val="center"/>
                    <w:rPr>
                      <w:rFonts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1</w:t>
                  </w:r>
                </w:p>
              </w:tc>
              <w:tc>
                <w:tcPr>
                  <w:tcW w:w="707" w:type="pct"/>
                  <w:tcBorders>
                    <w:top w:val="single" w:color="auto" w:sz="12" w:space="0"/>
                    <w:tl2br w:val="nil"/>
                    <w:tr2bl w:val="nil"/>
                  </w:tcBorders>
                  <w:shd w:val="clear" w:color="auto" w:fill="auto"/>
                  <w:vAlign w:val="center"/>
                </w:tcPr>
                <w:p w14:paraId="646D5C35">
                  <w:pPr>
                    <w:pStyle w:val="48"/>
                    <w:tabs>
                      <w:tab w:val="left" w:pos="0"/>
                    </w:tabs>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废包装材料</w:t>
                  </w:r>
                </w:p>
              </w:tc>
              <w:tc>
                <w:tcPr>
                  <w:tcW w:w="737" w:type="pct"/>
                  <w:tcBorders>
                    <w:top w:val="single" w:color="auto" w:sz="12" w:space="0"/>
                    <w:tl2br w:val="nil"/>
                    <w:tr2bl w:val="nil"/>
                  </w:tcBorders>
                  <w:shd w:val="clear" w:color="auto" w:fill="auto"/>
                  <w:vAlign w:val="center"/>
                </w:tcPr>
                <w:p w14:paraId="43CEF637">
                  <w:pPr>
                    <w:pStyle w:val="48"/>
                    <w:tabs>
                      <w:tab w:val="left" w:pos="0"/>
                    </w:tabs>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900-003-S17、900-005-S17</w:t>
                  </w:r>
                </w:p>
              </w:tc>
              <w:tc>
                <w:tcPr>
                  <w:tcW w:w="430" w:type="pct"/>
                  <w:tcBorders>
                    <w:top w:val="single" w:color="auto" w:sz="12" w:space="0"/>
                    <w:tl2br w:val="nil"/>
                    <w:tr2bl w:val="nil"/>
                  </w:tcBorders>
                  <w:shd w:val="clear" w:color="auto" w:fill="auto"/>
                  <w:vAlign w:val="center"/>
                </w:tcPr>
                <w:p w14:paraId="2E1A97D0">
                  <w:pPr>
                    <w:pStyle w:val="48"/>
                    <w:tabs>
                      <w:tab w:val="left" w:pos="0"/>
                    </w:tabs>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0.9</w:t>
                  </w:r>
                </w:p>
              </w:tc>
              <w:tc>
                <w:tcPr>
                  <w:tcW w:w="541" w:type="pct"/>
                  <w:tcBorders>
                    <w:top w:val="single" w:color="auto" w:sz="12" w:space="0"/>
                    <w:tl2br w:val="nil"/>
                    <w:tr2bl w:val="nil"/>
                  </w:tcBorders>
                  <w:shd w:val="clear" w:color="auto" w:fill="auto"/>
                  <w:vAlign w:val="center"/>
                </w:tcPr>
                <w:p w14:paraId="12BB4F41">
                  <w:pPr>
                    <w:pStyle w:val="48"/>
                    <w:tabs>
                      <w:tab w:val="left" w:pos="0"/>
                    </w:tabs>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包装</w:t>
                  </w:r>
                </w:p>
              </w:tc>
              <w:tc>
                <w:tcPr>
                  <w:tcW w:w="337" w:type="pct"/>
                  <w:tcBorders>
                    <w:top w:val="single" w:color="auto" w:sz="12" w:space="0"/>
                    <w:tl2br w:val="nil"/>
                    <w:tr2bl w:val="nil"/>
                  </w:tcBorders>
                  <w:shd w:val="clear" w:color="auto" w:fill="auto"/>
                  <w:vAlign w:val="center"/>
                </w:tcPr>
                <w:p w14:paraId="40E8C582">
                  <w:pPr>
                    <w:pStyle w:val="48"/>
                    <w:tabs>
                      <w:tab w:val="left" w:pos="0"/>
                    </w:tabs>
                    <w:ind w:left="0" w:leftChars="0" w:firstLine="0" w:firstLineChars="0"/>
                    <w:jc w:val="center"/>
                    <w:rPr>
                      <w:rFonts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固态</w:t>
                  </w:r>
                </w:p>
              </w:tc>
              <w:tc>
                <w:tcPr>
                  <w:tcW w:w="412" w:type="pct"/>
                  <w:tcBorders>
                    <w:top w:val="single" w:color="auto" w:sz="12" w:space="0"/>
                    <w:tl2br w:val="nil"/>
                    <w:tr2bl w:val="nil"/>
                  </w:tcBorders>
                  <w:shd w:val="clear" w:color="auto" w:fill="auto"/>
                  <w:vAlign w:val="center"/>
                </w:tcPr>
                <w:p w14:paraId="6AE33EF9">
                  <w:pPr>
                    <w:pStyle w:val="48"/>
                    <w:tabs>
                      <w:tab w:val="left" w:pos="0"/>
                    </w:tabs>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纸板、塑料</w:t>
                  </w:r>
                </w:p>
              </w:tc>
              <w:tc>
                <w:tcPr>
                  <w:tcW w:w="377" w:type="pct"/>
                  <w:tcBorders>
                    <w:top w:val="single" w:color="auto" w:sz="12" w:space="0"/>
                    <w:tl2br w:val="nil"/>
                    <w:tr2bl w:val="nil"/>
                  </w:tcBorders>
                  <w:shd w:val="clear" w:color="auto" w:fill="auto"/>
                  <w:vAlign w:val="center"/>
                </w:tcPr>
                <w:p w14:paraId="1A5A21CA">
                  <w:pPr>
                    <w:pStyle w:val="48"/>
                    <w:tabs>
                      <w:tab w:val="left" w:pos="0"/>
                    </w:tabs>
                    <w:ind w:left="0" w:leftChars="0" w:firstLine="0" w:firstLineChars="0"/>
                    <w:rPr>
                      <w:rFonts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w:t>
                  </w:r>
                </w:p>
              </w:tc>
              <w:tc>
                <w:tcPr>
                  <w:tcW w:w="384" w:type="pct"/>
                  <w:tcBorders>
                    <w:top w:val="single" w:color="auto" w:sz="12" w:space="0"/>
                    <w:tl2br w:val="nil"/>
                    <w:tr2bl w:val="nil"/>
                  </w:tcBorders>
                  <w:shd w:val="clear" w:color="auto" w:fill="auto"/>
                  <w:vAlign w:val="center"/>
                </w:tcPr>
                <w:p w14:paraId="00C97423">
                  <w:pPr>
                    <w:pStyle w:val="48"/>
                    <w:tabs>
                      <w:tab w:val="left" w:pos="0"/>
                    </w:tabs>
                    <w:ind w:left="0" w:leftChars="0" w:firstLine="0" w:firstLineChars="0"/>
                    <w:rPr>
                      <w:rFonts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rPr>
                    <w:t>间歇</w:t>
                  </w:r>
                </w:p>
              </w:tc>
              <w:tc>
                <w:tcPr>
                  <w:tcW w:w="826" w:type="pct"/>
                  <w:vMerge w:val="restart"/>
                  <w:tcBorders>
                    <w:top w:val="single" w:color="auto" w:sz="12" w:space="0"/>
                    <w:tl2br w:val="nil"/>
                    <w:tr2bl w:val="nil"/>
                  </w:tcBorders>
                  <w:vAlign w:val="center"/>
                </w:tcPr>
                <w:p w14:paraId="6984EB7A">
                  <w:pPr>
                    <w:pStyle w:val="48"/>
                    <w:tabs>
                      <w:tab w:val="left" w:pos="0"/>
                    </w:tabs>
                    <w:rPr>
                      <w:rFonts w:hint="eastAsia" w:ascii="Times New Roman" w:hAnsi="Times New Roman" w:eastAsia="宋体"/>
                      <w:b w:val="0"/>
                      <w:bCs w:val="0"/>
                      <w:color w:val="auto"/>
                      <w:sz w:val="21"/>
                      <w:szCs w:val="21"/>
                      <w:highlight w:val="none"/>
                      <w:lang w:val="en-US" w:eastAsia="zh-CN"/>
                    </w:rPr>
                  </w:pPr>
                  <w:r>
                    <w:rPr>
                      <w:rFonts w:ascii="Times New Roman" w:hAnsi="Times New Roman" w:eastAsia="宋体"/>
                      <w:b w:val="0"/>
                      <w:bCs w:val="0"/>
                      <w:color w:val="auto"/>
                      <w:sz w:val="21"/>
                      <w:szCs w:val="21"/>
                      <w:highlight w:val="none"/>
                    </w:rPr>
                    <w:t>外售相关回收单</w:t>
                  </w:r>
                  <w:r>
                    <w:rPr>
                      <w:rFonts w:hint="eastAsia"/>
                      <w:b w:val="0"/>
                      <w:bCs w:val="0"/>
                      <w:color w:val="auto"/>
                      <w:sz w:val="21"/>
                      <w:szCs w:val="21"/>
                      <w:highlight w:val="none"/>
                      <w:lang w:val="en-US" w:eastAsia="zh-CN"/>
                    </w:rPr>
                    <w:t>位</w:t>
                  </w:r>
                </w:p>
              </w:tc>
            </w:tr>
            <w:tr w14:paraId="3D437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5" w:type="pct"/>
                  <w:tcBorders>
                    <w:tl2br w:val="nil"/>
                    <w:tr2bl w:val="nil"/>
                  </w:tcBorders>
                  <w:shd w:val="clear" w:color="auto" w:fill="auto"/>
                  <w:vAlign w:val="center"/>
                </w:tcPr>
                <w:p w14:paraId="11E12670">
                  <w:pPr>
                    <w:pStyle w:val="48"/>
                    <w:tabs>
                      <w:tab w:val="left" w:pos="0"/>
                    </w:tabs>
                    <w:ind w:left="0" w:leftChars="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rPr>
                    <w:t>2</w:t>
                  </w:r>
                </w:p>
              </w:tc>
              <w:tc>
                <w:tcPr>
                  <w:tcW w:w="707" w:type="pct"/>
                  <w:tcBorders>
                    <w:tl2br w:val="nil"/>
                    <w:tr2bl w:val="nil"/>
                  </w:tcBorders>
                  <w:vAlign w:val="center"/>
                </w:tcPr>
                <w:p w14:paraId="57D4EE44">
                  <w:pPr>
                    <w:pStyle w:val="48"/>
                    <w:tabs>
                      <w:tab w:val="left" w:pos="0"/>
                    </w:tabs>
                    <w:jc w:val="center"/>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cs="Times New Roman"/>
                      <w:color w:val="auto"/>
                      <w:sz w:val="21"/>
                      <w:highlight w:val="none"/>
                      <w:lang w:val="en-US" w:eastAsia="zh-CN"/>
                    </w:rPr>
                    <w:t>废金属料</w:t>
                  </w:r>
                </w:p>
              </w:tc>
              <w:tc>
                <w:tcPr>
                  <w:tcW w:w="737" w:type="pct"/>
                  <w:tcBorders>
                    <w:tl2br w:val="nil"/>
                    <w:tr2bl w:val="nil"/>
                  </w:tcBorders>
                  <w:vAlign w:val="center"/>
                </w:tcPr>
                <w:p w14:paraId="07E6CE5F">
                  <w:pPr>
                    <w:pStyle w:val="48"/>
                    <w:tabs>
                      <w:tab w:val="left" w:pos="0"/>
                    </w:tabs>
                    <w:ind w:left="0" w:leftChars="0" w:firstLine="0" w:firstLineChars="0"/>
                    <w:jc w:val="center"/>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900-003-62</w:t>
                  </w:r>
                </w:p>
              </w:tc>
              <w:tc>
                <w:tcPr>
                  <w:tcW w:w="430" w:type="pct"/>
                  <w:tcBorders>
                    <w:tl2br w:val="nil"/>
                    <w:tr2bl w:val="nil"/>
                  </w:tcBorders>
                  <w:vAlign w:val="center"/>
                </w:tcPr>
                <w:p w14:paraId="361FED42">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10</w:t>
                  </w:r>
                </w:p>
              </w:tc>
              <w:tc>
                <w:tcPr>
                  <w:tcW w:w="541" w:type="pct"/>
                  <w:tcBorders>
                    <w:tl2br w:val="nil"/>
                    <w:tr2bl w:val="nil"/>
                  </w:tcBorders>
                  <w:vAlign w:val="center"/>
                </w:tcPr>
                <w:p w14:paraId="48543783">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焊接</w:t>
                  </w:r>
                </w:p>
              </w:tc>
              <w:tc>
                <w:tcPr>
                  <w:tcW w:w="337" w:type="pct"/>
                  <w:tcBorders>
                    <w:tl2br w:val="nil"/>
                    <w:tr2bl w:val="nil"/>
                  </w:tcBorders>
                  <w:vAlign w:val="center"/>
                </w:tcPr>
                <w:p w14:paraId="12681597">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固态</w:t>
                  </w:r>
                </w:p>
              </w:tc>
              <w:tc>
                <w:tcPr>
                  <w:tcW w:w="412" w:type="pct"/>
                  <w:tcBorders>
                    <w:tl2br w:val="nil"/>
                    <w:tr2bl w:val="nil"/>
                  </w:tcBorders>
                  <w:vAlign w:val="center"/>
                </w:tcPr>
                <w:p w14:paraId="17CAB1E9">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铁、钢、铝</w:t>
                  </w:r>
                  <w:r>
                    <w:rPr>
                      <w:rFonts w:hint="eastAsia" w:ascii="Times New Roman" w:hAnsi="Times New Roman" w:eastAsia="宋体" w:cs="Times New Roman"/>
                      <w:b w:val="0"/>
                      <w:bCs w:val="0"/>
                      <w:color w:val="auto"/>
                      <w:kern w:val="2"/>
                      <w:sz w:val="21"/>
                      <w:szCs w:val="21"/>
                      <w:highlight w:val="none"/>
                      <w:lang w:val="en-US" w:eastAsia="zh-CN" w:bidi="ar-SA"/>
                    </w:rPr>
                    <w:t>等</w:t>
                  </w:r>
                </w:p>
              </w:tc>
              <w:tc>
                <w:tcPr>
                  <w:tcW w:w="377" w:type="pct"/>
                  <w:tcBorders>
                    <w:tl2br w:val="nil"/>
                    <w:tr2bl w:val="nil"/>
                  </w:tcBorders>
                  <w:vAlign w:val="center"/>
                </w:tcPr>
                <w:p w14:paraId="7CF7F47C">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w:t>
                  </w:r>
                </w:p>
              </w:tc>
              <w:tc>
                <w:tcPr>
                  <w:tcW w:w="384" w:type="pct"/>
                  <w:tcBorders>
                    <w:tl2br w:val="nil"/>
                    <w:tr2bl w:val="nil"/>
                  </w:tcBorders>
                  <w:vAlign w:val="center"/>
                </w:tcPr>
                <w:p w14:paraId="604F1EE8">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持续</w:t>
                  </w:r>
                </w:p>
              </w:tc>
              <w:tc>
                <w:tcPr>
                  <w:tcW w:w="826" w:type="pct"/>
                  <w:vMerge w:val="continue"/>
                  <w:tcBorders>
                    <w:tl2br w:val="nil"/>
                    <w:tr2bl w:val="nil"/>
                  </w:tcBorders>
                  <w:vAlign w:val="center"/>
                </w:tcPr>
                <w:p w14:paraId="5069EC19">
                  <w:pPr>
                    <w:pStyle w:val="48"/>
                    <w:tabs>
                      <w:tab w:val="left" w:pos="0"/>
                    </w:tabs>
                    <w:rPr>
                      <w:rFonts w:ascii="Times New Roman" w:hAnsi="Times New Roman" w:eastAsia="宋体"/>
                      <w:b w:val="0"/>
                      <w:bCs w:val="0"/>
                      <w:color w:val="auto"/>
                      <w:sz w:val="21"/>
                      <w:szCs w:val="21"/>
                      <w:highlight w:val="none"/>
                    </w:rPr>
                  </w:pPr>
                </w:p>
              </w:tc>
            </w:tr>
            <w:tr w14:paraId="37F4F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5" w:type="pct"/>
                  <w:tcBorders>
                    <w:tl2br w:val="nil"/>
                    <w:tr2bl w:val="nil"/>
                  </w:tcBorders>
                  <w:shd w:val="clear" w:color="auto" w:fill="auto"/>
                  <w:vAlign w:val="center"/>
                </w:tcPr>
                <w:p w14:paraId="5AE2F730">
                  <w:pPr>
                    <w:pStyle w:val="48"/>
                    <w:tabs>
                      <w:tab w:val="left" w:pos="0"/>
                    </w:tabs>
                    <w:ind w:left="0" w:lef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3</w:t>
                  </w:r>
                </w:p>
              </w:tc>
              <w:tc>
                <w:tcPr>
                  <w:tcW w:w="707" w:type="pct"/>
                  <w:tcBorders>
                    <w:tl2br w:val="nil"/>
                    <w:tr2bl w:val="nil"/>
                  </w:tcBorders>
                  <w:vAlign w:val="center"/>
                </w:tcPr>
                <w:p w14:paraId="3F886A10">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eastAsia="宋体"/>
                      <w:b w:val="0"/>
                      <w:bCs w:val="0"/>
                      <w:color w:val="auto"/>
                      <w:sz w:val="21"/>
                      <w:szCs w:val="21"/>
                      <w:highlight w:val="none"/>
                      <w:lang w:val="en-US" w:eastAsia="zh-CN"/>
                    </w:rPr>
                    <w:t>焊渣</w:t>
                  </w:r>
                </w:p>
              </w:tc>
              <w:tc>
                <w:tcPr>
                  <w:tcW w:w="737" w:type="pct"/>
                  <w:tcBorders>
                    <w:tl2br w:val="nil"/>
                    <w:tr2bl w:val="nil"/>
                  </w:tcBorders>
                  <w:vAlign w:val="center"/>
                </w:tcPr>
                <w:p w14:paraId="449F1771">
                  <w:pPr>
                    <w:pStyle w:val="48"/>
                    <w:tabs>
                      <w:tab w:val="left" w:pos="0"/>
                    </w:tabs>
                    <w:ind w:left="0" w:leftChars="0" w:firstLine="0" w:firstLineChars="0"/>
                    <w:jc w:val="center"/>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900-002-08</w:t>
                  </w:r>
                </w:p>
              </w:tc>
              <w:tc>
                <w:tcPr>
                  <w:tcW w:w="430" w:type="pct"/>
                  <w:tcBorders>
                    <w:tl2br w:val="nil"/>
                    <w:tr2bl w:val="nil"/>
                  </w:tcBorders>
                  <w:vAlign w:val="center"/>
                </w:tcPr>
                <w:p w14:paraId="254D22EA">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4</w:t>
                  </w:r>
                </w:p>
              </w:tc>
              <w:tc>
                <w:tcPr>
                  <w:tcW w:w="541" w:type="pct"/>
                  <w:tcBorders>
                    <w:tl2br w:val="nil"/>
                    <w:tr2bl w:val="nil"/>
                  </w:tcBorders>
                  <w:vAlign w:val="center"/>
                </w:tcPr>
                <w:p w14:paraId="47494659">
                  <w:pPr>
                    <w:pStyle w:val="48"/>
                    <w:tabs>
                      <w:tab w:val="left" w:pos="0"/>
                    </w:tabs>
                    <w:jc w:val="center"/>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lang w:val="en-US" w:eastAsia="zh-CN"/>
                    </w:rPr>
                    <w:t>焊接</w:t>
                  </w:r>
                </w:p>
              </w:tc>
              <w:tc>
                <w:tcPr>
                  <w:tcW w:w="337" w:type="pct"/>
                  <w:tcBorders>
                    <w:tl2br w:val="nil"/>
                    <w:tr2bl w:val="nil"/>
                  </w:tcBorders>
                  <w:vAlign w:val="center"/>
                </w:tcPr>
                <w:p w14:paraId="591E89FF">
                  <w:pPr>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固态</w:t>
                  </w:r>
                </w:p>
              </w:tc>
              <w:tc>
                <w:tcPr>
                  <w:tcW w:w="412" w:type="pct"/>
                  <w:tcBorders>
                    <w:tl2br w:val="nil"/>
                    <w:tr2bl w:val="nil"/>
                  </w:tcBorders>
                  <w:vAlign w:val="center"/>
                </w:tcPr>
                <w:p w14:paraId="1E0B723A">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金属氧化物</w:t>
                  </w:r>
                </w:p>
              </w:tc>
              <w:tc>
                <w:tcPr>
                  <w:tcW w:w="377" w:type="pct"/>
                  <w:tcBorders>
                    <w:tl2br w:val="nil"/>
                    <w:tr2bl w:val="nil"/>
                  </w:tcBorders>
                  <w:shd w:val="clear" w:color="auto" w:fill="auto"/>
                  <w:vAlign w:val="center"/>
                </w:tcPr>
                <w:p w14:paraId="0C7FBA55">
                  <w:pPr>
                    <w:pStyle w:val="48"/>
                    <w:tabs>
                      <w:tab w:val="left" w:pos="0"/>
                    </w:tabs>
                    <w:ind w:left="0" w:leftChars="0"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w:t>
                  </w:r>
                </w:p>
              </w:tc>
              <w:tc>
                <w:tcPr>
                  <w:tcW w:w="384" w:type="pct"/>
                  <w:tcBorders>
                    <w:tl2br w:val="nil"/>
                    <w:tr2bl w:val="nil"/>
                  </w:tcBorders>
                  <w:vAlign w:val="center"/>
                </w:tcPr>
                <w:p w14:paraId="6EED7F37">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持续</w:t>
                  </w:r>
                </w:p>
              </w:tc>
              <w:tc>
                <w:tcPr>
                  <w:tcW w:w="826" w:type="pct"/>
                  <w:vMerge w:val="continue"/>
                  <w:tcBorders>
                    <w:tl2br w:val="nil"/>
                    <w:tr2bl w:val="nil"/>
                  </w:tcBorders>
                  <w:vAlign w:val="center"/>
                </w:tcPr>
                <w:p w14:paraId="6B8B9A3E">
                  <w:pPr>
                    <w:pStyle w:val="48"/>
                    <w:tabs>
                      <w:tab w:val="left" w:pos="0"/>
                    </w:tabs>
                    <w:rPr>
                      <w:rFonts w:ascii="Times New Roman" w:hAnsi="Times New Roman" w:eastAsia="宋体"/>
                      <w:b w:val="0"/>
                      <w:bCs w:val="0"/>
                      <w:color w:val="auto"/>
                      <w:sz w:val="21"/>
                      <w:szCs w:val="21"/>
                      <w:highlight w:val="none"/>
                    </w:rPr>
                  </w:pPr>
                </w:p>
              </w:tc>
            </w:tr>
            <w:tr w14:paraId="7DC38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5" w:hRule="atLeast"/>
              </w:trPr>
              <w:tc>
                <w:tcPr>
                  <w:tcW w:w="245" w:type="pct"/>
                  <w:tcBorders>
                    <w:tl2br w:val="nil"/>
                    <w:tr2bl w:val="nil"/>
                  </w:tcBorders>
                  <w:shd w:val="clear" w:color="auto" w:fill="auto"/>
                  <w:vAlign w:val="center"/>
                </w:tcPr>
                <w:p w14:paraId="0332D09F">
                  <w:pPr>
                    <w:pStyle w:val="48"/>
                    <w:tabs>
                      <w:tab w:val="left" w:pos="0"/>
                    </w:tabs>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707" w:type="pct"/>
                  <w:tcBorders>
                    <w:tl2br w:val="nil"/>
                    <w:tr2bl w:val="nil"/>
                  </w:tcBorders>
                  <w:vAlign w:val="center"/>
                </w:tcPr>
                <w:p w14:paraId="02428C1B">
                  <w:pPr>
                    <w:pStyle w:val="48"/>
                    <w:tabs>
                      <w:tab w:val="left" w:pos="0"/>
                    </w:tabs>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废金属灰</w:t>
                  </w:r>
                </w:p>
              </w:tc>
              <w:tc>
                <w:tcPr>
                  <w:tcW w:w="737" w:type="pct"/>
                  <w:tcBorders>
                    <w:tl2br w:val="nil"/>
                    <w:tr2bl w:val="nil"/>
                  </w:tcBorders>
                  <w:vAlign w:val="center"/>
                </w:tcPr>
                <w:p w14:paraId="25DB594E">
                  <w:pPr>
                    <w:pStyle w:val="48"/>
                    <w:tabs>
                      <w:tab w:val="left" w:pos="0"/>
                    </w:tabs>
                    <w:ind w:left="0" w:leftChars="0" w:firstLine="0" w:firstLineChars="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rPr>
                    <w:t>900-004-6</w:t>
                  </w:r>
                  <w:r>
                    <w:rPr>
                      <w:rFonts w:hint="eastAsia" w:ascii="Times New Roman" w:hAnsi="Times New Roman" w:eastAsia="宋体"/>
                      <w:b w:val="0"/>
                      <w:bCs w:val="0"/>
                      <w:color w:val="auto"/>
                      <w:sz w:val="21"/>
                      <w:szCs w:val="21"/>
                      <w:highlight w:val="none"/>
                      <w:lang w:val="en-US" w:eastAsia="zh-CN"/>
                    </w:rPr>
                    <w:t>2</w:t>
                  </w:r>
                </w:p>
              </w:tc>
              <w:tc>
                <w:tcPr>
                  <w:tcW w:w="430" w:type="pct"/>
                  <w:tcBorders>
                    <w:tl2br w:val="nil"/>
                    <w:tr2bl w:val="nil"/>
                  </w:tcBorders>
                  <w:vAlign w:val="center"/>
                </w:tcPr>
                <w:p w14:paraId="27215D33">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0.35</w:t>
                  </w:r>
                </w:p>
              </w:tc>
              <w:tc>
                <w:tcPr>
                  <w:tcW w:w="541" w:type="pct"/>
                  <w:tcBorders>
                    <w:tl2br w:val="nil"/>
                    <w:tr2bl w:val="nil"/>
                  </w:tcBorders>
                  <w:vAlign w:val="center"/>
                </w:tcPr>
                <w:p w14:paraId="2E31825D">
                  <w:pPr>
                    <w:pStyle w:val="48"/>
                    <w:tabs>
                      <w:tab w:val="left" w:pos="0"/>
                    </w:tabs>
                    <w:jc w:val="center"/>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lang w:val="en-US" w:eastAsia="zh-CN"/>
                    </w:rPr>
                    <w:t>焊接</w:t>
                  </w:r>
                </w:p>
              </w:tc>
              <w:tc>
                <w:tcPr>
                  <w:tcW w:w="337" w:type="pct"/>
                  <w:tcBorders>
                    <w:tl2br w:val="nil"/>
                    <w:tr2bl w:val="nil"/>
                  </w:tcBorders>
                  <w:vAlign w:val="center"/>
                </w:tcPr>
                <w:p w14:paraId="0C9B1D52">
                  <w:pPr>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固态</w:t>
                  </w:r>
                </w:p>
              </w:tc>
              <w:tc>
                <w:tcPr>
                  <w:tcW w:w="412" w:type="pct"/>
                  <w:tcBorders>
                    <w:tl2br w:val="nil"/>
                    <w:tr2bl w:val="nil"/>
                  </w:tcBorders>
                  <w:vAlign w:val="center"/>
                </w:tcPr>
                <w:p w14:paraId="5C69E7B4">
                  <w:pPr>
                    <w:pStyle w:val="48"/>
                    <w:tabs>
                      <w:tab w:val="left" w:pos="0"/>
                    </w:tabs>
                    <w:jc w:val="center"/>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金属氧化物</w:t>
                  </w:r>
                </w:p>
              </w:tc>
              <w:tc>
                <w:tcPr>
                  <w:tcW w:w="377" w:type="pct"/>
                  <w:tcBorders>
                    <w:tl2br w:val="nil"/>
                    <w:tr2bl w:val="nil"/>
                  </w:tcBorders>
                  <w:shd w:val="clear" w:color="auto" w:fill="auto"/>
                  <w:vAlign w:val="center"/>
                </w:tcPr>
                <w:p w14:paraId="67BB4453">
                  <w:pPr>
                    <w:pStyle w:val="48"/>
                    <w:tabs>
                      <w:tab w:val="left" w:pos="0"/>
                    </w:tabs>
                    <w:ind w:left="0" w:leftChars="0" w:firstLine="0" w:firstLineChars="0"/>
                    <w:rPr>
                      <w:rFonts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eastAsia="宋体"/>
                      <w:b w:val="0"/>
                      <w:bCs w:val="0"/>
                      <w:color w:val="auto"/>
                      <w:sz w:val="21"/>
                      <w:szCs w:val="21"/>
                      <w:highlight w:val="none"/>
                    </w:rPr>
                    <w:t>/</w:t>
                  </w:r>
                </w:p>
              </w:tc>
              <w:tc>
                <w:tcPr>
                  <w:tcW w:w="384" w:type="pct"/>
                  <w:tcBorders>
                    <w:tl2br w:val="nil"/>
                    <w:tr2bl w:val="nil"/>
                  </w:tcBorders>
                  <w:vAlign w:val="center"/>
                </w:tcPr>
                <w:p w14:paraId="04D459F4">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持续</w:t>
                  </w:r>
                </w:p>
              </w:tc>
              <w:tc>
                <w:tcPr>
                  <w:tcW w:w="826" w:type="pct"/>
                  <w:vMerge w:val="continue"/>
                  <w:tcBorders>
                    <w:tl2br w:val="nil"/>
                    <w:tr2bl w:val="nil"/>
                  </w:tcBorders>
                  <w:vAlign w:val="center"/>
                </w:tcPr>
                <w:p w14:paraId="3E25B4CC">
                  <w:pPr>
                    <w:pStyle w:val="48"/>
                    <w:tabs>
                      <w:tab w:val="left" w:pos="0"/>
                    </w:tabs>
                    <w:rPr>
                      <w:rFonts w:ascii="Times New Roman" w:hAnsi="Times New Roman" w:eastAsia="宋体"/>
                      <w:b w:val="0"/>
                      <w:bCs w:val="0"/>
                      <w:color w:val="auto"/>
                      <w:sz w:val="21"/>
                      <w:szCs w:val="21"/>
                      <w:highlight w:val="none"/>
                    </w:rPr>
                  </w:pPr>
                </w:p>
              </w:tc>
            </w:tr>
            <w:tr w14:paraId="7FFA8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5" w:hRule="atLeast"/>
              </w:trPr>
              <w:tc>
                <w:tcPr>
                  <w:tcW w:w="245" w:type="pct"/>
                  <w:tcBorders>
                    <w:tl2br w:val="nil"/>
                    <w:tr2bl w:val="nil"/>
                  </w:tcBorders>
                  <w:shd w:val="clear" w:color="auto" w:fill="auto"/>
                  <w:vAlign w:val="center"/>
                </w:tcPr>
                <w:p w14:paraId="1C8CDEBD">
                  <w:pPr>
                    <w:pStyle w:val="48"/>
                    <w:tabs>
                      <w:tab w:val="left" w:pos="0"/>
                    </w:tabs>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707" w:type="pct"/>
                  <w:tcBorders>
                    <w:tl2br w:val="nil"/>
                    <w:tr2bl w:val="nil"/>
                  </w:tcBorders>
                  <w:vAlign w:val="center"/>
                </w:tcPr>
                <w:p w14:paraId="46BC9AAF">
                  <w:pPr>
                    <w:pStyle w:val="48"/>
                    <w:tabs>
                      <w:tab w:val="left" w:pos="0"/>
                    </w:tabs>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纯水制备废RO膜、废过滤材料</w:t>
                  </w:r>
                </w:p>
              </w:tc>
              <w:tc>
                <w:tcPr>
                  <w:tcW w:w="737" w:type="pct"/>
                  <w:tcBorders>
                    <w:tl2br w:val="nil"/>
                    <w:tr2bl w:val="nil"/>
                  </w:tcBorders>
                  <w:vAlign w:val="center"/>
                </w:tcPr>
                <w:p w14:paraId="34073A4B">
                  <w:pPr>
                    <w:pStyle w:val="48"/>
                    <w:tabs>
                      <w:tab w:val="left" w:pos="0"/>
                    </w:tabs>
                    <w:ind w:left="0" w:leftChars="0" w:firstLine="0" w:firstLineChars="0"/>
                    <w:jc w:val="center"/>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900-00</w:t>
                  </w:r>
                  <w:r>
                    <w:rPr>
                      <w:rFonts w:hint="eastAsia" w:ascii="Times New Roman" w:hAnsi="Times New Roman" w:eastAsia="宋体"/>
                      <w:b w:val="0"/>
                      <w:bCs w:val="0"/>
                      <w:color w:val="auto"/>
                      <w:sz w:val="21"/>
                      <w:szCs w:val="21"/>
                      <w:highlight w:val="none"/>
                      <w:lang w:val="en-US" w:eastAsia="zh-CN"/>
                    </w:rPr>
                    <w:t>9</w:t>
                  </w:r>
                  <w:r>
                    <w:rPr>
                      <w:rFonts w:hint="eastAsia" w:ascii="Times New Roman" w:hAnsi="Times New Roman" w:eastAsia="宋体"/>
                      <w:b w:val="0"/>
                      <w:bCs w:val="0"/>
                      <w:color w:val="auto"/>
                      <w:sz w:val="21"/>
                      <w:szCs w:val="21"/>
                      <w:highlight w:val="none"/>
                    </w:rPr>
                    <w:t>-S59</w:t>
                  </w:r>
                </w:p>
              </w:tc>
              <w:tc>
                <w:tcPr>
                  <w:tcW w:w="430" w:type="pct"/>
                  <w:tcBorders>
                    <w:tl2br w:val="nil"/>
                    <w:tr2bl w:val="nil"/>
                  </w:tcBorders>
                  <w:vAlign w:val="center"/>
                </w:tcPr>
                <w:p w14:paraId="33A51425">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0.1</w:t>
                  </w:r>
                </w:p>
              </w:tc>
              <w:tc>
                <w:tcPr>
                  <w:tcW w:w="541" w:type="pct"/>
                  <w:tcBorders>
                    <w:tl2br w:val="nil"/>
                    <w:tr2bl w:val="nil"/>
                  </w:tcBorders>
                  <w:vAlign w:val="center"/>
                </w:tcPr>
                <w:p w14:paraId="4C1C4106">
                  <w:pPr>
                    <w:pStyle w:val="48"/>
                    <w:tabs>
                      <w:tab w:val="left" w:pos="0"/>
                    </w:tabs>
                    <w:jc w:val="center"/>
                    <w:rPr>
                      <w:rFonts w:hint="default"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纯水制备</w:t>
                  </w:r>
                </w:p>
              </w:tc>
              <w:tc>
                <w:tcPr>
                  <w:tcW w:w="337" w:type="pct"/>
                  <w:tcBorders>
                    <w:tl2br w:val="nil"/>
                    <w:tr2bl w:val="nil"/>
                  </w:tcBorders>
                  <w:vAlign w:val="center"/>
                </w:tcPr>
                <w:p w14:paraId="1A40286C">
                  <w:pPr>
                    <w:jc w:val="center"/>
                    <w:rPr>
                      <w:rFonts w:hint="eastAsia"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固态</w:t>
                  </w:r>
                </w:p>
              </w:tc>
              <w:tc>
                <w:tcPr>
                  <w:tcW w:w="412" w:type="pct"/>
                  <w:tcBorders>
                    <w:tl2br w:val="nil"/>
                    <w:tr2bl w:val="nil"/>
                  </w:tcBorders>
                  <w:vAlign w:val="center"/>
                </w:tcPr>
                <w:p w14:paraId="6593D37C">
                  <w:pPr>
                    <w:pStyle w:val="48"/>
                    <w:tabs>
                      <w:tab w:val="left" w:pos="0"/>
                    </w:tabs>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en-US"/>
                    </w:rPr>
                    <w:t>可溶性无机物</w:t>
                  </w:r>
                  <w:r>
                    <w:rPr>
                      <w:rFonts w:hint="eastAsia"/>
                      <w:b w:val="0"/>
                      <w:bCs w:val="0"/>
                      <w:color w:val="auto"/>
                      <w:sz w:val="21"/>
                      <w:szCs w:val="21"/>
                      <w:highlight w:val="none"/>
                      <w:lang w:val="en-US" w:eastAsia="zh-CN"/>
                    </w:rPr>
                    <w:t>等</w:t>
                  </w:r>
                </w:p>
              </w:tc>
              <w:tc>
                <w:tcPr>
                  <w:tcW w:w="377" w:type="pct"/>
                  <w:tcBorders>
                    <w:tl2br w:val="nil"/>
                    <w:tr2bl w:val="nil"/>
                  </w:tcBorders>
                  <w:shd w:val="clear" w:color="auto" w:fill="auto"/>
                  <w:vAlign w:val="center"/>
                </w:tcPr>
                <w:p w14:paraId="1A6FC5DF">
                  <w:pPr>
                    <w:pStyle w:val="48"/>
                    <w:tabs>
                      <w:tab w:val="left" w:pos="0"/>
                    </w:tabs>
                    <w:ind w:left="0" w:leftChars="0" w:firstLine="0" w:firstLineChars="0"/>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w:t>
                  </w:r>
                </w:p>
              </w:tc>
              <w:tc>
                <w:tcPr>
                  <w:tcW w:w="384" w:type="pct"/>
                  <w:tcBorders>
                    <w:tl2br w:val="nil"/>
                    <w:tr2bl w:val="nil"/>
                  </w:tcBorders>
                  <w:vAlign w:val="center"/>
                </w:tcPr>
                <w:p w14:paraId="26DF8B90">
                  <w:pPr>
                    <w:pStyle w:val="48"/>
                    <w:tabs>
                      <w:tab w:val="left" w:pos="0"/>
                    </w:tabs>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持续</w:t>
                  </w:r>
                </w:p>
              </w:tc>
              <w:tc>
                <w:tcPr>
                  <w:tcW w:w="826" w:type="pct"/>
                  <w:tcBorders>
                    <w:tl2br w:val="nil"/>
                    <w:tr2bl w:val="nil"/>
                  </w:tcBorders>
                  <w:vAlign w:val="center"/>
                </w:tcPr>
                <w:p w14:paraId="09EF3B0D">
                  <w:pPr>
                    <w:pStyle w:val="48"/>
                    <w:tabs>
                      <w:tab w:val="left" w:pos="0"/>
                    </w:tabs>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交由专业回收公司处理</w:t>
                  </w:r>
                </w:p>
              </w:tc>
            </w:tr>
            <w:tr w14:paraId="4A4C5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90" w:type="pct"/>
                  <w:gridSpan w:val="3"/>
                  <w:tcBorders>
                    <w:tl2br w:val="nil"/>
                    <w:tr2bl w:val="nil"/>
                  </w:tcBorders>
                  <w:vAlign w:val="center"/>
                </w:tcPr>
                <w:p w14:paraId="3B4D4466">
                  <w:pPr>
                    <w:pStyle w:val="48"/>
                    <w:tabs>
                      <w:tab w:val="left" w:pos="0"/>
                    </w:tabs>
                    <w:ind w:left="0" w:leftChars="0" w:firstLine="0" w:firstLineChars="0"/>
                    <w:rPr>
                      <w:rFonts w:hint="eastAsia" w:ascii="Times New Roman" w:hAnsi="Times New Roman" w:eastAsia="宋体"/>
                      <w:b w:val="0"/>
                      <w:bCs w:val="0"/>
                      <w:color w:val="auto"/>
                      <w:sz w:val="21"/>
                      <w:szCs w:val="21"/>
                      <w:highlight w:val="none"/>
                      <w:lang w:eastAsia="zh-CN"/>
                    </w:rPr>
                  </w:pPr>
                  <w:r>
                    <w:rPr>
                      <w:rFonts w:ascii="Times New Roman" w:hAnsi="Times New Roman" w:eastAsia="宋体"/>
                      <w:b w:val="0"/>
                      <w:bCs w:val="0"/>
                      <w:color w:val="auto"/>
                      <w:sz w:val="21"/>
                      <w:szCs w:val="21"/>
                      <w:highlight w:val="none"/>
                    </w:rPr>
                    <w:t>一般工业固废合计</w:t>
                  </w:r>
                  <w:r>
                    <w:rPr>
                      <w:rFonts w:hint="eastAsia" w:ascii="Times New Roman" w:hAnsi="Times New Roman" w:eastAsia="宋体"/>
                      <w:b w:val="0"/>
                      <w:bCs w:val="0"/>
                      <w:color w:val="auto"/>
                      <w:sz w:val="21"/>
                      <w:szCs w:val="21"/>
                      <w:highlight w:val="none"/>
                      <w:lang w:eastAsia="zh-CN"/>
                    </w:rPr>
                    <w:t>（</w:t>
                  </w:r>
                  <w:r>
                    <w:rPr>
                      <w:rFonts w:ascii="Times New Roman" w:hAnsi="Times New Roman" w:eastAsia="宋体"/>
                      <w:b w:val="0"/>
                      <w:bCs w:val="0"/>
                      <w:color w:val="auto"/>
                      <w:sz w:val="21"/>
                      <w:szCs w:val="21"/>
                      <w:highlight w:val="none"/>
                    </w:rPr>
                    <w:t>t/a</w:t>
                  </w:r>
                  <w:r>
                    <w:rPr>
                      <w:rFonts w:hint="eastAsia" w:ascii="Times New Roman" w:hAnsi="Times New Roman" w:eastAsia="宋体"/>
                      <w:b w:val="0"/>
                      <w:bCs w:val="0"/>
                      <w:color w:val="auto"/>
                      <w:sz w:val="21"/>
                      <w:szCs w:val="21"/>
                      <w:highlight w:val="none"/>
                      <w:lang w:eastAsia="zh-CN"/>
                    </w:rPr>
                    <w:t>）</w:t>
                  </w:r>
                </w:p>
              </w:tc>
              <w:tc>
                <w:tcPr>
                  <w:tcW w:w="3309" w:type="pct"/>
                  <w:gridSpan w:val="7"/>
                  <w:tcBorders>
                    <w:tl2br w:val="nil"/>
                    <w:tr2bl w:val="nil"/>
                  </w:tcBorders>
                  <w:shd w:val="clear" w:color="auto" w:fill="auto"/>
                  <w:vAlign w:val="center"/>
                </w:tcPr>
                <w:p w14:paraId="6ABAAC2D">
                  <w:pPr>
                    <w:pStyle w:val="48"/>
                    <w:tabs>
                      <w:tab w:val="left" w:pos="0"/>
                    </w:tabs>
                    <w:ind w:left="0" w:leftChars="0" w:firstLine="0" w:firstLineChars="0"/>
                    <w:rPr>
                      <w:rFonts w:hint="default" w:ascii="Times New Roman" w:hAnsi="Times New Roman" w:eastAsia="宋体" w:cs="宋体"/>
                      <w:i w:val="0"/>
                      <w:iCs w:val="0"/>
                      <w:color w:val="auto"/>
                      <w:kern w:val="2"/>
                      <w:sz w:val="21"/>
                      <w:szCs w:val="22"/>
                      <w:highlight w:val="none"/>
                      <w:u w:val="none"/>
                      <w:lang w:val="en-US" w:eastAsia="zh-CN" w:bidi="ar-SA"/>
                    </w:rPr>
                  </w:pPr>
                  <w:r>
                    <w:rPr>
                      <w:rFonts w:hint="eastAsia" w:cs="宋体"/>
                      <w:i w:val="0"/>
                      <w:iCs w:val="0"/>
                      <w:color w:val="auto"/>
                      <w:kern w:val="2"/>
                      <w:sz w:val="21"/>
                      <w:szCs w:val="22"/>
                      <w:highlight w:val="none"/>
                      <w:u w:val="none"/>
                      <w:lang w:val="en-US" w:eastAsia="zh-CN" w:bidi="ar-SA"/>
                    </w:rPr>
                    <w:t>15.35</w:t>
                  </w:r>
                </w:p>
              </w:tc>
            </w:tr>
            <w:tr w14:paraId="2120F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80" w:hRule="atLeast"/>
              </w:trPr>
              <w:tc>
                <w:tcPr>
                  <w:tcW w:w="953" w:type="pct"/>
                  <w:gridSpan w:val="2"/>
                  <w:tcBorders>
                    <w:tl2br w:val="nil"/>
                    <w:tr2bl w:val="nil"/>
                  </w:tcBorders>
                  <w:vAlign w:val="center"/>
                </w:tcPr>
                <w:p w14:paraId="1903EC2D">
                  <w:pPr>
                    <w:pStyle w:val="48"/>
                    <w:tabs>
                      <w:tab w:val="left" w:pos="0"/>
                    </w:tabs>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生活</w:t>
                  </w:r>
                </w:p>
                <w:p w14:paraId="1EDA49C2">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垃圾</w:t>
                  </w:r>
                </w:p>
              </w:tc>
              <w:tc>
                <w:tcPr>
                  <w:tcW w:w="737" w:type="pct"/>
                  <w:tcBorders>
                    <w:tl2br w:val="nil"/>
                    <w:tr2bl w:val="nil"/>
                  </w:tcBorders>
                  <w:vAlign w:val="center"/>
                </w:tcPr>
                <w:p w14:paraId="4F5F9839">
                  <w:pPr>
                    <w:pStyle w:val="48"/>
                    <w:tabs>
                      <w:tab w:val="left" w:pos="0"/>
                    </w:tabs>
                    <w:ind w:left="0" w:leftChars="0" w:firstLine="0" w:firstLineChars="0"/>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b w:val="0"/>
                      <w:bCs w:val="0"/>
                      <w:color w:val="auto"/>
                      <w:sz w:val="21"/>
                      <w:szCs w:val="21"/>
                      <w:highlight w:val="none"/>
                      <w:lang w:val="en-US" w:eastAsia="zh-CN"/>
                    </w:rPr>
                    <w:t>/</w:t>
                  </w:r>
                </w:p>
              </w:tc>
              <w:tc>
                <w:tcPr>
                  <w:tcW w:w="430" w:type="pct"/>
                  <w:tcBorders>
                    <w:tl2br w:val="nil"/>
                    <w:tr2bl w:val="nil"/>
                  </w:tcBorders>
                  <w:vAlign w:val="center"/>
                </w:tcPr>
                <w:p w14:paraId="7E8E538F">
                  <w:pPr>
                    <w:pStyle w:val="48"/>
                    <w:tabs>
                      <w:tab w:val="left" w:pos="0"/>
                    </w:tabs>
                    <w:ind w:left="0" w:leftChars="0" w:firstLine="0" w:firstLineChars="0"/>
                    <w:rPr>
                      <w:rFonts w:hint="default" w:ascii="Times New Roman" w:hAnsi="Times New Roman" w:eastAsia="宋体"/>
                      <w:b w:val="0"/>
                      <w:bCs w:val="0"/>
                      <w:color w:val="auto"/>
                      <w:sz w:val="21"/>
                      <w:szCs w:val="21"/>
                      <w:highlight w:val="none"/>
                      <w:lang w:val="en-US"/>
                    </w:rPr>
                  </w:pPr>
                  <w:r>
                    <w:rPr>
                      <w:rFonts w:hint="eastAsia" w:ascii="Times New Roman" w:hAnsi="Times New Roman" w:eastAsia="宋体"/>
                      <w:b w:val="0"/>
                      <w:bCs w:val="0"/>
                      <w:color w:val="auto"/>
                      <w:sz w:val="21"/>
                      <w:szCs w:val="21"/>
                      <w:highlight w:val="none"/>
                      <w:lang w:val="en-US" w:eastAsia="zh-CN"/>
                    </w:rPr>
                    <w:t>5.4</w:t>
                  </w:r>
                </w:p>
              </w:tc>
              <w:tc>
                <w:tcPr>
                  <w:tcW w:w="541" w:type="pct"/>
                  <w:tcBorders>
                    <w:tl2br w:val="nil"/>
                    <w:tr2bl w:val="nil"/>
                  </w:tcBorders>
                  <w:vAlign w:val="center"/>
                </w:tcPr>
                <w:p w14:paraId="621599DA">
                  <w:pPr>
                    <w:pStyle w:val="48"/>
                    <w:tabs>
                      <w:tab w:val="left" w:pos="0"/>
                    </w:tabs>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员工</w:t>
                  </w:r>
                </w:p>
                <w:p w14:paraId="1189B98F">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生活</w:t>
                  </w:r>
                </w:p>
              </w:tc>
              <w:tc>
                <w:tcPr>
                  <w:tcW w:w="337" w:type="pct"/>
                  <w:tcBorders>
                    <w:tl2br w:val="nil"/>
                    <w:tr2bl w:val="nil"/>
                  </w:tcBorders>
                  <w:vAlign w:val="center"/>
                </w:tcPr>
                <w:p w14:paraId="5CB5D534">
                  <w:pPr>
                    <w:pStyle w:val="48"/>
                    <w:tabs>
                      <w:tab w:val="left" w:pos="0"/>
                    </w:tabs>
                    <w:ind w:left="0" w:leftChars="0" w:firstLine="0" w:firstLineChars="0"/>
                    <w:rPr>
                      <w:rFonts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固态</w:t>
                  </w:r>
                </w:p>
              </w:tc>
              <w:tc>
                <w:tcPr>
                  <w:tcW w:w="412" w:type="pct"/>
                  <w:tcBorders>
                    <w:tl2br w:val="nil"/>
                    <w:tr2bl w:val="nil"/>
                  </w:tcBorders>
                  <w:vAlign w:val="center"/>
                </w:tcPr>
                <w:p w14:paraId="54D67F9C">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果皮、纸屑</w:t>
                  </w:r>
                </w:p>
              </w:tc>
              <w:tc>
                <w:tcPr>
                  <w:tcW w:w="377" w:type="pct"/>
                  <w:tcBorders>
                    <w:tl2br w:val="nil"/>
                    <w:tr2bl w:val="nil"/>
                  </w:tcBorders>
                  <w:vAlign w:val="center"/>
                </w:tcPr>
                <w:p w14:paraId="1C5ED7D1">
                  <w:pPr>
                    <w:pStyle w:val="48"/>
                    <w:tabs>
                      <w:tab w:val="left" w:pos="0"/>
                    </w:tabs>
                    <w:ind w:left="0" w:leftChars="0" w:firstLine="0" w:firstLineChars="0"/>
                    <w:rPr>
                      <w:rFonts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w:t>
                  </w:r>
                </w:p>
              </w:tc>
              <w:tc>
                <w:tcPr>
                  <w:tcW w:w="384" w:type="pct"/>
                  <w:tcBorders>
                    <w:tl2br w:val="nil"/>
                    <w:tr2bl w:val="nil"/>
                  </w:tcBorders>
                  <w:vAlign w:val="center"/>
                </w:tcPr>
                <w:p w14:paraId="1CFC5C48">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hint="eastAsia" w:ascii="Times New Roman" w:hAnsi="Times New Roman" w:eastAsia="宋体"/>
                      <w:b w:val="0"/>
                      <w:bCs w:val="0"/>
                      <w:color w:val="auto"/>
                      <w:sz w:val="21"/>
                      <w:szCs w:val="21"/>
                      <w:highlight w:val="none"/>
                    </w:rPr>
                    <w:t>持续</w:t>
                  </w:r>
                </w:p>
              </w:tc>
              <w:tc>
                <w:tcPr>
                  <w:tcW w:w="826" w:type="pct"/>
                  <w:tcBorders>
                    <w:tl2br w:val="nil"/>
                    <w:tr2bl w:val="nil"/>
                  </w:tcBorders>
                  <w:vAlign w:val="center"/>
                </w:tcPr>
                <w:p w14:paraId="6E649D11">
                  <w:pPr>
                    <w:pStyle w:val="48"/>
                    <w:tabs>
                      <w:tab w:val="left" w:pos="0"/>
                    </w:tabs>
                    <w:ind w:left="0" w:leftChars="0" w:firstLine="0" w:firstLineChars="0"/>
                    <w:rPr>
                      <w:rFonts w:hint="eastAsia" w:ascii="Times New Roman" w:hAnsi="Times New Roman" w:eastAsia="宋体"/>
                      <w:b w:val="0"/>
                      <w:bCs w:val="0"/>
                      <w:color w:val="auto"/>
                      <w:sz w:val="21"/>
                      <w:szCs w:val="21"/>
                      <w:highlight w:val="none"/>
                    </w:rPr>
                  </w:pPr>
                  <w:r>
                    <w:rPr>
                      <w:rFonts w:ascii="Times New Roman" w:hAnsi="Times New Roman" w:eastAsia="宋体"/>
                      <w:b w:val="0"/>
                      <w:bCs w:val="0"/>
                      <w:color w:val="auto"/>
                      <w:sz w:val="21"/>
                      <w:szCs w:val="21"/>
                      <w:highlight w:val="none"/>
                    </w:rPr>
                    <w:t>委托环卫部门统一清运处置</w:t>
                  </w:r>
                </w:p>
              </w:tc>
            </w:tr>
          </w:tbl>
          <w:p w14:paraId="3249BB95">
            <w:pPr>
              <w:pStyle w:val="44"/>
              <w:keepNext/>
              <w:keepLines/>
              <w:pageBreakBefore w:val="0"/>
              <w:widowControl w:val="0"/>
              <w:numPr>
                <w:ilvl w:val="7"/>
                <w:numId w:val="17"/>
              </w:numPr>
              <w:tabs>
                <w:tab w:val="left" w:pos="0"/>
              </w:tabs>
              <w:kinsoku/>
              <w:wordWrap/>
              <w:overflowPunct/>
              <w:topLinePunct w:val="0"/>
              <w:autoSpaceDE/>
              <w:autoSpaceDN/>
              <w:bidi w:val="0"/>
              <w:adjustRightInd/>
              <w:snapToGrid/>
              <w:spacing w:before="157" w:beforeLines="50" w:after="0"/>
              <w:ind w:left="630" w:lef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危险</w:t>
            </w:r>
            <w:r>
              <w:rPr>
                <w:rFonts w:hint="eastAsia" w:ascii="Times New Roman" w:hAnsi="Times New Roman" w:eastAsia="宋体" w:cs="Times New Roman"/>
                <w:color w:val="auto"/>
                <w:highlight w:val="none"/>
                <w:lang w:val="en-US" w:eastAsia="zh-CN"/>
              </w:rPr>
              <w:t>固废产生情况及处置一览表</w:t>
            </w:r>
          </w:p>
          <w:tbl>
            <w:tblPr>
              <w:tblStyle w:val="86"/>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3"/>
              <w:gridCol w:w="718"/>
              <w:gridCol w:w="637"/>
              <w:gridCol w:w="1050"/>
              <w:gridCol w:w="645"/>
              <w:gridCol w:w="800"/>
              <w:gridCol w:w="344"/>
              <w:gridCol w:w="556"/>
              <w:gridCol w:w="1125"/>
              <w:gridCol w:w="389"/>
              <w:gridCol w:w="818"/>
              <w:gridCol w:w="1376"/>
            </w:tblGrid>
            <w:tr w14:paraId="3EA480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bottom w:val="single" w:color="000000" w:sz="12" w:space="0"/>
                  </w:tcBorders>
                  <w:textDirection w:val="tbRlV"/>
                  <w:vAlign w:val="center"/>
                </w:tcPr>
                <w:p w14:paraId="2DD4D0F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7"/>
                      <w:sz w:val="21"/>
                      <w:highlight w:val="none"/>
                    </w:rPr>
                    <w:t>序号</w:t>
                  </w:r>
                </w:p>
              </w:tc>
              <w:tc>
                <w:tcPr>
                  <w:tcW w:w="718" w:type="dxa"/>
                  <w:tcBorders>
                    <w:bottom w:val="single" w:color="000000" w:sz="12" w:space="0"/>
                  </w:tcBorders>
                  <w:vAlign w:val="center"/>
                </w:tcPr>
                <w:p w14:paraId="7649E0F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危险废</w:t>
                  </w:r>
                </w:p>
                <w:p w14:paraId="7D4061B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物名称</w:t>
                  </w:r>
                </w:p>
              </w:tc>
              <w:tc>
                <w:tcPr>
                  <w:tcW w:w="637" w:type="dxa"/>
                  <w:tcBorders>
                    <w:bottom w:val="single" w:color="000000" w:sz="12" w:space="0"/>
                  </w:tcBorders>
                  <w:vAlign w:val="center"/>
                </w:tcPr>
                <w:p w14:paraId="1194049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危险废</w:t>
                  </w:r>
                </w:p>
                <w:p w14:paraId="61BE326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物类别</w:t>
                  </w:r>
                </w:p>
              </w:tc>
              <w:tc>
                <w:tcPr>
                  <w:tcW w:w="1050" w:type="dxa"/>
                  <w:tcBorders>
                    <w:bottom w:val="single" w:color="000000" w:sz="12" w:space="0"/>
                  </w:tcBorders>
                  <w:vAlign w:val="center"/>
                </w:tcPr>
                <w:p w14:paraId="5849982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危险废</w:t>
                  </w:r>
                </w:p>
                <w:p w14:paraId="1FA790F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物代码</w:t>
                  </w:r>
                </w:p>
              </w:tc>
              <w:tc>
                <w:tcPr>
                  <w:tcW w:w="645" w:type="dxa"/>
                  <w:tcBorders>
                    <w:bottom w:val="single" w:color="000000" w:sz="12" w:space="0"/>
                  </w:tcBorders>
                  <w:vAlign w:val="center"/>
                </w:tcPr>
                <w:p w14:paraId="69962E1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产生量</w:t>
                  </w:r>
                </w:p>
                <w:p w14:paraId="5D07755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pacing w:val="1"/>
                      <w:sz w:val="21"/>
                      <w:szCs w:val="20"/>
                      <w:highlight w:val="none"/>
                    </w:rPr>
                    <w:t>(t/a)</w:t>
                  </w:r>
                </w:p>
              </w:tc>
              <w:tc>
                <w:tcPr>
                  <w:tcW w:w="800" w:type="dxa"/>
                  <w:tcBorders>
                    <w:bottom w:val="single" w:color="000000" w:sz="12" w:space="0"/>
                  </w:tcBorders>
                  <w:vAlign w:val="center"/>
                </w:tcPr>
                <w:p w14:paraId="49C1454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产生工</w:t>
                  </w:r>
                </w:p>
                <w:p w14:paraId="09033F2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序及装</w:t>
                  </w:r>
                </w:p>
                <w:p w14:paraId="4AAF465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z w:val="21"/>
                      <w:highlight w:val="none"/>
                    </w:rPr>
                    <w:t>置</w:t>
                  </w:r>
                </w:p>
              </w:tc>
              <w:tc>
                <w:tcPr>
                  <w:tcW w:w="344" w:type="dxa"/>
                  <w:tcBorders>
                    <w:bottom w:val="single" w:color="000000" w:sz="12" w:space="0"/>
                  </w:tcBorders>
                  <w:vAlign w:val="center"/>
                </w:tcPr>
                <w:p w14:paraId="6937FF5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2"/>
                      <w:sz w:val="21"/>
                      <w:highlight w:val="none"/>
                    </w:rPr>
                    <w:t>形态</w:t>
                  </w:r>
                </w:p>
              </w:tc>
              <w:tc>
                <w:tcPr>
                  <w:tcW w:w="556" w:type="dxa"/>
                  <w:tcBorders>
                    <w:bottom w:val="single" w:color="000000" w:sz="12" w:space="0"/>
                  </w:tcBorders>
                  <w:vAlign w:val="center"/>
                </w:tcPr>
                <w:p w14:paraId="063CD79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主要</w:t>
                  </w:r>
                </w:p>
                <w:p w14:paraId="0E093CC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成分</w:t>
                  </w:r>
                </w:p>
              </w:tc>
              <w:tc>
                <w:tcPr>
                  <w:tcW w:w="1125" w:type="dxa"/>
                  <w:tcBorders>
                    <w:bottom w:val="single" w:color="000000" w:sz="12" w:space="0"/>
                  </w:tcBorders>
                  <w:vAlign w:val="center"/>
                </w:tcPr>
                <w:p w14:paraId="322C179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有害</w:t>
                  </w:r>
                </w:p>
                <w:p w14:paraId="0F4A78F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成分</w:t>
                  </w:r>
                </w:p>
              </w:tc>
              <w:tc>
                <w:tcPr>
                  <w:tcW w:w="389" w:type="dxa"/>
                  <w:tcBorders>
                    <w:bottom w:val="single" w:color="000000" w:sz="12" w:space="0"/>
                  </w:tcBorders>
                  <w:vAlign w:val="center"/>
                </w:tcPr>
                <w:p w14:paraId="3B01054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产废</w:t>
                  </w:r>
                </w:p>
                <w:p w14:paraId="5FE6CB9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周期</w:t>
                  </w:r>
                </w:p>
              </w:tc>
              <w:tc>
                <w:tcPr>
                  <w:tcW w:w="818" w:type="dxa"/>
                  <w:tcBorders>
                    <w:bottom w:val="single" w:color="000000" w:sz="12" w:space="0"/>
                  </w:tcBorders>
                  <w:vAlign w:val="center"/>
                </w:tcPr>
                <w:p w14:paraId="54A796F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2"/>
                      <w:sz w:val="21"/>
                      <w:highlight w:val="none"/>
                    </w:rPr>
                    <w:t>危险</w:t>
                  </w:r>
                </w:p>
                <w:p w14:paraId="7CBF158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3"/>
                      <w:sz w:val="21"/>
                      <w:highlight w:val="none"/>
                    </w:rPr>
                    <w:t>特性</w:t>
                  </w:r>
                </w:p>
              </w:tc>
              <w:tc>
                <w:tcPr>
                  <w:tcW w:w="1376" w:type="dxa"/>
                  <w:tcBorders>
                    <w:bottom w:val="single" w:color="000000" w:sz="12" w:space="0"/>
                  </w:tcBorders>
                  <w:vAlign w:val="center"/>
                </w:tcPr>
                <w:p w14:paraId="6832959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污染防治措</w:t>
                  </w:r>
                </w:p>
                <w:p w14:paraId="593B280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1"/>
                      <w:sz w:val="21"/>
                      <w:highlight w:val="none"/>
                    </w:rPr>
                    <w:t>施</w:t>
                  </w:r>
                </w:p>
              </w:tc>
            </w:tr>
            <w:tr w14:paraId="39B92C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op w:val="single" w:color="000000" w:sz="12" w:space="0"/>
                    <w:tl2br w:val="nil"/>
                    <w:tr2bl w:val="nil"/>
                  </w:tcBorders>
                  <w:vAlign w:val="center"/>
                </w:tcPr>
                <w:p w14:paraId="4EAA32B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1</w:t>
                  </w:r>
                </w:p>
              </w:tc>
              <w:tc>
                <w:tcPr>
                  <w:tcW w:w="718" w:type="dxa"/>
                  <w:tcBorders>
                    <w:top w:val="single" w:color="000000" w:sz="12" w:space="0"/>
                    <w:tl2br w:val="nil"/>
                    <w:tr2bl w:val="nil"/>
                  </w:tcBorders>
                  <w:vAlign w:val="center"/>
                </w:tcPr>
                <w:p w14:paraId="20DC165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废化学</w:t>
                  </w:r>
                </w:p>
                <w:p w14:paraId="20382A7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
                      <w:sz w:val="21"/>
                      <w:highlight w:val="none"/>
                    </w:rPr>
                    <w:t>品包装</w:t>
                  </w:r>
                </w:p>
              </w:tc>
              <w:tc>
                <w:tcPr>
                  <w:tcW w:w="637" w:type="dxa"/>
                  <w:tcBorders>
                    <w:top w:val="single" w:color="000000" w:sz="12" w:space="0"/>
                    <w:tl2br w:val="nil"/>
                    <w:tr2bl w:val="nil"/>
                  </w:tcBorders>
                  <w:vAlign w:val="center"/>
                </w:tcPr>
                <w:p w14:paraId="12F4332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0"/>
                      <w:position w:val="2"/>
                      <w:sz w:val="21"/>
                      <w:szCs w:val="20"/>
                      <w:highlight w:val="none"/>
                    </w:rPr>
                    <w:t>49</w:t>
                  </w:r>
                </w:p>
              </w:tc>
              <w:tc>
                <w:tcPr>
                  <w:tcW w:w="1050" w:type="dxa"/>
                  <w:tcBorders>
                    <w:top w:val="single" w:color="000000" w:sz="12" w:space="0"/>
                    <w:tl2br w:val="nil"/>
                    <w:tr2bl w:val="nil"/>
                  </w:tcBorders>
                  <w:vAlign w:val="center"/>
                </w:tcPr>
                <w:p w14:paraId="725629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900-041-</w:t>
                  </w:r>
                </w:p>
                <w:p w14:paraId="255B952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5" w:type="dxa"/>
                  <w:tcBorders>
                    <w:top w:val="single" w:color="000000" w:sz="12" w:space="0"/>
                    <w:tl2br w:val="nil"/>
                    <w:tr2bl w:val="nil"/>
                  </w:tcBorders>
                  <w:vAlign w:val="center"/>
                </w:tcPr>
                <w:p w14:paraId="49E8A08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0.2</w:t>
                  </w:r>
                </w:p>
              </w:tc>
              <w:tc>
                <w:tcPr>
                  <w:tcW w:w="800" w:type="dxa"/>
                  <w:tcBorders>
                    <w:top w:val="single" w:color="000000" w:sz="12" w:space="0"/>
                    <w:tl2br w:val="nil"/>
                    <w:tr2bl w:val="nil"/>
                  </w:tcBorders>
                  <w:vAlign w:val="center"/>
                </w:tcPr>
                <w:p w14:paraId="18E60D8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包装过</w:t>
                  </w:r>
                </w:p>
                <w:p w14:paraId="6CE16FB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1"/>
                      <w:sz w:val="21"/>
                      <w:highlight w:val="none"/>
                    </w:rPr>
                    <w:t>程</w:t>
                  </w:r>
                </w:p>
              </w:tc>
              <w:tc>
                <w:tcPr>
                  <w:tcW w:w="344" w:type="dxa"/>
                  <w:tcBorders>
                    <w:top w:val="single" w:color="000000" w:sz="12" w:space="0"/>
                    <w:tl2br w:val="nil"/>
                    <w:tr2bl w:val="nil"/>
                  </w:tcBorders>
                  <w:vAlign w:val="center"/>
                </w:tcPr>
                <w:p w14:paraId="61313B5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56" w:type="dxa"/>
                  <w:tcBorders>
                    <w:top w:val="single" w:color="000000" w:sz="12" w:space="0"/>
                    <w:tl2br w:val="nil"/>
                    <w:tr2bl w:val="nil"/>
                  </w:tcBorders>
                  <w:vAlign w:val="center"/>
                </w:tcPr>
                <w:p w14:paraId="4B310FA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沾有</w:t>
                  </w:r>
                </w:p>
                <w:p w14:paraId="74430F8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化学</w:t>
                  </w:r>
                </w:p>
                <w:p w14:paraId="3207DFE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品的</w:t>
                  </w:r>
                </w:p>
                <w:p w14:paraId="7162050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包装</w:t>
                  </w:r>
                  <w:r>
                    <w:rPr>
                      <w:rFonts w:ascii="Times New Roman" w:hAnsi="Times New Roman" w:eastAsia="宋体"/>
                      <w:color w:val="auto"/>
                      <w:sz w:val="21"/>
                      <w:highlight w:val="none"/>
                    </w:rPr>
                    <w:t>物</w:t>
                  </w:r>
                </w:p>
              </w:tc>
              <w:tc>
                <w:tcPr>
                  <w:tcW w:w="1125" w:type="dxa"/>
                  <w:tcBorders>
                    <w:top w:val="single" w:color="000000" w:sz="12" w:space="0"/>
                    <w:tl2br w:val="nil"/>
                    <w:tr2bl w:val="nil"/>
                  </w:tcBorders>
                  <w:vAlign w:val="center"/>
                </w:tcPr>
                <w:p w14:paraId="2EEC3A3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废化</w:t>
                  </w:r>
                </w:p>
                <w:p w14:paraId="48E6878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学品</w:t>
                  </w:r>
                </w:p>
              </w:tc>
              <w:tc>
                <w:tcPr>
                  <w:tcW w:w="389" w:type="dxa"/>
                  <w:tcBorders>
                    <w:top w:val="single" w:color="000000" w:sz="12" w:space="0"/>
                    <w:tl2br w:val="nil"/>
                    <w:tr2bl w:val="nil"/>
                  </w:tcBorders>
                  <w:vAlign w:val="center"/>
                </w:tcPr>
                <w:p w14:paraId="43E840F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4"/>
                      <w:position w:val="1"/>
                      <w:sz w:val="21"/>
                      <w:highlight w:val="none"/>
                    </w:rPr>
                    <w:t>1</w:t>
                  </w:r>
                  <w:r>
                    <w:rPr>
                      <w:rFonts w:ascii="Times New Roman" w:hAnsi="Times New Roman" w:eastAsia="宋体"/>
                      <w:color w:val="auto"/>
                      <w:spacing w:val="-4"/>
                      <w:position w:val="1"/>
                      <w:sz w:val="21"/>
                      <w:highlight w:val="none"/>
                    </w:rPr>
                    <w:t>个月</w:t>
                  </w:r>
                </w:p>
              </w:tc>
              <w:tc>
                <w:tcPr>
                  <w:tcW w:w="818" w:type="dxa"/>
                  <w:tcBorders>
                    <w:top w:val="single" w:color="000000" w:sz="12" w:space="0"/>
                    <w:tl2br w:val="nil"/>
                    <w:tr2bl w:val="nil"/>
                  </w:tcBorders>
                  <w:vAlign w:val="center"/>
                </w:tcPr>
                <w:p w14:paraId="17D1191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376" w:type="dxa"/>
                  <w:vMerge w:val="restart"/>
                  <w:tcBorders>
                    <w:top w:val="single" w:color="000000" w:sz="12" w:space="0"/>
                    <w:tl2br w:val="nil"/>
                    <w:tr2bl w:val="nil"/>
                  </w:tcBorders>
                  <w:vAlign w:val="center"/>
                </w:tcPr>
                <w:p w14:paraId="6A68074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暂存于危废</w:t>
                  </w:r>
                  <w:r>
                    <w:rPr>
                      <w:rFonts w:ascii="Times New Roman" w:hAnsi="Times New Roman" w:eastAsia="宋体"/>
                      <w:color w:val="auto"/>
                      <w:spacing w:val="-6"/>
                      <w:sz w:val="21"/>
                      <w:highlight w:val="none"/>
                    </w:rPr>
                    <w:t>暂存库内，委</w:t>
                  </w:r>
                  <w:r>
                    <w:rPr>
                      <w:rFonts w:ascii="Times New Roman" w:hAnsi="Times New Roman" w:eastAsia="宋体"/>
                      <w:color w:val="auto"/>
                      <w:spacing w:val="19"/>
                      <w:sz w:val="21"/>
                      <w:highlight w:val="none"/>
                    </w:rPr>
                    <w:t>托有危废处</w:t>
                  </w:r>
                </w:p>
                <w:p w14:paraId="01EF7BC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8"/>
                      <w:sz w:val="21"/>
                      <w:highlight w:val="none"/>
                    </w:rPr>
                    <w:t>置资质单位</w:t>
                  </w:r>
                </w:p>
                <w:p w14:paraId="4E5A186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进行处理</w:t>
                  </w:r>
                </w:p>
              </w:tc>
            </w:tr>
            <w:tr w14:paraId="377525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3D83697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2</w:t>
                  </w:r>
                </w:p>
              </w:tc>
              <w:tc>
                <w:tcPr>
                  <w:tcW w:w="718" w:type="dxa"/>
                  <w:tcBorders>
                    <w:tl2br w:val="nil"/>
                    <w:tr2bl w:val="nil"/>
                  </w:tcBorders>
                  <w:vAlign w:val="center"/>
                </w:tcPr>
                <w:p w14:paraId="7A28BBE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废过滤</w:t>
                  </w:r>
                </w:p>
                <w:p w14:paraId="41AD2C0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z w:val="21"/>
                      <w:highlight w:val="none"/>
                      <w:lang w:val="en-US" w:eastAsia="zh-CN"/>
                    </w:rPr>
                  </w:pPr>
                  <w:r>
                    <w:rPr>
                      <w:rFonts w:ascii="Times New Roman" w:hAnsi="Times New Roman" w:eastAsia="宋体"/>
                      <w:color w:val="auto"/>
                      <w:sz w:val="21"/>
                      <w:highlight w:val="none"/>
                    </w:rPr>
                    <w:t>物</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lang w:val="en-US" w:eastAsia="zh-CN"/>
                    </w:rPr>
                    <w:t>槽渣）</w:t>
                  </w:r>
                </w:p>
              </w:tc>
              <w:tc>
                <w:tcPr>
                  <w:tcW w:w="637" w:type="dxa"/>
                  <w:tcBorders>
                    <w:tl2br w:val="nil"/>
                    <w:tr2bl w:val="nil"/>
                  </w:tcBorders>
                  <w:vAlign w:val="center"/>
                </w:tcPr>
                <w:p w14:paraId="785FDE6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position w:val="2"/>
                      <w:sz w:val="21"/>
                      <w:szCs w:val="20"/>
                      <w:highlight w:val="none"/>
                    </w:rPr>
                  </w:pPr>
                  <w:r>
                    <w:rPr>
                      <w:rFonts w:ascii="Times New Roman" w:hAnsi="Times New Roman" w:eastAsia="宋体" w:cs="Times New Roman"/>
                      <w:color w:val="auto"/>
                      <w:position w:val="2"/>
                      <w:sz w:val="21"/>
                      <w:szCs w:val="20"/>
                      <w:highlight w:val="none"/>
                    </w:rPr>
                    <w:t>HW</w:t>
                  </w:r>
                  <w:r>
                    <w:rPr>
                      <w:rFonts w:hint="eastAsia" w:ascii="Times New Roman" w:hAnsi="Times New Roman" w:eastAsia="宋体" w:cs="Times New Roman"/>
                      <w:color w:val="auto"/>
                      <w:position w:val="2"/>
                      <w:sz w:val="21"/>
                      <w:szCs w:val="20"/>
                      <w:highlight w:val="none"/>
                      <w:lang w:val="en-US" w:eastAsia="zh-CN"/>
                    </w:rPr>
                    <w:t>17</w:t>
                  </w:r>
                </w:p>
              </w:tc>
              <w:tc>
                <w:tcPr>
                  <w:tcW w:w="1050" w:type="dxa"/>
                  <w:tcBorders>
                    <w:tl2br w:val="nil"/>
                    <w:tr2bl w:val="nil"/>
                  </w:tcBorders>
                  <w:vAlign w:val="center"/>
                </w:tcPr>
                <w:p w14:paraId="4D9925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position w:val="2"/>
                      <w:sz w:val="21"/>
                      <w:szCs w:val="20"/>
                      <w:highlight w:val="none"/>
                    </w:rPr>
                  </w:pPr>
                  <w:r>
                    <w:rPr>
                      <w:rFonts w:hint="default" w:ascii="Times New Roman" w:hAnsi="Times New Roman" w:eastAsia="宋体" w:cs="Times New Roman"/>
                      <w:color w:val="auto"/>
                      <w:position w:val="2"/>
                      <w:sz w:val="21"/>
                      <w:szCs w:val="20"/>
                      <w:highlight w:val="none"/>
                      <w:lang w:val="en-US" w:eastAsia="zh-CN"/>
                    </w:rPr>
                    <w:t>336-064-17</w:t>
                  </w:r>
                </w:p>
              </w:tc>
              <w:tc>
                <w:tcPr>
                  <w:tcW w:w="645" w:type="dxa"/>
                  <w:tcBorders>
                    <w:tl2br w:val="nil"/>
                    <w:tr2bl w:val="nil"/>
                  </w:tcBorders>
                  <w:vAlign w:val="center"/>
                </w:tcPr>
                <w:p w14:paraId="177354D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0.8</w:t>
                  </w:r>
                </w:p>
              </w:tc>
              <w:tc>
                <w:tcPr>
                  <w:tcW w:w="800" w:type="dxa"/>
                  <w:tcBorders>
                    <w:tl2br w:val="nil"/>
                    <w:tr2bl w:val="nil"/>
                  </w:tcBorders>
                  <w:vAlign w:val="center"/>
                </w:tcPr>
                <w:p w14:paraId="6DA4BD5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脱脂过</w:t>
                  </w:r>
                  <w:r>
                    <w:rPr>
                      <w:rFonts w:ascii="Times New Roman" w:hAnsi="Times New Roman" w:eastAsia="宋体"/>
                      <w:color w:val="auto"/>
                      <w:spacing w:val="1"/>
                      <w:sz w:val="21"/>
                      <w:highlight w:val="none"/>
                    </w:rPr>
                    <w:t>程</w:t>
                  </w:r>
                </w:p>
              </w:tc>
              <w:tc>
                <w:tcPr>
                  <w:tcW w:w="344" w:type="dxa"/>
                  <w:tcBorders>
                    <w:tl2br w:val="nil"/>
                    <w:tr2bl w:val="nil"/>
                  </w:tcBorders>
                  <w:vAlign w:val="center"/>
                </w:tcPr>
                <w:p w14:paraId="1922D6B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56" w:type="dxa"/>
                  <w:tcBorders>
                    <w:tl2br w:val="nil"/>
                    <w:tr2bl w:val="nil"/>
                  </w:tcBorders>
                  <w:vAlign w:val="center"/>
                </w:tcPr>
                <w:p w14:paraId="1D8B3F3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045FF56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废过</w:t>
                  </w:r>
                </w:p>
                <w:p w14:paraId="7B095A2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滤杂</w:t>
                  </w:r>
                </w:p>
                <w:p w14:paraId="2D6E558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物的</w:t>
                  </w:r>
                </w:p>
                <w:p w14:paraId="7E7A251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废过</w:t>
                  </w:r>
                </w:p>
                <w:p w14:paraId="035BA80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滤袋</w:t>
                  </w:r>
                  <w:r>
                    <w:rPr>
                      <w:rFonts w:ascii="Times New Roman" w:hAnsi="Times New Roman" w:eastAsia="宋体"/>
                      <w:color w:val="auto"/>
                      <w:sz w:val="21"/>
                      <w:highlight w:val="none"/>
                    </w:rPr>
                    <w:t>等</w:t>
                  </w:r>
                </w:p>
              </w:tc>
              <w:tc>
                <w:tcPr>
                  <w:tcW w:w="1125" w:type="dxa"/>
                  <w:tcBorders>
                    <w:tl2br w:val="nil"/>
                    <w:tr2bl w:val="nil"/>
                  </w:tcBorders>
                  <w:vAlign w:val="center"/>
                </w:tcPr>
                <w:p w14:paraId="67D3096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废过</w:t>
                  </w:r>
                </w:p>
                <w:p w14:paraId="622EC0C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滤物</w:t>
                  </w:r>
                </w:p>
              </w:tc>
              <w:tc>
                <w:tcPr>
                  <w:tcW w:w="389" w:type="dxa"/>
                  <w:tcBorders>
                    <w:tl2br w:val="nil"/>
                    <w:tr2bl w:val="nil"/>
                  </w:tcBorders>
                  <w:vAlign w:val="center"/>
                </w:tcPr>
                <w:p w14:paraId="794FE24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半年</w:t>
                  </w:r>
                </w:p>
              </w:tc>
              <w:tc>
                <w:tcPr>
                  <w:tcW w:w="818" w:type="dxa"/>
                  <w:tcBorders>
                    <w:tl2br w:val="nil"/>
                    <w:tr2bl w:val="nil"/>
                  </w:tcBorders>
                  <w:vAlign w:val="center"/>
                </w:tcPr>
                <w:p w14:paraId="6E01B2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376" w:type="dxa"/>
                  <w:vMerge w:val="continue"/>
                  <w:tcBorders>
                    <w:tl2br w:val="nil"/>
                    <w:tr2bl w:val="nil"/>
                  </w:tcBorders>
                  <w:vAlign w:val="center"/>
                </w:tcPr>
                <w:p w14:paraId="3A88AF04">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301A63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2F77C7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3</w:t>
                  </w:r>
                </w:p>
              </w:tc>
              <w:tc>
                <w:tcPr>
                  <w:tcW w:w="718" w:type="dxa"/>
                  <w:tcBorders>
                    <w:tl2br w:val="nil"/>
                    <w:tr2bl w:val="nil"/>
                  </w:tcBorders>
                  <w:vAlign w:val="center"/>
                </w:tcPr>
                <w:p w14:paraId="3D60448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废水处</w:t>
                  </w:r>
                </w:p>
                <w:p w14:paraId="73A4F0F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理污泥</w:t>
                  </w:r>
                </w:p>
              </w:tc>
              <w:tc>
                <w:tcPr>
                  <w:tcW w:w="637" w:type="dxa"/>
                  <w:tcBorders>
                    <w:tl2br w:val="nil"/>
                    <w:tr2bl w:val="nil"/>
                  </w:tcBorders>
                  <w:vAlign w:val="center"/>
                </w:tcPr>
                <w:p w14:paraId="65F3B85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17</w:t>
                  </w:r>
                </w:p>
              </w:tc>
              <w:tc>
                <w:tcPr>
                  <w:tcW w:w="1050" w:type="dxa"/>
                  <w:tcBorders>
                    <w:tl2br w:val="nil"/>
                    <w:tr2bl w:val="nil"/>
                  </w:tcBorders>
                  <w:vAlign w:val="center"/>
                </w:tcPr>
                <w:p w14:paraId="1812119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336-064-</w:t>
                  </w:r>
                </w:p>
                <w:p w14:paraId="4DD421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8"/>
                      <w:position w:val="1"/>
                      <w:sz w:val="21"/>
                      <w:szCs w:val="20"/>
                      <w:highlight w:val="none"/>
                    </w:rPr>
                    <w:t>17</w:t>
                  </w:r>
                </w:p>
              </w:tc>
              <w:tc>
                <w:tcPr>
                  <w:tcW w:w="645" w:type="dxa"/>
                  <w:tcBorders>
                    <w:tl2br w:val="nil"/>
                    <w:tr2bl w:val="nil"/>
                  </w:tcBorders>
                  <w:vAlign w:val="center"/>
                </w:tcPr>
                <w:p w14:paraId="2659EAC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2"/>
                      <w:sz w:val="21"/>
                      <w:szCs w:val="20"/>
                      <w:highlight w:val="none"/>
                    </w:rPr>
                    <w:t>0.95</w:t>
                  </w:r>
                </w:p>
              </w:tc>
              <w:tc>
                <w:tcPr>
                  <w:tcW w:w="800" w:type="dxa"/>
                  <w:tcBorders>
                    <w:tl2br w:val="nil"/>
                    <w:tr2bl w:val="nil"/>
                  </w:tcBorders>
                  <w:vAlign w:val="center"/>
                </w:tcPr>
                <w:p w14:paraId="01429CB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废水处</w:t>
                  </w:r>
                </w:p>
                <w:p w14:paraId="6D35DE3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理</w:t>
                  </w:r>
                </w:p>
              </w:tc>
              <w:tc>
                <w:tcPr>
                  <w:tcW w:w="344" w:type="dxa"/>
                  <w:tcBorders>
                    <w:tl2br w:val="nil"/>
                    <w:tr2bl w:val="nil"/>
                  </w:tcBorders>
                  <w:vAlign w:val="center"/>
                </w:tcPr>
                <w:p w14:paraId="1CB94A4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56" w:type="dxa"/>
                  <w:tcBorders>
                    <w:tl2br w:val="nil"/>
                    <w:tr2bl w:val="nil"/>
                  </w:tcBorders>
                  <w:vAlign w:val="center"/>
                </w:tcPr>
                <w:p w14:paraId="709A568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污泥</w:t>
                  </w:r>
                </w:p>
              </w:tc>
              <w:tc>
                <w:tcPr>
                  <w:tcW w:w="1125" w:type="dxa"/>
                  <w:tcBorders>
                    <w:tl2br w:val="nil"/>
                    <w:tr2bl w:val="nil"/>
                  </w:tcBorders>
                  <w:vAlign w:val="center"/>
                </w:tcPr>
                <w:p w14:paraId="2FFD9A2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污泥</w:t>
                  </w:r>
                </w:p>
              </w:tc>
              <w:tc>
                <w:tcPr>
                  <w:tcW w:w="389" w:type="dxa"/>
                  <w:tcBorders>
                    <w:tl2br w:val="nil"/>
                    <w:tr2bl w:val="nil"/>
                  </w:tcBorders>
                  <w:vAlign w:val="center"/>
                </w:tcPr>
                <w:p w14:paraId="72CEEE5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半年</w:t>
                  </w:r>
                </w:p>
              </w:tc>
              <w:tc>
                <w:tcPr>
                  <w:tcW w:w="818" w:type="dxa"/>
                  <w:tcBorders>
                    <w:tl2br w:val="nil"/>
                    <w:tr2bl w:val="nil"/>
                  </w:tcBorders>
                  <w:vAlign w:val="center"/>
                </w:tcPr>
                <w:p w14:paraId="5FB794D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1"/>
                      <w:sz w:val="21"/>
                      <w:szCs w:val="20"/>
                      <w:highlight w:val="none"/>
                    </w:rPr>
                    <w:t>T/C</w:t>
                  </w:r>
                </w:p>
              </w:tc>
              <w:tc>
                <w:tcPr>
                  <w:tcW w:w="1376" w:type="dxa"/>
                  <w:vMerge w:val="continue"/>
                  <w:tcBorders>
                    <w:tl2br w:val="nil"/>
                    <w:tr2bl w:val="nil"/>
                  </w:tcBorders>
                  <w:vAlign w:val="center"/>
                </w:tcPr>
                <w:p w14:paraId="22EB2606">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6367B3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6B6A074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1"/>
                      <w:sz w:val="21"/>
                      <w:szCs w:val="20"/>
                      <w:highlight w:val="none"/>
                    </w:rPr>
                    <w:t>4</w:t>
                  </w:r>
                </w:p>
              </w:tc>
              <w:tc>
                <w:tcPr>
                  <w:tcW w:w="718" w:type="dxa"/>
                  <w:tcBorders>
                    <w:tl2br w:val="nil"/>
                    <w:tr2bl w:val="nil"/>
                  </w:tcBorders>
                  <w:vAlign w:val="center"/>
                </w:tcPr>
                <w:p w14:paraId="423A369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废活性</w:t>
                  </w:r>
                </w:p>
                <w:p w14:paraId="0766E21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炭</w:t>
                  </w:r>
                </w:p>
              </w:tc>
              <w:tc>
                <w:tcPr>
                  <w:tcW w:w="637" w:type="dxa"/>
                  <w:tcBorders>
                    <w:tl2br w:val="nil"/>
                    <w:tr2bl w:val="nil"/>
                  </w:tcBorders>
                  <w:vAlign w:val="center"/>
                </w:tcPr>
                <w:p w14:paraId="535CF19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49</w:t>
                  </w:r>
                </w:p>
              </w:tc>
              <w:tc>
                <w:tcPr>
                  <w:tcW w:w="1050" w:type="dxa"/>
                  <w:tcBorders>
                    <w:tl2br w:val="nil"/>
                    <w:tr2bl w:val="nil"/>
                  </w:tcBorders>
                  <w:vAlign w:val="center"/>
                </w:tcPr>
                <w:p w14:paraId="449017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900-039-</w:t>
                  </w:r>
                </w:p>
                <w:p w14:paraId="02BAD1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5" w:type="dxa"/>
                  <w:tcBorders>
                    <w:tl2br w:val="nil"/>
                    <w:tr2bl w:val="nil"/>
                  </w:tcBorders>
                  <w:vAlign w:val="center"/>
                </w:tcPr>
                <w:p w14:paraId="3E6F914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pacing w:val="3"/>
                      <w:position w:val="2"/>
                      <w:sz w:val="21"/>
                      <w:szCs w:val="20"/>
                      <w:highlight w:val="none"/>
                      <w:lang w:val="en-US" w:eastAsia="zh-CN"/>
                    </w:rPr>
                    <w:t>7.9599</w:t>
                  </w:r>
                </w:p>
              </w:tc>
              <w:tc>
                <w:tcPr>
                  <w:tcW w:w="800" w:type="dxa"/>
                  <w:tcBorders>
                    <w:tl2br w:val="nil"/>
                    <w:tr2bl w:val="nil"/>
                  </w:tcBorders>
                  <w:vAlign w:val="center"/>
                </w:tcPr>
                <w:p w14:paraId="01A88C1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活性炭</w:t>
                  </w:r>
                  <w:r>
                    <w:rPr>
                      <w:rFonts w:ascii="Times New Roman" w:hAnsi="Times New Roman" w:eastAsia="宋体"/>
                      <w:color w:val="auto"/>
                      <w:sz w:val="21"/>
                      <w:highlight w:val="none"/>
                    </w:rPr>
                    <w:t>吸附</w:t>
                  </w:r>
                </w:p>
              </w:tc>
              <w:tc>
                <w:tcPr>
                  <w:tcW w:w="344" w:type="dxa"/>
                  <w:tcBorders>
                    <w:tl2br w:val="nil"/>
                    <w:tr2bl w:val="nil"/>
                  </w:tcBorders>
                  <w:vAlign w:val="center"/>
                </w:tcPr>
                <w:p w14:paraId="173149D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56" w:type="dxa"/>
                  <w:tcBorders>
                    <w:tl2br w:val="nil"/>
                    <w:tr2bl w:val="nil"/>
                  </w:tcBorders>
                  <w:vAlign w:val="center"/>
                </w:tcPr>
                <w:p w14:paraId="5E50FDF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吸附</w:t>
                  </w:r>
                </w:p>
                <w:p w14:paraId="025AA05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废气</w:t>
                  </w:r>
                </w:p>
                <w:p w14:paraId="3B12D36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的活</w:t>
                  </w:r>
                </w:p>
                <w:p w14:paraId="65DFCC4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性炭</w:t>
                  </w:r>
                </w:p>
              </w:tc>
              <w:tc>
                <w:tcPr>
                  <w:tcW w:w="1125" w:type="dxa"/>
                  <w:tcBorders>
                    <w:tl2br w:val="nil"/>
                    <w:tr2bl w:val="nil"/>
                  </w:tcBorders>
                  <w:vAlign w:val="center"/>
                </w:tcPr>
                <w:p w14:paraId="3FFAE1D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有机</w:t>
                  </w:r>
                  <w:r>
                    <w:rPr>
                      <w:rFonts w:ascii="Times New Roman" w:hAnsi="Times New Roman" w:eastAsia="宋体"/>
                      <w:color w:val="auto"/>
                      <w:sz w:val="21"/>
                      <w:highlight w:val="none"/>
                    </w:rPr>
                    <w:t>物</w:t>
                  </w:r>
                </w:p>
              </w:tc>
              <w:tc>
                <w:tcPr>
                  <w:tcW w:w="389" w:type="dxa"/>
                  <w:tcBorders>
                    <w:tl2br w:val="nil"/>
                    <w:tr2bl w:val="nil"/>
                  </w:tcBorders>
                  <w:vAlign w:val="center"/>
                </w:tcPr>
                <w:p w14:paraId="5E1A5F6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z w:val="21"/>
                      <w:highlight w:val="none"/>
                      <w:lang w:val="en-US" w:eastAsia="zh-CN"/>
                    </w:rPr>
                  </w:pPr>
                  <w:r>
                    <w:rPr>
                      <w:rFonts w:ascii="Times New Roman" w:hAnsi="Times New Roman" w:eastAsia="宋体"/>
                      <w:color w:val="auto"/>
                      <w:spacing w:val="3"/>
                      <w:sz w:val="21"/>
                      <w:highlight w:val="none"/>
                    </w:rPr>
                    <w:t>一</w:t>
                  </w:r>
                  <w:r>
                    <w:rPr>
                      <w:rFonts w:hint="eastAsia" w:ascii="Times New Roman" w:hAnsi="Times New Roman"/>
                      <w:color w:val="auto"/>
                      <w:spacing w:val="3"/>
                      <w:sz w:val="21"/>
                      <w:highlight w:val="none"/>
                      <w:lang w:val="en-US" w:eastAsia="zh-CN"/>
                    </w:rPr>
                    <w:t>月</w:t>
                  </w:r>
                </w:p>
              </w:tc>
              <w:tc>
                <w:tcPr>
                  <w:tcW w:w="818" w:type="dxa"/>
                  <w:tcBorders>
                    <w:tl2br w:val="nil"/>
                    <w:tr2bl w:val="nil"/>
                  </w:tcBorders>
                  <w:vAlign w:val="center"/>
                </w:tcPr>
                <w:p w14:paraId="43ED88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z w:val="21"/>
                      <w:szCs w:val="20"/>
                      <w:highlight w:val="none"/>
                    </w:rPr>
                    <w:t>T</w:t>
                  </w:r>
                </w:p>
              </w:tc>
              <w:tc>
                <w:tcPr>
                  <w:tcW w:w="1376" w:type="dxa"/>
                  <w:vMerge w:val="continue"/>
                  <w:tcBorders>
                    <w:tl2br w:val="nil"/>
                    <w:tr2bl w:val="nil"/>
                  </w:tcBorders>
                  <w:vAlign w:val="center"/>
                </w:tcPr>
                <w:p w14:paraId="63525148">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146178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475671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z w:val="21"/>
                      <w:szCs w:val="20"/>
                      <w:highlight w:val="none"/>
                    </w:rPr>
                    <w:t>5</w:t>
                  </w:r>
                </w:p>
              </w:tc>
              <w:tc>
                <w:tcPr>
                  <w:tcW w:w="718" w:type="dxa"/>
                  <w:tcBorders>
                    <w:tl2br w:val="nil"/>
                    <w:tr2bl w:val="nil"/>
                  </w:tcBorders>
                  <w:vAlign w:val="center"/>
                </w:tcPr>
                <w:p w14:paraId="4983167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废机油</w:t>
                  </w:r>
                </w:p>
              </w:tc>
              <w:tc>
                <w:tcPr>
                  <w:tcW w:w="637" w:type="dxa"/>
                  <w:tcBorders>
                    <w:tl2br w:val="nil"/>
                    <w:tr2bl w:val="nil"/>
                  </w:tcBorders>
                  <w:vAlign w:val="center"/>
                </w:tcPr>
                <w:p w14:paraId="6837525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08</w:t>
                  </w:r>
                </w:p>
              </w:tc>
              <w:tc>
                <w:tcPr>
                  <w:tcW w:w="1050" w:type="dxa"/>
                  <w:tcBorders>
                    <w:tl2br w:val="nil"/>
                    <w:tr2bl w:val="nil"/>
                  </w:tcBorders>
                  <w:vAlign w:val="center"/>
                </w:tcPr>
                <w:p w14:paraId="70696E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900-249-</w:t>
                  </w:r>
                </w:p>
                <w:p w14:paraId="470229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1"/>
                      <w:sz w:val="21"/>
                      <w:szCs w:val="20"/>
                      <w:highlight w:val="none"/>
                    </w:rPr>
                    <w:t>08</w:t>
                  </w:r>
                </w:p>
              </w:tc>
              <w:tc>
                <w:tcPr>
                  <w:tcW w:w="645" w:type="dxa"/>
                  <w:tcBorders>
                    <w:tl2br w:val="nil"/>
                    <w:tr2bl w:val="nil"/>
                  </w:tcBorders>
                  <w:vAlign w:val="center"/>
                </w:tcPr>
                <w:p w14:paraId="685C1B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0.2</w:t>
                  </w:r>
                </w:p>
              </w:tc>
              <w:tc>
                <w:tcPr>
                  <w:tcW w:w="800" w:type="dxa"/>
                  <w:tcBorders>
                    <w:tl2br w:val="nil"/>
                    <w:tr2bl w:val="nil"/>
                  </w:tcBorders>
                  <w:vAlign w:val="center"/>
                </w:tcPr>
                <w:p w14:paraId="79239DA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机械保</w:t>
                  </w:r>
                </w:p>
                <w:p w14:paraId="4432A38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养</w:t>
                  </w:r>
                </w:p>
              </w:tc>
              <w:tc>
                <w:tcPr>
                  <w:tcW w:w="344" w:type="dxa"/>
                  <w:tcBorders>
                    <w:tl2br w:val="nil"/>
                    <w:tr2bl w:val="nil"/>
                  </w:tcBorders>
                  <w:vAlign w:val="center"/>
                </w:tcPr>
                <w:p w14:paraId="0C493EF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液</w:t>
                  </w:r>
                </w:p>
              </w:tc>
              <w:tc>
                <w:tcPr>
                  <w:tcW w:w="556" w:type="dxa"/>
                  <w:tcBorders>
                    <w:tl2br w:val="nil"/>
                    <w:tr2bl w:val="nil"/>
                  </w:tcBorders>
                  <w:vAlign w:val="center"/>
                </w:tcPr>
                <w:p w14:paraId="7E7A2E5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矿物</w:t>
                  </w:r>
                </w:p>
                <w:p w14:paraId="3784A5B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质油</w:t>
                  </w:r>
                </w:p>
              </w:tc>
              <w:tc>
                <w:tcPr>
                  <w:tcW w:w="1125" w:type="dxa"/>
                  <w:tcBorders>
                    <w:tl2br w:val="nil"/>
                    <w:tr2bl w:val="nil"/>
                  </w:tcBorders>
                  <w:vAlign w:val="center"/>
                </w:tcPr>
                <w:p w14:paraId="03972F0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废油</w:t>
                  </w:r>
                  <w:r>
                    <w:rPr>
                      <w:rFonts w:ascii="Times New Roman" w:hAnsi="Times New Roman" w:eastAsia="宋体"/>
                      <w:color w:val="auto"/>
                      <w:sz w:val="21"/>
                      <w:highlight w:val="none"/>
                    </w:rPr>
                    <w:t>脂</w:t>
                  </w:r>
                </w:p>
              </w:tc>
              <w:tc>
                <w:tcPr>
                  <w:tcW w:w="389" w:type="dxa"/>
                  <w:tcBorders>
                    <w:tl2br w:val="nil"/>
                    <w:tr2bl w:val="nil"/>
                  </w:tcBorders>
                  <w:vAlign w:val="center"/>
                </w:tcPr>
                <w:p w14:paraId="21A87C2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1"/>
                      <w:position w:val="1"/>
                      <w:sz w:val="21"/>
                      <w:highlight w:val="none"/>
                    </w:rPr>
                    <w:t>3</w:t>
                  </w:r>
                  <w:r>
                    <w:rPr>
                      <w:rFonts w:ascii="Times New Roman" w:hAnsi="Times New Roman" w:eastAsia="宋体"/>
                      <w:color w:val="auto"/>
                      <w:spacing w:val="1"/>
                      <w:position w:val="1"/>
                      <w:sz w:val="21"/>
                      <w:highlight w:val="none"/>
                    </w:rPr>
                    <w:t>个月</w:t>
                  </w:r>
                </w:p>
              </w:tc>
              <w:tc>
                <w:tcPr>
                  <w:tcW w:w="818" w:type="dxa"/>
                  <w:tcBorders>
                    <w:tl2br w:val="nil"/>
                    <w:tr2bl w:val="nil"/>
                  </w:tcBorders>
                  <w:vAlign w:val="center"/>
                </w:tcPr>
                <w:p w14:paraId="248E14B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pacing w:val="-3"/>
                      <w:sz w:val="21"/>
                      <w:highlight w:val="none"/>
                    </w:rPr>
                    <w:t>T</w:t>
                  </w:r>
                  <w:r>
                    <w:rPr>
                      <w:rFonts w:hint="eastAsia" w:ascii="Times New Roman" w:hAnsi="Times New Roman" w:cs="Times New Roman"/>
                      <w:color w:val="auto"/>
                      <w:spacing w:val="-3"/>
                      <w:sz w:val="21"/>
                      <w:highlight w:val="none"/>
                      <w:lang w:eastAsia="zh-CN"/>
                    </w:rPr>
                    <w:t xml:space="preserve">, </w:t>
                  </w:r>
                  <w:r>
                    <w:rPr>
                      <w:rFonts w:ascii="Times New Roman" w:hAnsi="Times New Roman" w:eastAsia="宋体" w:cs="Times New Roman"/>
                      <w:color w:val="auto"/>
                      <w:spacing w:val="-3"/>
                      <w:sz w:val="21"/>
                      <w:highlight w:val="none"/>
                    </w:rPr>
                    <w:t>I</w:t>
                  </w:r>
                </w:p>
              </w:tc>
              <w:tc>
                <w:tcPr>
                  <w:tcW w:w="1376" w:type="dxa"/>
                  <w:vMerge w:val="continue"/>
                  <w:tcBorders>
                    <w:tl2br w:val="nil"/>
                    <w:tr2bl w:val="nil"/>
                  </w:tcBorders>
                  <w:vAlign w:val="center"/>
                </w:tcPr>
                <w:p w14:paraId="4ABAEDE0">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71266F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3BDD20F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6</w:t>
                  </w:r>
                </w:p>
              </w:tc>
              <w:tc>
                <w:tcPr>
                  <w:tcW w:w="718" w:type="dxa"/>
                  <w:tcBorders>
                    <w:tl2br w:val="nil"/>
                    <w:tr2bl w:val="nil"/>
                  </w:tcBorders>
                  <w:vAlign w:val="center"/>
                </w:tcPr>
                <w:p w14:paraId="6B2BC09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废油桶</w:t>
                  </w:r>
                </w:p>
              </w:tc>
              <w:tc>
                <w:tcPr>
                  <w:tcW w:w="637" w:type="dxa"/>
                  <w:tcBorders>
                    <w:tl2br w:val="nil"/>
                    <w:tr2bl w:val="nil"/>
                  </w:tcBorders>
                  <w:vAlign w:val="center"/>
                </w:tcPr>
                <w:p w14:paraId="36E8C5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1"/>
                      <w:position w:val="2"/>
                      <w:sz w:val="21"/>
                      <w:szCs w:val="20"/>
                      <w:highlight w:val="none"/>
                    </w:rPr>
                    <w:t>08</w:t>
                  </w:r>
                </w:p>
              </w:tc>
              <w:tc>
                <w:tcPr>
                  <w:tcW w:w="1050" w:type="dxa"/>
                  <w:tcBorders>
                    <w:tl2br w:val="nil"/>
                    <w:tr2bl w:val="nil"/>
                  </w:tcBorders>
                  <w:vAlign w:val="center"/>
                </w:tcPr>
                <w:p w14:paraId="119A99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900-249-</w:t>
                  </w:r>
                </w:p>
                <w:p w14:paraId="0FA9900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1"/>
                      <w:sz w:val="21"/>
                      <w:szCs w:val="20"/>
                      <w:highlight w:val="none"/>
                    </w:rPr>
                    <w:t>08</w:t>
                  </w:r>
                </w:p>
              </w:tc>
              <w:tc>
                <w:tcPr>
                  <w:tcW w:w="645" w:type="dxa"/>
                  <w:tcBorders>
                    <w:tl2br w:val="nil"/>
                    <w:tr2bl w:val="nil"/>
                  </w:tcBorders>
                  <w:vAlign w:val="center"/>
                </w:tcPr>
                <w:p w14:paraId="2C184EA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0.2</w:t>
                  </w:r>
                </w:p>
              </w:tc>
              <w:tc>
                <w:tcPr>
                  <w:tcW w:w="800" w:type="dxa"/>
                  <w:tcBorders>
                    <w:tl2br w:val="nil"/>
                    <w:tr2bl w:val="nil"/>
                  </w:tcBorders>
                  <w:vAlign w:val="center"/>
                </w:tcPr>
                <w:p w14:paraId="3D9151C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装配、设</w:t>
                  </w:r>
                </w:p>
                <w:p w14:paraId="643B3B7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备维护</w:t>
                  </w:r>
                </w:p>
                <w:p w14:paraId="17A9F3F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保养</w:t>
                  </w:r>
                </w:p>
              </w:tc>
              <w:tc>
                <w:tcPr>
                  <w:tcW w:w="344" w:type="dxa"/>
                  <w:tcBorders>
                    <w:tl2br w:val="nil"/>
                    <w:tr2bl w:val="nil"/>
                  </w:tcBorders>
                  <w:vAlign w:val="center"/>
                </w:tcPr>
                <w:p w14:paraId="41E5FA7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56" w:type="dxa"/>
                  <w:tcBorders>
                    <w:tl2br w:val="nil"/>
                    <w:tr2bl w:val="nil"/>
                  </w:tcBorders>
                  <w:vAlign w:val="center"/>
                </w:tcPr>
                <w:p w14:paraId="1312A26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319D47C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机油</w:t>
                  </w:r>
                </w:p>
                <w:p w14:paraId="72CCBD2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的包</w:t>
                  </w:r>
                </w:p>
                <w:p w14:paraId="193AF61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装物</w:t>
                  </w:r>
                </w:p>
              </w:tc>
              <w:tc>
                <w:tcPr>
                  <w:tcW w:w="1125" w:type="dxa"/>
                  <w:tcBorders>
                    <w:tl2br w:val="nil"/>
                    <w:tr2bl w:val="nil"/>
                  </w:tcBorders>
                  <w:vAlign w:val="center"/>
                </w:tcPr>
                <w:p w14:paraId="2331ACC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废油</w:t>
                  </w:r>
                  <w:r>
                    <w:rPr>
                      <w:rFonts w:ascii="Times New Roman" w:hAnsi="Times New Roman" w:eastAsia="宋体"/>
                      <w:color w:val="auto"/>
                      <w:sz w:val="21"/>
                      <w:highlight w:val="none"/>
                    </w:rPr>
                    <w:t>脂</w:t>
                  </w:r>
                </w:p>
              </w:tc>
              <w:tc>
                <w:tcPr>
                  <w:tcW w:w="389" w:type="dxa"/>
                  <w:tcBorders>
                    <w:tl2br w:val="nil"/>
                    <w:tr2bl w:val="nil"/>
                  </w:tcBorders>
                  <w:vAlign w:val="center"/>
                </w:tcPr>
                <w:p w14:paraId="4D7A338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1"/>
                      <w:position w:val="1"/>
                      <w:sz w:val="21"/>
                      <w:highlight w:val="none"/>
                    </w:rPr>
                    <w:t>3</w:t>
                  </w:r>
                  <w:r>
                    <w:rPr>
                      <w:rFonts w:ascii="Times New Roman" w:hAnsi="Times New Roman" w:eastAsia="宋体"/>
                      <w:color w:val="auto"/>
                      <w:spacing w:val="1"/>
                      <w:position w:val="1"/>
                      <w:sz w:val="21"/>
                      <w:highlight w:val="none"/>
                    </w:rPr>
                    <w:t>个月</w:t>
                  </w:r>
                </w:p>
              </w:tc>
              <w:tc>
                <w:tcPr>
                  <w:tcW w:w="818" w:type="dxa"/>
                  <w:tcBorders>
                    <w:tl2br w:val="nil"/>
                    <w:tr2bl w:val="nil"/>
                  </w:tcBorders>
                  <w:vAlign w:val="center"/>
                </w:tcPr>
                <w:p w14:paraId="0B22902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s="Times New Roman"/>
                      <w:color w:val="auto"/>
                      <w:spacing w:val="-3"/>
                      <w:sz w:val="21"/>
                      <w:highlight w:val="none"/>
                    </w:rPr>
                    <w:t>T</w:t>
                  </w:r>
                  <w:r>
                    <w:rPr>
                      <w:rFonts w:hint="eastAsia" w:ascii="Times New Roman" w:hAnsi="Times New Roman" w:cs="Times New Roman"/>
                      <w:color w:val="auto"/>
                      <w:spacing w:val="-3"/>
                      <w:sz w:val="21"/>
                      <w:highlight w:val="none"/>
                      <w:lang w:eastAsia="zh-CN"/>
                    </w:rPr>
                    <w:t xml:space="preserve">, </w:t>
                  </w:r>
                  <w:r>
                    <w:rPr>
                      <w:rFonts w:ascii="Times New Roman" w:hAnsi="Times New Roman" w:eastAsia="宋体" w:cs="Times New Roman"/>
                      <w:color w:val="auto"/>
                      <w:spacing w:val="-3"/>
                      <w:sz w:val="21"/>
                      <w:highlight w:val="none"/>
                    </w:rPr>
                    <w:t>I</w:t>
                  </w:r>
                </w:p>
              </w:tc>
              <w:tc>
                <w:tcPr>
                  <w:tcW w:w="1376" w:type="dxa"/>
                  <w:vMerge w:val="continue"/>
                  <w:tcBorders>
                    <w:tl2br w:val="nil"/>
                    <w:tr2bl w:val="nil"/>
                  </w:tcBorders>
                  <w:vAlign w:val="center"/>
                </w:tcPr>
                <w:p w14:paraId="610D1433">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291CB6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21CC08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z w:val="21"/>
                      <w:szCs w:val="20"/>
                      <w:highlight w:val="none"/>
                    </w:rPr>
                    <w:t>7</w:t>
                  </w:r>
                </w:p>
              </w:tc>
              <w:tc>
                <w:tcPr>
                  <w:tcW w:w="718" w:type="dxa"/>
                  <w:tcBorders>
                    <w:tl2br w:val="nil"/>
                    <w:tr2bl w:val="nil"/>
                  </w:tcBorders>
                  <w:vAlign w:val="center"/>
                </w:tcPr>
                <w:p w14:paraId="034E74C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废含油</w:t>
                  </w:r>
                </w:p>
                <w:p w14:paraId="48E580D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抹布手</w:t>
                  </w:r>
                </w:p>
                <w:p w14:paraId="43647EB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套</w:t>
                  </w:r>
                </w:p>
              </w:tc>
              <w:tc>
                <w:tcPr>
                  <w:tcW w:w="637" w:type="dxa"/>
                  <w:tcBorders>
                    <w:tl2br w:val="nil"/>
                    <w:tr2bl w:val="nil"/>
                  </w:tcBorders>
                  <w:vAlign w:val="center"/>
                </w:tcPr>
                <w:p w14:paraId="5FF2C9C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0"/>
                      <w:position w:val="2"/>
                      <w:sz w:val="21"/>
                      <w:szCs w:val="20"/>
                      <w:highlight w:val="none"/>
                    </w:rPr>
                    <w:t>49</w:t>
                  </w:r>
                </w:p>
              </w:tc>
              <w:tc>
                <w:tcPr>
                  <w:tcW w:w="1050" w:type="dxa"/>
                  <w:tcBorders>
                    <w:tl2br w:val="nil"/>
                    <w:tr2bl w:val="nil"/>
                  </w:tcBorders>
                  <w:vAlign w:val="center"/>
                </w:tcPr>
                <w:p w14:paraId="01F870B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900-041-</w:t>
                  </w:r>
                </w:p>
                <w:p w14:paraId="762C879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49</w:t>
                  </w:r>
                </w:p>
              </w:tc>
              <w:tc>
                <w:tcPr>
                  <w:tcW w:w="645" w:type="dxa"/>
                  <w:tcBorders>
                    <w:tl2br w:val="nil"/>
                    <w:tr2bl w:val="nil"/>
                  </w:tcBorders>
                  <w:vAlign w:val="center"/>
                </w:tcPr>
                <w:p w14:paraId="2A05431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1"/>
                      <w:position w:val="2"/>
                      <w:sz w:val="21"/>
                      <w:szCs w:val="20"/>
                      <w:highlight w:val="none"/>
                    </w:rPr>
                    <w:t>0.4</w:t>
                  </w:r>
                </w:p>
              </w:tc>
              <w:tc>
                <w:tcPr>
                  <w:tcW w:w="800" w:type="dxa"/>
                  <w:tcBorders>
                    <w:tl2br w:val="nil"/>
                    <w:tr2bl w:val="nil"/>
                  </w:tcBorders>
                  <w:vAlign w:val="center"/>
                </w:tcPr>
                <w:p w14:paraId="699B52E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装配、设</w:t>
                  </w:r>
                </w:p>
                <w:p w14:paraId="14F73F6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sz w:val="21"/>
                      <w:highlight w:val="none"/>
                    </w:rPr>
                    <w:t>备维护</w:t>
                  </w:r>
                </w:p>
                <w:p w14:paraId="377C91D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保养</w:t>
                  </w:r>
                </w:p>
              </w:tc>
              <w:tc>
                <w:tcPr>
                  <w:tcW w:w="344" w:type="dxa"/>
                  <w:tcBorders>
                    <w:tl2br w:val="nil"/>
                    <w:tr2bl w:val="nil"/>
                  </w:tcBorders>
                  <w:vAlign w:val="center"/>
                </w:tcPr>
                <w:p w14:paraId="2750F2A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固</w:t>
                  </w:r>
                </w:p>
              </w:tc>
              <w:tc>
                <w:tcPr>
                  <w:tcW w:w="556" w:type="dxa"/>
                  <w:tcBorders>
                    <w:tl2br w:val="nil"/>
                    <w:tr2bl w:val="nil"/>
                  </w:tcBorders>
                  <w:vAlign w:val="center"/>
                </w:tcPr>
                <w:p w14:paraId="0FEDC46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28132EC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机油</w:t>
                  </w:r>
                </w:p>
                <w:p w14:paraId="4BFD78F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的抹</w:t>
                  </w:r>
                </w:p>
                <w:p w14:paraId="2540F86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布、</w:t>
                  </w:r>
                </w:p>
                <w:p w14:paraId="372FC5E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手套</w:t>
                  </w:r>
                </w:p>
              </w:tc>
              <w:tc>
                <w:tcPr>
                  <w:tcW w:w="1125" w:type="dxa"/>
                  <w:tcBorders>
                    <w:tl2br w:val="nil"/>
                    <w:tr2bl w:val="nil"/>
                  </w:tcBorders>
                  <w:vAlign w:val="center"/>
                </w:tcPr>
                <w:p w14:paraId="76DC8D4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废油</w:t>
                  </w:r>
                  <w:r>
                    <w:rPr>
                      <w:rFonts w:ascii="Times New Roman" w:hAnsi="Times New Roman" w:eastAsia="宋体"/>
                      <w:color w:val="auto"/>
                      <w:sz w:val="21"/>
                      <w:highlight w:val="none"/>
                    </w:rPr>
                    <w:t>脂</w:t>
                  </w:r>
                </w:p>
              </w:tc>
              <w:tc>
                <w:tcPr>
                  <w:tcW w:w="389" w:type="dxa"/>
                  <w:tcBorders>
                    <w:tl2br w:val="nil"/>
                    <w:tr2bl w:val="nil"/>
                  </w:tcBorders>
                  <w:vAlign w:val="center"/>
                </w:tcPr>
                <w:p w14:paraId="6A2A87D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color w:val="auto"/>
                      <w:spacing w:val="1"/>
                      <w:position w:val="1"/>
                      <w:sz w:val="21"/>
                      <w:highlight w:val="none"/>
                    </w:rPr>
                    <w:t>3</w:t>
                  </w:r>
                  <w:r>
                    <w:rPr>
                      <w:rFonts w:ascii="Times New Roman" w:hAnsi="Times New Roman" w:eastAsia="宋体"/>
                      <w:color w:val="auto"/>
                      <w:spacing w:val="1"/>
                      <w:position w:val="1"/>
                      <w:sz w:val="21"/>
                      <w:highlight w:val="none"/>
                    </w:rPr>
                    <w:t>个月</w:t>
                  </w:r>
                </w:p>
              </w:tc>
              <w:tc>
                <w:tcPr>
                  <w:tcW w:w="818" w:type="dxa"/>
                  <w:tcBorders>
                    <w:tl2br w:val="nil"/>
                    <w:tr2bl w:val="nil"/>
                  </w:tcBorders>
                  <w:vAlign w:val="center"/>
                </w:tcPr>
                <w:p w14:paraId="4EEFC51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376" w:type="dxa"/>
                  <w:vMerge w:val="continue"/>
                  <w:tcBorders>
                    <w:tl2br w:val="nil"/>
                    <w:tr2bl w:val="nil"/>
                  </w:tcBorders>
                  <w:vAlign w:val="center"/>
                </w:tcPr>
                <w:p w14:paraId="5DDD26AA">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12A3C6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697C9A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8</w:t>
                  </w:r>
                </w:p>
              </w:tc>
              <w:tc>
                <w:tcPr>
                  <w:tcW w:w="718" w:type="dxa"/>
                  <w:tcBorders>
                    <w:tl2br w:val="nil"/>
                    <w:tr2bl w:val="nil"/>
                  </w:tcBorders>
                  <w:shd w:val="clear" w:color="auto" w:fill="auto"/>
                  <w:vAlign w:val="center"/>
                </w:tcPr>
                <w:p w14:paraId="4A6D4AB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7"/>
                      <w:sz w:val="21"/>
                      <w:highlight w:val="none"/>
                    </w:rPr>
                    <w:t>废滤膜</w:t>
                  </w:r>
                </w:p>
              </w:tc>
              <w:tc>
                <w:tcPr>
                  <w:tcW w:w="637" w:type="dxa"/>
                  <w:tcBorders>
                    <w:tl2br w:val="nil"/>
                    <w:tr2bl w:val="nil"/>
                  </w:tcBorders>
                  <w:shd w:val="clear" w:color="auto" w:fill="auto"/>
                  <w:vAlign w:val="center"/>
                </w:tcPr>
                <w:p w14:paraId="6424C3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position w:val="2"/>
                      <w:sz w:val="21"/>
                      <w:szCs w:val="20"/>
                      <w:highlight w:val="none"/>
                    </w:rPr>
                    <w:t>HW</w:t>
                  </w:r>
                  <w:r>
                    <w:rPr>
                      <w:rFonts w:ascii="Times New Roman" w:hAnsi="Times New Roman" w:eastAsia="宋体" w:cs="Times New Roman"/>
                      <w:color w:val="auto"/>
                      <w:spacing w:val="10"/>
                      <w:position w:val="2"/>
                      <w:sz w:val="21"/>
                      <w:szCs w:val="20"/>
                      <w:highlight w:val="none"/>
                    </w:rPr>
                    <w:t>49</w:t>
                  </w:r>
                </w:p>
              </w:tc>
              <w:tc>
                <w:tcPr>
                  <w:tcW w:w="1050" w:type="dxa"/>
                  <w:tcBorders>
                    <w:tl2br w:val="nil"/>
                    <w:tr2bl w:val="nil"/>
                  </w:tcBorders>
                  <w:shd w:val="clear" w:color="auto" w:fill="auto"/>
                  <w:vAlign w:val="center"/>
                </w:tcPr>
                <w:p w14:paraId="1C4F0BA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900-041-</w:t>
                  </w:r>
                </w:p>
                <w:p w14:paraId="4A51B5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3"/>
                      <w:position w:val="1"/>
                      <w:sz w:val="21"/>
                      <w:szCs w:val="20"/>
                      <w:highlight w:val="none"/>
                    </w:rPr>
                    <w:t>49</w:t>
                  </w:r>
                </w:p>
              </w:tc>
              <w:tc>
                <w:tcPr>
                  <w:tcW w:w="645" w:type="dxa"/>
                  <w:tcBorders>
                    <w:tl2br w:val="nil"/>
                    <w:tr2bl w:val="nil"/>
                  </w:tcBorders>
                  <w:shd w:val="clear" w:color="auto" w:fill="auto"/>
                  <w:vAlign w:val="center"/>
                </w:tcPr>
                <w:p w14:paraId="05EB14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1"/>
                      <w:position w:val="2"/>
                      <w:sz w:val="21"/>
                      <w:szCs w:val="20"/>
                      <w:highlight w:val="none"/>
                    </w:rPr>
                    <w:t>0.4</w:t>
                  </w:r>
                </w:p>
              </w:tc>
              <w:tc>
                <w:tcPr>
                  <w:tcW w:w="800" w:type="dxa"/>
                  <w:tcBorders>
                    <w:tl2br w:val="nil"/>
                    <w:tr2bl w:val="nil"/>
                  </w:tcBorders>
                  <w:shd w:val="clear" w:color="auto" w:fill="auto"/>
                  <w:vAlign w:val="center"/>
                </w:tcPr>
                <w:p w14:paraId="5EE32DA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超滤系</w:t>
                  </w:r>
                </w:p>
                <w:p w14:paraId="069AC94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z w:val="21"/>
                      <w:highlight w:val="none"/>
                    </w:rPr>
                    <w:t>统</w:t>
                  </w:r>
                </w:p>
              </w:tc>
              <w:tc>
                <w:tcPr>
                  <w:tcW w:w="344" w:type="dxa"/>
                  <w:tcBorders>
                    <w:tl2br w:val="nil"/>
                    <w:tr2bl w:val="nil"/>
                  </w:tcBorders>
                  <w:shd w:val="clear" w:color="auto" w:fill="auto"/>
                  <w:vAlign w:val="center"/>
                </w:tcPr>
                <w:p w14:paraId="50C23D8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z w:val="21"/>
                      <w:highlight w:val="none"/>
                    </w:rPr>
                    <w:t>固</w:t>
                  </w:r>
                </w:p>
              </w:tc>
              <w:tc>
                <w:tcPr>
                  <w:tcW w:w="556" w:type="dxa"/>
                  <w:tcBorders>
                    <w:tl2br w:val="nil"/>
                    <w:tr2bl w:val="nil"/>
                  </w:tcBorders>
                  <w:shd w:val="clear" w:color="auto" w:fill="auto"/>
                  <w:vAlign w:val="center"/>
                </w:tcPr>
                <w:p w14:paraId="019DDE5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2"/>
                      <w:sz w:val="21"/>
                      <w:highlight w:val="none"/>
                    </w:rPr>
                    <w:t>沾染</w:t>
                  </w:r>
                </w:p>
                <w:p w14:paraId="555A0F4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3"/>
                      <w:sz w:val="21"/>
                      <w:highlight w:val="none"/>
                    </w:rPr>
                    <w:t>杂质</w:t>
                  </w:r>
                </w:p>
                <w:p w14:paraId="1C26E6D7">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3"/>
                      <w:sz w:val="21"/>
                      <w:highlight w:val="none"/>
                    </w:rPr>
                    <w:t>的滤</w:t>
                  </w:r>
                  <w:r>
                    <w:rPr>
                      <w:rFonts w:ascii="Times New Roman" w:hAnsi="Times New Roman" w:eastAsia="宋体"/>
                      <w:color w:val="auto"/>
                      <w:spacing w:val="1"/>
                      <w:sz w:val="21"/>
                      <w:highlight w:val="none"/>
                    </w:rPr>
                    <w:t>膜</w:t>
                  </w:r>
                </w:p>
              </w:tc>
              <w:tc>
                <w:tcPr>
                  <w:tcW w:w="1125" w:type="dxa"/>
                  <w:tcBorders>
                    <w:tl2br w:val="nil"/>
                    <w:tr2bl w:val="nil"/>
                  </w:tcBorders>
                  <w:shd w:val="clear" w:color="auto" w:fill="auto"/>
                  <w:vAlign w:val="center"/>
                </w:tcPr>
                <w:p w14:paraId="36ECF67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5"/>
                      <w:sz w:val="21"/>
                      <w:highlight w:val="none"/>
                    </w:rPr>
                    <w:t>废过</w:t>
                  </w:r>
                </w:p>
                <w:p w14:paraId="322A71FD">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3"/>
                      <w:sz w:val="21"/>
                      <w:highlight w:val="none"/>
                    </w:rPr>
                    <w:t>滤物</w:t>
                  </w:r>
                </w:p>
              </w:tc>
              <w:tc>
                <w:tcPr>
                  <w:tcW w:w="389" w:type="dxa"/>
                  <w:tcBorders>
                    <w:tl2br w:val="nil"/>
                    <w:tr2bl w:val="nil"/>
                  </w:tcBorders>
                  <w:shd w:val="clear" w:color="auto" w:fill="auto"/>
                  <w:vAlign w:val="center"/>
                </w:tcPr>
                <w:p w14:paraId="1104DC1D">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kern w:val="2"/>
                      <w:sz w:val="21"/>
                      <w:szCs w:val="24"/>
                      <w:highlight w:val="none"/>
                      <w:lang w:val="en-US" w:eastAsia="en-US" w:bidi="ar-SA"/>
                    </w:rPr>
                  </w:pPr>
                  <w:r>
                    <w:rPr>
                      <w:rFonts w:ascii="Times New Roman" w:hAnsi="Times New Roman" w:eastAsia="宋体"/>
                      <w:color w:val="auto"/>
                      <w:spacing w:val="3"/>
                      <w:sz w:val="21"/>
                      <w:highlight w:val="none"/>
                    </w:rPr>
                    <w:t>半年</w:t>
                  </w:r>
                </w:p>
              </w:tc>
              <w:tc>
                <w:tcPr>
                  <w:tcW w:w="818" w:type="dxa"/>
                  <w:tcBorders>
                    <w:tl2br w:val="nil"/>
                    <w:tr2bl w:val="nil"/>
                  </w:tcBorders>
                  <w:shd w:val="clear" w:color="auto" w:fill="auto"/>
                  <w:vAlign w:val="center"/>
                </w:tcPr>
                <w:p w14:paraId="42BC64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kern w:val="2"/>
                      <w:sz w:val="21"/>
                      <w:szCs w:val="20"/>
                      <w:highlight w:val="none"/>
                      <w:lang w:val="en-US" w:eastAsia="zh-CN" w:bidi="ar-SA"/>
                    </w:rPr>
                  </w:pPr>
                  <w:r>
                    <w:rPr>
                      <w:rFonts w:ascii="Times New Roman" w:hAnsi="Times New Roman" w:eastAsia="宋体" w:cs="Times New Roman"/>
                      <w:color w:val="auto"/>
                      <w:spacing w:val="4"/>
                      <w:position w:val="1"/>
                      <w:sz w:val="21"/>
                      <w:szCs w:val="20"/>
                      <w:highlight w:val="none"/>
                    </w:rPr>
                    <w:t>T/</w:t>
                  </w:r>
                  <w:r>
                    <w:rPr>
                      <w:rFonts w:ascii="Times New Roman" w:hAnsi="Times New Roman" w:eastAsia="宋体" w:cs="Times New Roman"/>
                      <w:color w:val="auto"/>
                      <w:position w:val="1"/>
                      <w:sz w:val="21"/>
                      <w:szCs w:val="20"/>
                      <w:highlight w:val="none"/>
                    </w:rPr>
                    <w:t>In</w:t>
                  </w:r>
                </w:p>
              </w:tc>
              <w:tc>
                <w:tcPr>
                  <w:tcW w:w="1376" w:type="dxa"/>
                  <w:vMerge w:val="continue"/>
                  <w:tcBorders>
                    <w:tl2br w:val="nil"/>
                    <w:tr2bl w:val="nil"/>
                  </w:tcBorders>
                  <w:vAlign w:val="center"/>
                </w:tcPr>
                <w:p w14:paraId="695B41A1">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034A0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7DAB299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2"/>
                      <w:sz w:val="21"/>
                      <w:szCs w:val="20"/>
                      <w:highlight w:val="none"/>
                    </w:rPr>
                    <w:t>9</w:t>
                  </w:r>
                </w:p>
              </w:tc>
              <w:tc>
                <w:tcPr>
                  <w:tcW w:w="718" w:type="dxa"/>
                  <w:tcBorders>
                    <w:tl2br w:val="nil"/>
                    <w:tr2bl w:val="nil"/>
                  </w:tcBorders>
                  <w:shd w:val="clear" w:color="auto" w:fill="auto"/>
                  <w:vAlign w:val="center"/>
                </w:tcPr>
                <w:p w14:paraId="2AA1B386">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ascii="Times New Roman" w:hAnsi="Times New Roman" w:eastAsia="宋体" w:cs="宋体"/>
                      <w:color w:val="auto"/>
                      <w:spacing w:val="6"/>
                      <w:sz w:val="21"/>
                      <w:highlight w:val="none"/>
                    </w:rPr>
                    <w:t>废涂料桶</w:t>
                  </w:r>
                </w:p>
              </w:tc>
              <w:tc>
                <w:tcPr>
                  <w:tcW w:w="637" w:type="dxa"/>
                  <w:tcBorders>
                    <w:tl2br w:val="nil"/>
                    <w:tr2bl w:val="nil"/>
                  </w:tcBorders>
                  <w:shd w:val="clear" w:color="auto" w:fill="auto"/>
                  <w:vAlign w:val="center"/>
                </w:tcPr>
                <w:p w14:paraId="7C969A0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hint="eastAsia" w:ascii="Times New Roman" w:hAnsi="Times New Roman" w:eastAsia="宋体" w:cs="宋体"/>
                      <w:color w:val="auto"/>
                      <w:spacing w:val="6"/>
                      <w:sz w:val="21"/>
                      <w:highlight w:val="none"/>
                      <w:lang w:val="en-US" w:eastAsia="zh-CN"/>
                    </w:rPr>
                    <w:t>HW49</w:t>
                  </w:r>
                </w:p>
              </w:tc>
              <w:tc>
                <w:tcPr>
                  <w:tcW w:w="1050" w:type="dxa"/>
                  <w:tcBorders>
                    <w:tl2br w:val="nil"/>
                    <w:tr2bl w:val="nil"/>
                  </w:tcBorders>
                  <w:shd w:val="clear" w:color="auto" w:fill="auto"/>
                  <w:vAlign w:val="center"/>
                </w:tcPr>
                <w:p w14:paraId="33DD8E4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hint="eastAsia" w:ascii="Times New Roman" w:hAnsi="Times New Roman" w:eastAsia="宋体" w:cs="宋体"/>
                      <w:color w:val="auto"/>
                      <w:spacing w:val="6"/>
                      <w:sz w:val="21"/>
                      <w:highlight w:val="none"/>
                      <w:lang w:val="en-US" w:eastAsia="zh-CN"/>
                    </w:rPr>
                    <w:t>900-041-49</w:t>
                  </w:r>
                </w:p>
              </w:tc>
              <w:tc>
                <w:tcPr>
                  <w:tcW w:w="645" w:type="dxa"/>
                  <w:tcBorders>
                    <w:tl2br w:val="nil"/>
                    <w:tr2bl w:val="nil"/>
                  </w:tcBorders>
                  <w:shd w:val="clear" w:color="auto" w:fill="auto"/>
                  <w:vAlign w:val="center"/>
                </w:tcPr>
                <w:p w14:paraId="7CF2F24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hint="eastAsia" w:ascii="Times New Roman" w:hAnsi="Times New Roman" w:eastAsia="宋体" w:cs="宋体"/>
                      <w:color w:val="auto"/>
                      <w:spacing w:val="6"/>
                      <w:sz w:val="21"/>
                      <w:highlight w:val="none"/>
                      <w:lang w:val="en-US" w:eastAsia="zh-CN"/>
                    </w:rPr>
                    <w:t>0.4</w:t>
                  </w:r>
                </w:p>
              </w:tc>
              <w:tc>
                <w:tcPr>
                  <w:tcW w:w="800" w:type="dxa"/>
                  <w:tcBorders>
                    <w:tl2br w:val="nil"/>
                    <w:tr2bl w:val="nil"/>
                  </w:tcBorders>
                  <w:shd w:val="clear" w:color="auto" w:fill="auto"/>
                  <w:vAlign w:val="center"/>
                </w:tcPr>
                <w:p w14:paraId="1A1452C0">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ascii="Times New Roman" w:hAnsi="Times New Roman" w:eastAsia="宋体" w:cs="宋体"/>
                      <w:color w:val="auto"/>
                      <w:spacing w:val="6"/>
                      <w:sz w:val="21"/>
                      <w:highlight w:val="none"/>
                    </w:rPr>
                    <w:t>废涂料桶</w:t>
                  </w:r>
                </w:p>
              </w:tc>
              <w:tc>
                <w:tcPr>
                  <w:tcW w:w="344" w:type="dxa"/>
                  <w:tcBorders>
                    <w:tl2br w:val="nil"/>
                    <w:tr2bl w:val="nil"/>
                  </w:tcBorders>
                  <w:shd w:val="clear" w:color="auto" w:fill="auto"/>
                  <w:vAlign w:val="center"/>
                </w:tcPr>
                <w:p w14:paraId="162D5E9A">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固</w:t>
                  </w:r>
                </w:p>
              </w:tc>
              <w:tc>
                <w:tcPr>
                  <w:tcW w:w="556" w:type="dxa"/>
                  <w:tcBorders>
                    <w:tl2br w:val="nil"/>
                    <w:tr2bl w:val="nil"/>
                  </w:tcBorders>
                  <w:shd w:val="clear" w:color="auto" w:fill="auto"/>
                  <w:vAlign w:val="center"/>
                </w:tcPr>
                <w:p w14:paraId="0794B02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沾有</w:t>
                  </w:r>
                </w:p>
                <w:p w14:paraId="0B96242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化学</w:t>
                  </w:r>
                </w:p>
                <w:p w14:paraId="5C20B1C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spacing w:val="6"/>
                      <w:sz w:val="21"/>
                      <w:highlight w:val="none"/>
                    </w:rPr>
                  </w:pPr>
                  <w:r>
                    <w:rPr>
                      <w:rFonts w:ascii="Times New Roman" w:hAnsi="Times New Roman" w:eastAsia="宋体" w:cs="宋体"/>
                      <w:color w:val="auto"/>
                      <w:spacing w:val="6"/>
                      <w:sz w:val="21"/>
                      <w:highlight w:val="none"/>
                    </w:rPr>
                    <w:t>品的</w:t>
                  </w:r>
                </w:p>
                <w:p w14:paraId="79896964">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ascii="Times New Roman" w:hAnsi="Times New Roman" w:eastAsia="宋体" w:cs="宋体"/>
                      <w:color w:val="auto"/>
                      <w:spacing w:val="6"/>
                      <w:sz w:val="21"/>
                      <w:highlight w:val="none"/>
                    </w:rPr>
                    <w:t>包装物</w:t>
                  </w:r>
                </w:p>
              </w:tc>
              <w:tc>
                <w:tcPr>
                  <w:tcW w:w="1125" w:type="dxa"/>
                  <w:tcBorders>
                    <w:tl2br w:val="nil"/>
                    <w:tr2bl w:val="nil"/>
                  </w:tcBorders>
                  <w:shd w:val="clear" w:color="auto" w:fill="auto"/>
                  <w:vAlign w:val="center"/>
                </w:tcPr>
                <w:p w14:paraId="202B90C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有机溶剂</w:t>
                  </w:r>
                </w:p>
              </w:tc>
              <w:tc>
                <w:tcPr>
                  <w:tcW w:w="389" w:type="dxa"/>
                  <w:tcBorders>
                    <w:tl2br w:val="nil"/>
                    <w:tr2bl w:val="nil"/>
                  </w:tcBorders>
                  <w:shd w:val="clear" w:color="auto" w:fill="auto"/>
                  <w:vAlign w:val="center"/>
                </w:tcPr>
                <w:p w14:paraId="26E899B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ascii="Times New Roman" w:hAnsi="Times New Roman" w:eastAsia="宋体" w:cs="宋体"/>
                      <w:color w:val="auto"/>
                      <w:spacing w:val="6"/>
                      <w:sz w:val="21"/>
                      <w:highlight w:val="none"/>
                    </w:rPr>
                    <w:t>3个月</w:t>
                  </w:r>
                </w:p>
              </w:tc>
              <w:tc>
                <w:tcPr>
                  <w:tcW w:w="818" w:type="dxa"/>
                  <w:tcBorders>
                    <w:tl2br w:val="nil"/>
                    <w:tr2bl w:val="nil"/>
                  </w:tcBorders>
                  <w:shd w:val="clear" w:color="auto" w:fill="auto"/>
                  <w:vAlign w:val="center"/>
                </w:tcPr>
                <w:p w14:paraId="752559B8">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ascii="Times New Roman" w:hAnsi="Times New Roman" w:eastAsia="宋体" w:cs="宋体"/>
                      <w:color w:val="auto"/>
                      <w:spacing w:val="6"/>
                      <w:sz w:val="21"/>
                      <w:highlight w:val="none"/>
                    </w:rPr>
                    <w:t>T/I/C</w:t>
                  </w:r>
                </w:p>
              </w:tc>
              <w:tc>
                <w:tcPr>
                  <w:tcW w:w="1376" w:type="dxa"/>
                  <w:vMerge w:val="continue"/>
                  <w:tcBorders>
                    <w:tl2br w:val="nil"/>
                    <w:tr2bl w:val="nil"/>
                  </w:tcBorders>
                  <w:vAlign w:val="center"/>
                </w:tcPr>
                <w:p w14:paraId="5B02B5EC">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491458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3CBD161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ascii="Times New Roman" w:hAnsi="Times New Roman" w:eastAsia="宋体" w:cs="Times New Roman"/>
                      <w:color w:val="auto"/>
                      <w:position w:val="2"/>
                      <w:sz w:val="21"/>
                      <w:szCs w:val="20"/>
                      <w:highlight w:val="none"/>
                      <w:lang w:val="en-US" w:eastAsia="zh-CN"/>
                    </w:rPr>
                    <w:t>10</w:t>
                  </w:r>
                </w:p>
              </w:tc>
              <w:tc>
                <w:tcPr>
                  <w:tcW w:w="718" w:type="dxa"/>
                  <w:tcBorders>
                    <w:tl2br w:val="nil"/>
                    <w:tr2bl w:val="nil"/>
                  </w:tcBorders>
                  <w:shd w:val="clear" w:color="auto" w:fill="auto"/>
                  <w:vAlign w:val="center"/>
                </w:tcPr>
                <w:p w14:paraId="5FBEE17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废滤筒滤芯</w:t>
                  </w:r>
                </w:p>
              </w:tc>
              <w:tc>
                <w:tcPr>
                  <w:tcW w:w="637" w:type="dxa"/>
                  <w:tcBorders>
                    <w:tl2br w:val="nil"/>
                    <w:tr2bl w:val="nil"/>
                  </w:tcBorders>
                  <w:shd w:val="clear" w:color="auto" w:fill="auto"/>
                  <w:vAlign w:val="center"/>
                </w:tcPr>
                <w:p w14:paraId="06EADE6E">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HW49</w:t>
                  </w:r>
                </w:p>
              </w:tc>
              <w:tc>
                <w:tcPr>
                  <w:tcW w:w="1050" w:type="dxa"/>
                  <w:tcBorders>
                    <w:tl2br w:val="nil"/>
                    <w:tr2bl w:val="nil"/>
                  </w:tcBorders>
                  <w:shd w:val="clear" w:color="auto" w:fill="auto"/>
                  <w:vAlign w:val="center"/>
                </w:tcPr>
                <w:p w14:paraId="5808413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900-04</w:t>
                  </w:r>
                  <w:r>
                    <w:rPr>
                      <w:rFonts w:hint="eastAsia" w:ascii="Times New Roman" w:hAnsi="Times New Roman" w:eastAsia="宋体" w:cs="宋体"/>
                      <w:color w:val="auto"/>
                      <w:spacing w:val="6"/>
                      <w:sz w:val="21"/>
                      <w:highlight w:val="none"/>
                      <w:lang w:val="en-US" w:eastAsia="zh-CN"/>
                    </w:rPr>
                    <w:t>1</w:t>
                  </w:r>
                  <w:r>
                    <w:rPr>
                      <w:rFonts w:ascii="Times New Roman" w:hAnsi="Times New Roman" w:eastAsia="宋体" w:cs="宋体"/>
                      <w:color w:val="auto"/>
                      <w:spacing w:val="6"/>
                      <w:sz w:val="21"/>
                      <w:highlight w:val="none"/>
                    </w:rPr>
                    <w:t>-49</w:t>
                  </w:r>
                </w:p>
              </w:tc>
              <w:tc>
                <w:tcPr>
                  <w:tcW w:w="645" w:type="dxa"/>
                  <w:tcBorders>
                    <w:tl2br w:val="nil"/>
                    <w:tr2bl w:val="nil"/>
                  </w:tcBorders>
                  <w:shd w:val="clear" w:color="auto" w:fill="auto"/>
                  <w:vAlign w:val="center"/>
                </w:tcPr>
                <w:p w14:paraId="2B4B370E">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2.0</w:t>
                  </w:r>
                </w:p>
              </w:tc>
              <w:tc>
                <w:tcPr>
                  <w:tcW w:w="800" w:type="dxa"/>
                  <w:tcBorders>
                    <w:tl2br w:val="nil"/>
                    <w:tr2bl w:val="nil"/>
                  </w:tcBorders>
                  <w:shd w:val="clear" w:color="auto" w:fill="auto"/>
                  <w:vAlign w:val="center"/>
                </w:tcPr>
                <w:p w14:paraId="70A5782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喷粉粉尘治理</w:t>
                  </w:r>
                </w:p>
              </w:tc>
              <w:tc>
                <w:tcPr>
                  <w:tcW w:w="344" w:type="dxa"/>
                  <w:tcBorders>
                    <w:tl2br w:val="nil"/>
                    <w:tr2bl w:val="nil"/>
                  </w:tcBorders>
                  <w:shd w:val="clear" w:color="auto" w:fill="auto"/>
                  <w:vAlign w:val="center"/>
                </w:tcPr>
                <w:p w14:paraId="57C17727">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固态</w:t>
                  </w:r>
                </w:p>
              </w:tc>
              <w:tc>
                <w:tcPr>
                  <w:tcW w:w="556" w:type="dxa"/>
                  <w:tcBorders>
                    <w:tl2br w:val="nil"/>
                    <w:tr2bl w:val="nil"/>
                  </w:tcBorders>
                  <w:shd w:val="clear" w:color="auto" w:fill="auto"/>
                  <w:vAlign w:val="center"/>
                </w:tcPr>
                <w:p w14:paraId="3A5287B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有机物等</w:t>
                  </w:r>
                </w:p>
              </w:tc>
              <w:tc>
                <w:tcPr>
                  <w:tcW w:w="1125" w:type="dxa"/>
                  <w:tcBorders>
                    <w:tl2br w:val="nil"/>
                    <w:tr2bl w:val="nil"/>
                  </w:tcBorders>
                  <w:shd w:val="clear" w:color="auto" w:fill="auto"/>
                  <w:vAlign w:val="center"/>
                </w:tcPr>
                <w:p w14:paraId="418665AE">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有机物等</w:t>
                  </w:r>
                </w:p>
              </w:tc>
              <w:tc>
                <w:tcPr>
                  <w:tcW w:w="389" w:type="dxa"/>
                  <w:tcBorders>
                    <w:tl2br w:val="nil"/>
                    <w:tr2bl w:val="nil"/>
                  </w:tcBorders>
                  <w:shd w:val="clear" w:color="auto" w:fill="auto"/>
                  <w:vAlign w:val="center"/>
                </w:tcPr>
                <w:p w14:paraId="4B9422B5">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每季</w:t>
                  </w:r>
                </w:p>
              </w:tc>
              <w:tc>
                <w:tcPr>
                  <w:tcW w:w="818" w:type="dxa"/>
                  <w:tcBorders>
                    <w:tl2br w:val="nil"/>
                    <w:tr2bl w:val="nil"/>
                  </w:tcBorders>
                  <w:shd w:val="clear" w:color="auto" w:fill="auto"/>
                  <w:vAlign w:val="center"/>
                </w:tcPr>
                <w:p w14:paraId="3F1890C9">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T</w:t>
                  </w:r>
                  <w:r>
                    <w:rPr>
                      <w:rFonts w:hint="eastAsia" w:ascii="Times New Roman" w:hAnsi="Times New Roman" w:eastAsia="宋体" w:cs="宋体"/>
                      <w:color w:val="auto"/>
                      <w:spacing w:val="6"/>
                      <w:sz w:val="21"/>
                      <w:highlight w:val="none"/>
                    </w:rPr>
                    <w:t>/In</w:t>
                  </w:r>
                  <w:r>
                    <w:rPr>
                      <w:rFonts w:ascii="Times New Roman" w:hAnsi="Times New Roman" w:eastAsia="宋体" w:cs="宋体"/>
                      <w:color w:val="auto"/>
                      <w:spacing w:val="6"/>
                      <w:sz w:val="21"/>
                      <w:highlight w:val="none"/>
                    </w:rPr>
                    <w:t xml:space="preserve"> </w:t>
                  </w:r>
                </w:p>
              </w:tc>
              <w:tc>
                <w:tcPr>
                  <w:tcW w:w="1376" w:type="dxa"/>
                  <w:vMerge w:val="continue"/>
                  <w:tcBorders>
                    <w:tl2br w:val="nil"/>
                    <w:tr2bl w:val="nil"/>
                  </w:tcBorders>
                  <w:vAlign w:val="center"/>
                </w:tcPr>
                <w:p w14:paraId="1F9CA12A">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273D53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54CE94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cs="Times New Roman"/>
                      <w:color w:val="auto"/>
                      <w:position w:val="2"/>
                      <w:sz w:val="21"/>
                      <w:szCs w:val="20"/>
                      <w:highlight w:val="none"/>
                      <w:lang w:val="en-US" w:eastAsia="zh-CN"/>
                    </w:rPr>
                    <w:t>11</w:t>
                  </w:r>
                </w:p>
              </w:tc>
              <w:tc>
                <w:tcPr>
                  <w:tcW w:w="718" w:type="dxa"/>
                  <w:tcBorders>
                    <w:tl2br w:val="nil"/>
                    <w:tr2bl w:val="nil"/>
                  </w:tcBorders>
                  <w:shd w:val="clear" w:color="auto" w:fill="auto"/>
                  <w:vAlign w:val="center"/>
                </w:tcPr>
                <w:p w14:paraId="24A8DC38">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浮油</w:t>
                  </w:r>
                </w:p>
              </w:tc>
              <w:tc>
                <w:tcPr>
                  <w:tcW w:w="637" w:type="dxa"/>
                  <w:tcBorders>
                    <w:tl2br w:val="nil"/>
                    <w:tr2bl w:val="nil"/>
                  </w:tcBorders>
                  <w:shd w:val="clear" w:color="auto" w:fill="auto"/>
                  <w:vAlign w:val="center"/>
                </w:tcPr>
                <w:p w14:paraId="7A6B5857">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default" w:ascii="Times New Roman" w:hAnsi="Times New Roman" w:eastAsia="宋体" w:cs="宋体"/>
                      <w:color w:val="auto"/>
                      <w:spacing w:val="6"/>
                      <w:sz w:val="21"/>
                      <w:highlight w:val="none"/>
                      <w:lang w:val="en-US" w:eastAsia="zh-CN"/>
                    </w:rPr>
                    <w:t>HW08</w:t>
                  </w:r>
                </w:p>
              </w:tc>
              <w:tc>
                <w:tcPr>
                  <w:tcW w:w="1050" w:type="dxa"/>
                  <w:tcBorders>
                    <w:tl2br w:val="nil"/>
                    <w:tr2bl w:val="nil"/>
                  </w:tcBorders>
                  <w:shd w:val="clear" w:color="auto" w:fill="auto"/>
                  <w:vAlign w:val="center"/>
                </w:tcPr>
                <w:p w14:paraId="38E15565">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default" w:ascii="Times New Roman" w:hAnsi="Times New Roman" w:eastAsia="宋体" w:cs="宋体"/>
                      <w:color w:val="auto"/>
                      <w:spacing w:val="6"/>
                      <w:sz w:val="21"/>
                      <w:highlight w:val="none"/>
                      <w:lang w:val="en-US" w:eastAsia="zh-CN"/>
                    </w:rPr>
                    <w:t>900-2</w:t>
                  </w:r>
                  <w:r>
                    <w:rPr>
                      <w:rFonts w:hint="eastAsia" w:ascii="Times New Roman" w:hAnsi="Times New Roman" w:eastAsia="宋体" w:cs="宋体"/>
                      <w:color w:val="auto"/>
                      <w:spacing w:val="6"/>
                      <w:sz w:val="21"/>
                      <w:highlight w:val="none"/>
                      <w:lang w:val="en-US" w:eastAsia="zh-CN"/>
                    </w:rPr>
                    <w:t>10</w:t>
                  </w:r>
                  <w:r>
                    <w:rPr>
                      <w:rFonts w:hint="default" w:ascii="Times New Roman" w:hAnsi="Times New Roman" w:eastAsia="宋体" w:cs="宋体"/>
                      <w:color w:val="auto"/>
                      <w:spacing w:val="6"/>
                      <w:sz w:val="21"/>
                      <w:highlight w:val="none"/>
                      <w:lang w:val="en-US" w:eastAsia="zh-CN"/>
                    </w:rPr>
                    <w:t>-08</w:t>
                  </w:r>
                </w:p>
              </w:tc>
              <w:tc>
                <w:tcPr>
                  <w:tcW w:w="645" w:type="dxa"/>
                  <w:tcBorders>
                    <w:tl2br w:val="nil"/>
                    <w:tr2bl w:val="nil"/>
                  </w:tcBorders>
                  <w:shd w:val="clear" w:color="auto" w:fill="auto"/>
                  <w:vAlign w:val="center"/>
                </w:tcPr>
                <w:p w14:paraId="633B4D0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0.2</w:t>
                  </w:r>
                </w:p>
              </w:tc>
              <w:tc>
                <w:tcPr>
                  <w:tcW w:w="800" w:type="dxa"/>
                  <w:tcBorders>
                    <w:tl2br w:val="nil"/>
                    <w:tr2bl w:val="nil"/>
                  </w:tcBorders>
                  <w:shd w:val="clear" w:color="auto" w:fill="auto"/>
                  <w:vAlign w:val="center"/>
                </w:tcPr>
                <w:p w14:paraId="1866E7C5">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油水分离装置</w:t>
                  </w:r>
                </w:p>
              </w:tc>
              <w:tc>
                <w:tcPr>
                  <w:tcW w:w="344" w:type="dxa"/>
                  <w:tcBorders>
                    <w:tl2br w:val="nil"/>
                    <w:tr2bl w:val="nil"/>
                  </w:tcBorders>
                  <w:shd w:val="clear" w:color="auto" w:fill="auto"/>
                  <w:vAlign w:val="center"/>
                </w:tcPr>
                <w:p w14:paraId="26ACBE5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液态</w:t>
                  </w:r>
                </w:p>
              </w:tc>
              <w:tc>
                <w:tcPr>
                  <w:tcW w:w="556" w:type="dxa"/>
                  <w:tcBorders>
                    <w:tl2br w:val="nil"/>
                    <w:tr2bl w:val="nil"/>
                  </w:tcBorders>
                  <w:shd w:val="clear" w:color="auto" w:fill="auto"/>
                  <w:vAlign w:val="center"/>
                </w:tcPr>
                <w:p w14:paraId="549D85F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矿物油</w:t>
                  </w:r>
                </w:p>
              </w:tc>
              <w:tc>
                <w:tcPr>
                  <w:tcW w:w="1125" w:type="dxa"/>
                  <w:tcBorders>
                    <w:tl2br w:val="nil"/>
                    <w:tr2bl w:val="nil"/>
                  </w:tcBorders>
                  <w:shd w:val="clear" w:color="auto" w:fill="auto"/>
                  <w:vAlign w:val="center"/>
                </w:tcPr>
                <w:p w14:paraId="4847B787">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矿物油</w:t>
                  </w:r>
                </w:p>
              </w:tc>
              <w:tc>
                <w:tcPr>
                  <w:tcW w:w="389" w:type="dxa"/>
                  <w:tcBorders>
                    <w:tl2br w:val="nil"/>
                    <w:tr2bl w:val="nil"/>
                  </w:tcBorders>
                  <w:shd w:val="clear" w:color="auto" w:fill="auto"/>
                  <w:vAlign w:val="center"/>
                </w:tcPr>
                <w:p w14:paraId="3ED2EEBE">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每</w:t>
                  </w:r>
                  <w:r>
                    <w:rPr>
                      <w:rFonts w:hint="eastAsia" w:ascii="Times New Roman" w:hAnsi="Times New Roman" w:eastAsia="宋体" w:cs="宋体"/>
                      <w:color w:val="auto"/>
                      <w:spacing w:val="6"/>
                      <w:sz w:val="21"/>
                      <w:highlight w:val="none"/>
                      <w:lang w:val="en-US" w:eastAsia="zh-CN"/>
                    </w:rPr>
                    <w:t>月</w:t>
                  </w:r>
                </w:p>
              </w:tc>
              <w:tc>
                <w:tcPr>
                  <w:tcW w:w="818" w:type="dxa"/>
                  <w:tcBorders>
                    <w:tl2br w:val="nil"/>
                    <w:tr2bl w:val="nil"/>
                  </w:tcBorders>
                  <w:shd w:val="clear" w:color="auto" w:fill="auto"/>
                  <w:vAlign w:val="center"/>
                </w:tcPr>
                <w:p w14:paraId="3A39E869">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T</w:t>
                  </w:r>
                  <w:r>
                    <w:rPr>
                      <w:rFonts w:hint="eastAsia" w:ascii="Times New Roman" w:hAnsi="Times New Roman" w:cs="宋体"/>
                      <w:color w:val="auto"/>
                      <w:spacing w:val="6"/>
                      <w:sz w:val="21"/>
                      <w:highlight w:val="none"/>
                      <w:lang w:eastAsia="zh-CN"/>
                    </w:rPr>
                    <w:t xml:space="preserve">, </w:t>
                  </w:r>
                  <w:r>
                    <w:rPr>
                      <w:rFonts w:ascii="Times New Roman" w:hAnsi="Times New Roman" w:eastAsia="宋体" w:cs="宋体"/>
                      <w:color w:val="auto"/>
                      <w:spacing w:val="6"/>
                      <w:sz w:val="21"/>
                      <w:highlight w:val="none"/>
                    </w:rPr>
                    <w:t>I</w:t>
                  </w:r>
                </w:p>
              </w:tc>
              <w:tc>
                <w:tcPr>
                  <w:tcW w:w="1376" w:type="dxa"/>
                  <w:vMerge w:val="continue"/>
                  <w:tcBorders>
                    <w:tl2br w:val="nil"/>
                    <w:tr2bl w:val="nil"/>
                  </w:tcBorders>
                  <w:vAlign w:val="center"/>
                </w:tcPr>
                <w:p w14:paraId="08E3807B">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232181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416053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cs="Times New Roman"/>
                      <w:color w:val="auto"/>
                      <w:position w:val="2"/>
                      <w:sz w:val="21"/>
                      <w:szCs w:val="20"/>
                      <w:highlight w:val="none"/>
                      <w:lang w:val="en-US" w:eastAsia="zh-CN"/>
                    </w:rPr>
                    <w:t>12</w:t>
                  </w:r>
                </w:p>
              </w:tc>
              <w:tc>
                <w:tcPr>
                  <w:tcW w:w="718" w:type="dxa"/>
                  <w:tcBorders>
                    <w:tl2br w:val="nil"/>
                    <w:tr2bl w:val="nil"/>
                  </w:tcBorders>
                  <w:shd w:val="clear" w:color="auto" w:fill="auto"/>
                  <w:vAlign w:val="center"/>
                </w:tcPr>
                <w:p w14:paraId="368E666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废漆渣</w:t>
                  </w:r>
                </w:p>
              </w:tc>
              <w:tc>
                <w:tcPr>
                  <w:tcW w:w="637" w:type="dxa"/>
                  <w:tcBorders>
                    <w:tl2br w:val="nil"/>
                    <w:tr2bl w:val="nil"/>
                  </w:tcBorders>
                  <w:shd w:val="clear" w:color="auto" w:fill="auto"/>
                  <w:vAlign w:val="center"/>
                </w:tcPr>
                <w:p w14:paraId="726D3300">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HW</w:t>
                  </w:r>
                  <w:r>
                    <w:rPr>
                      <w:rFonts w:hint="eastAsia" w:ascii="Times New Roman" w:hAnsi="Times New Roman" w:eastAsia="宋体" w:cs="宋体"/>
                      <w:color w:val="auto"/>
                      <w:spacing w:val="6"/>
                      <w:sz w:val="21"/>
                      <w:highlight w:val="none"/>
                      <w:lang w:val="en-US" w:eastAsia="zh-CN"/>
                    </w:rPr>
                    <w:t>12</w:t>
                  </w:r>
                </w:p>
              </w:tc>
              <w:tc>
                <w:tcPr>
                  <w:tcW w:w="1050" w:type="dxa"/>
                  <w:tcBorders>
                    <w:tl2br w:val="nil"/>
                    <w:tr2bl w:val="nil"/>
                  </w:tcBorders>
                  <w:shd w:val="clear" w:color="auto" w:fill="auto"/>
                  <w:vAlign w:val="center"/>
                </w:tcPr>
                <w:p w14:paraId="12048B7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default" w:ascii="Times New Roman" w:hAnsi="Times New Roman" w:eastAsia="宋体" w:cs="宋体"/>
                      <w:color w:val="auto"/>
                      <w:spacing w:val="6"/>
                      <w:sz w:val="21"/>
                      <w:highlight w:val="none"/>
                      <w:lang w:val="en-US" w:eastAsia="zh-CN"/>
                    </w:rPr>
                    <w:t>900-2</w:t>
                  </w:r>
                  <w:r>
                    <w:rPr>
                      <w:rFonts w:hint="eastAsia" w:ascii="Times New Roman" w:hAnsi="Times New Roman" w:eastAsia="宋体" w:cs="宋体"/>
                      <w:color w:val="auto"/>
                      <w:spacing w:val="6"/>
                      <w:sz w:val="21"/>
                      <w:highlight w:val="none"/>
                      <w:lang w:val="en-US" w:eastAsia="zh-CN"/>
                    </w:rPr>
                    <w:t>52-12</w:t>
                  </w:r>
                </w:p>
              </w:tc>
              <w:tc>
                <w:tcPr>
                  <w:tcW w:w="645" w:type="dxa"/>
                  <w:tcBorders>
                    <w:tl2br w:val="nil"/>
                    <w:tr2bl w:val="nil"/>
                  </w:tcBorders>
                  <w:shd w:val="clear" w:color="auto" w:fill="auto"/>
                  <w:vAlign w:val="center"/>
                </w:tcPr>
                <w:p w14:paraId="02B9659E">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1.6524</w:t>
                  </w:r>
                </w:p>
              </w:tc>
              <w:tc>
                <w:tcPr>
                  <w:tcW w:w="800" w:type="dxa"/>
                  <w:tcBorders>
                    <w:tl2br w:val="nil"/>
                    <w:tr2bl w:val="nil"/>
                  </w:tcBorders>
                  <w:shd w:val="clear" w:color="auto" w:fill="auto"/>
                  <w:vAlign w:val="center"/>
                </w:tcPr>
                <w:p w14:paraId="5251177D">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废气治理设施</w:t>
                  </w:r>
                </w:p>
              </w:tc>
              <w:tc>
                <w:tcPr>
                  <w:tcW w:w="344" w:type="dxa"/>
                  <w:tcBorders>
                    <w:tl2br w:val="nil"/>
                    <w:tr2bl w:val="nil"/>
                  </w:tcBorders>
                  <w:shd w:val="clear" w:color="auto" w:fill="auto"/>
                  <w:vAlign w:val="center"/>
                </w:tcPr>
                <w:p w14:paraId="38800F79">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固态</w:t>
                  </w:r>
                </w:p>
              </w:tc>
              <w:tc>
                <w:tcPr>
                  <w:tcW w:w="556" w:type="dxa"/>
                  <w:tcBorders>
                    <w:tl2br w:val="nil"/>
                    <w:tr2bl w:val="nil"/>
                  </w:tcBorders>
                  <w:shd w:val="clear" w:color="auto" w:fill="auto"/>
                  <w:vAlign w:val="center"/>
                </w:tcPr>
                <w:p w14:paraId="263B3937">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有机物</w:t>
                  </w:r>
                </w:p>
              </w:tc>
              <w:tc>
                <w:tcPr>
                  <w:tcW w:w="1125" w:type="dxa"/>
                  <w:tcBorders>
                    <w:tl2br w:val="nil"/>
                    <w:tr2bl w:val="nil"/>
                  </w:tcBorders>
                  <w:shd w:val="clear" w:color="auto" w:fill="auto"/>
                  <w:vAlign w:val="center"/>
                </w:tcPr>
                <w:p w14:paraId="1D62BE1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有机物</w:t>
                  </w:r>
                </w:p>
              </w:tc>
              <w:tc>
                <w:tcPr>
                  <w:tcW w:w="389" w:type="dxa"/>
                  <w:tcBorders>
                    <w:tl2br w:val="nil"/>
                    <w:tr2bl w:val="nil"/>
                  </w:tcBorders>
                  <w:shd w:val="clear" w:color="auto" w:fill="auto"/>
                  <w:vAlign w:val="center"/>
                </w:tcPr>
                <w:p w14:paraId="15372140">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每月</w:t>
                  </w:r>
                </w:p>
              </w:tc>
              <w:tc>
                <w:tcPr>
                  <w:tcW w:w="818" w:type="dxa"/>
                  <w:tcBorders>
                    <w:tl2br w:val="nil"/>
                    <w:tr2bl w:val="nil"/>
                  </w:tcBorders>
                  <w:shd w:val="clear" w:color="auto" w:fill="auto"/>
                  <w:vAlign w:val="center"/>
                </w:tcPr>
                <w:p w14:paraId="721C317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T</w:t>
                  </w:r>
                  <w:r>
                    <w:rPr>
                      <w:rFonts w:hint="eastAsia" w:ascii="Times New Roman" w:hAnsi="Times New Roman" w:cs="宋体"/>
                      <w:color w:val="auto"/>
                      <w:spacing w:val="6"/>
                      <w:sz w:val="21"/>
                      <w:highlight w:val="none"/>
                      <w:lang w:eastAsia="zh-CN"/>
                    </w:rPr>
                    <w:t xml:space="preserve">, </w:t>
                  </w:r>
                  <w:r>
                    <w:rPr>
                      <w:rFonts w:ascii="Times New Roman" w:hAnsi="Times New Roman" w:eastAsia="宋体" w:cs="宋体"/>
                      <w:color w:val="auto"/>
                      <w:spacing w:val="6"/>
                      <w:sz w:val="21"/>
                      <w:highlight w:val="none"/>
                    </w:rPr>
                    <w:t>I</w:t>
                  </w:r>
                </w:p>
              </w:tc>
              <w:tc>
                <w:tcPr>
                  <w:tcW w:w="1376" w:type="dxa"/>
                  <w:vMerge w:val="continue"/>
                  <w:tcBorders>
                    <w:tl2br w:val="nil"/>
                    <w:tr2bl w:val="nil"/>
                  </w:tcBorders>
                  <w:vAlign w:val="center"/>
                </w:tcPr>
                <w:p w14:paraId="08ED3E44">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tr w14:paraId="192134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293" w:type="dxa"/>
                  <w:tcBorders>
                    <w:tl2br w:val="nil"/>
                    <w:tr2bl w:val="nil"/>
                  </w:tcBorders>
                  <w:vAlign w:val="center"/>
                </w:tcPr>
                <w:p w14:paraId="33C2B6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position w:val="2"/>
                      <w:sz w:val="21"/>
                      <w:szCs w:val="20"/>
                      <w:highlight w:val="none"/>
                      <w:lang w:val="en-US" w:eastAsia="zh-CN"/>
                    </w:rPr>
                  </w:pPr>
                  <w:r>
                    <w:rPr>
                      <w:rFonts w:hint="eastAsia" w:cs="Times New Roman"/>
                      <w:color w:val="auto"/>
                      <w:position w:val="2"/>
                      <w:sz w:val="21"/>
                      <w:szCs w:val="20"/>
                      <w:highlight w:val="none"/>
                      <w:lang w:val="en-US" w:eastAsia="zh-CN"/>
                    </w:rPr>
                    <w:t>13</w:t>
                  </w:r>
                </w:p>
              </w:tc>
              <w:tc>
                <w:tcPr>
                  <w:tcW w:w="718" w:type="dxa"/>
                  <w:tcBorders>
                    <w:tl2br w:val="nil"/>
                    <w:tr2bl w:val="nil"/>
                  </w:tcBorders>
                  <w:shd w:val="clear" w:color="auto" w:fill="auto"/>
                  <w:vAlign w:val="center"/>
                </w:tcPr>
                <w:p w14:paraId="3AC05CC6">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废槽液</w:t>
                  </w:r>
                </w:p>
              </w:tc>
              <w:tc>
                <w:tcPr>
                  <w:tcW w:w="637" w:type="dxa"/>
                  <w:tcBorders>
                    <w:tl2br w:val="nil"/>
                    <w:tr2bl w:val="nil"/>
                  </w:tcBorders>
                  <w:shd w:val="clear" w:color="auto" w:fill="auto"/>
                  <w:vAlign w:val="center"/>
                </w:tcPr>
                <w:p w14:paraId="050D9505">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cs="宋体"/>
                      <w:color w:val="auto"/>
                      <w:spacing w:val="6"/>
                      <w:sz w:val="21"/>
                      <w:highlight w:val="none"/>
                      <w:lang w:val="en-US" w:eastAsia="zh-CN"/>
                    </w:rPr>
                    <w:t>HW17</w:t>
                  </w:r>
                </w:p>
              </w:tc>
              <w:tc>
                <w:tcPr>
                  <w:tcW w:w="1050" w:type="dxa"/>
                  <w:tcBorders>
                    <w:tl2br w:val="nil"/>
                    <w:tr2bl w:val="nil"/>
                  </w:tcBorders>
                  <w:shd w:val="clear" w:color="auto" w:fill="auto"/>
                  <w:vAlign w:val="center"/>
                </w:tcPr>
                <w:p w14:paraId="6344C4A5">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cs="宋体"/>
                      <w:color w:val="auto"/>
                      <w:spacing w:val="6"/>
                      <w:sz w:val="21"/>
                      <w:highlight w:val="none"/>
                      <w:lang w:val="en-US" w:eastAsia="zh-CN"/>
                    </w:rPr>
                    <w:t>336-064-17</w:t>
                  </w:r>
                </w:p>
              </w:tc>
              <w:tc>
                <w:tcPr>
                  <w:tcW w:w="645" w:type="dxa"/>
                  <w:tcBorders>
                    <w:tl2br w:val="nil"/>
                    <w:tr2bl w:val="nil"/>
                  </w:tcBorders>
                  <w:shd w:val="clear" w:color="auto" w:fill="auto"/>
                  <w:vAlign w:val="center"/>
                </w:tcPr>
                <w:p w14:paraId="22F969EB">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cs="宋体"/>
                      <w:color w:val="auto"/>
                      <w:spacing w:val="6"/>
                      <w:sz w:val="21"/>
                      <w:highlight w:val="none"/>
                      <w:lang w:val="en-US" w:eastAsia="zh-CN"/>
                    </w:rPr>
                    <w:t>83.18</w:t>
                  </w:r>
                </w:p>
              </w:tc>
              <w:tc>
                <w:tcPr>
                  <w:tcW w:w="800" w:type="dxa"/>
                  <w:tcBorders>
                    <w:tl2br w:val="nil"/>
                    <w:tr2bl w:val="nil"/>
                  </w:tcBorders>
                  <w:shd w:val="clear" w:color="auto" w:fill="auto"/>
                  <w:vAlign w:val="center"/>
                </w:tcPr>
                <w:p w14:paraId="3FC3051C">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cs="宋体"/>
                      <w:color w:val="auto"/>
                      <w:spacing w:val="6"/>
                      <w:sz w:val="21"/>
                      <w:highlight w:val="none"/>
                      <w:lang w:val="en-US" w:eastAsia="zh-CN"/>
                    </w:rPr>
                    <w:t>电泳</w:t>
                  </w:r>
                </w:p>
              </w:tc>
              <w:tc>
                <w:tcPr>
                  <w:tcW w:w="344" w:type="dxa"/>
                  <w:tcBorders>
                    <w:tl2br w:val="nil"/>
                    <w:tr2bl w:val="nil"/>
                  </w:tcBorders>
                  <w:shd w:val="clear" w:color="auto" w:fill="auto"/>
                  <w:vAlign w:val="center"/>
                </w:tcPr>
                <w:p w14:paraId="7B68EC3D">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ascii="Times New Roman" w:hAnsi="Times New Roman" w:eastAsia="宋体" w:cs="宋体"/>
                      <w:color w:val="auto"/>
                      <w:spacing w:val="6"/>
                      <w:sz w:val="21"/>
                      <w:highlight w:val="none"/>
                    </w:rPr>
                    <w:t>液态</w:t>
                  </w:r>
                </w:p>
              </w:tc>
              <w:tc>
                <w:tcPr>
                  <w:tcW w:w="556" w:type="dxa"/>
                  <w:tcBorders>
                    <w:tl2br w:val="nil"/>
                    <w:tr2bl w:val="nil"/>
                  </w:tcBorders>
                  <w:shd w:val="clear" w:color="auto" w:fill="auto"/>
                  <w:vAlign w:val="center"/>
                </w:tcPr>
                <w:p w14:paraId="2972C7C0">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有机物</w:t>
                  </w:r>
                </w:p>
              </w:tc>
              <w:tc>
                <w:tcPr>
                  <w:tcW w:w="1125" w:type="dxa"/>
                  <w:tcBorders>
                    <w:tl2br w:val="nil"/>
                    <w:tr2bl w:val="nil"/>
                  </w:tcBorders>
                  <w:shd w:val="clear" w:color="auto" w:fill="auto"/>
                  <w:vAlign w:val="center"/>
                </w:tcPr>
                <w:p w14:paraId="638C6D0D">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有机物等</w:t>
                  </w:r>
                </w:p>
              </w:tc>
              <w:tc>
                <w:tcPr>
                  <w:tcW w:w="389" w:type="dxa"/>
                  <w:tcBorders>
                    <w:tl2br w:val="nil"/>
                    <w:tr2bl w:val="nil"/>
                  </w:tcBorders>
                  <w:shd w:val="clear" w:color="auto" w:fill="auto"/>
                  <w:vAlign w:val="center"/>
                </w:tcPr>
                <w:p w14:paraId="61EA7F0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6"/>
                      <w:kern w:val="2"/>
                      <w:sz w:val="21"/>
                      <w:szCs w:val="24"/>
                      <w:highlight w:val="none"/>
                      <w:lang w:val="en-US" w:eastAsia="zh-CN" w:bidi="ar-SA"/>
                    </w:rPr>
                  </w:pPr>
                  <w:r>
                    <w:rPr>
                      <w:rFonts w:hint="eastAsia" w:ascii="Times New Roman" w:hAnsi="Times New Roman" w:eastAsia="宋体" w:cs="宋体"/>
                      <w:color w:val="auto"/>
                      <w:spacing w:val="6"/>
                      <w:sz w:val="21"/>
                      <w:highlight w:val="none"/>
                      <w:lang w:val="en-US" w:eastAsia="zh-CN"/>
                    </w:rPr>
                    <w:t>每2年</w:t>
                  </w:r>
                </w:p>
              </w:tc>
              <w:tc>
                <w:tcPr>
                  <w:tcW w:w="818" w:type="dxa"/>
                  <w:tcBorders>
                    <w:tl2br w:val="nil"/>
                    <w:tr2bl w:val="nil"/>
                  </w:tcBorders>
                  <w:shd w:val="clear" w:color="auto" w:fill="auto"/>
                  <w:vAlign w:val="center"/>
                </w:tcPr>
                <w:p w14:paraId="08AFA48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宋体" w:cs="宋体"/>
                      <w:color w:val="auto"/>
                      <w:spacing w:val="6"/>
                      <w:kern w:val="2"/>
                      <w:sz w:val="21"/>
                      <w:szCs w:val="24"/>
                      <w:highlight w:val="none"/>
                      <w:lang w:val="en-US" w:eastAsia="en-US" w:bidi="ar-SA"/>
                    </w:rPr>
                  </w:pPr>
                  <w:r>
                    <w:rPr>
                      <w:rFonts w:ascii="Times New Roman" w:hAnsi="Times New Roman" w:eastAsia="宋体" w:cs="宋体"/>
                      <w:color w:val="auto"/>
                      <w:spacing w:val="6"/>
                      <w:sz w:val="21"/>
                      <w:highlight w:val="none"/>
                    </w:rPr>
                    <w:t>T/C</w:t>
                  </w:r>
                </w:p>
              </w:tc>
              <w:tc>
                <w:tcPr>
                  <w:tcW w:w="1376" w:type="dxa"/>
                  <w:vMerge w:val="continue"/>
                  <w:tcBorders>
                    <w:tl2br w:val="nil"/>
                    <w:tr2bl w:val="nil"/>
                  </w:tcBorders>
                  <w:vAlign w:val="center"/>
                </w:tcPr>
                <w:p w14:paraId="10605452">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宋体"/>
                      <w:color w:val="auto"/>
                      <w:sz w:val="21"/>
                      <w:highlight w:val="none"/>
                    </w:rPr>
                  </w:pPr>
                </w:p>
              </w:tc>
            </w:tr>
            <w:bookmarkEnd w:id="57"/>
            <w:bookmarkEnd w:id="58"/>
          </w:tbl>
          <w:p w14:paraId="0CA80C61">
            <w:pPr>
              <w:pStyle w:val="4"/>
              <w:numPr>
                <w:ilvl w:val="2"/>
                <w:numId w:val="1"/>
              </w:numPr>
              <w:bidi w:val="0"/>
              <w:ind w:left="720" w:leftChars="0" w:hanging="720" w:firstLineChars="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环境管理要求</w:t>
            </w:r>
          </w:p>
          <w:p w14:paraId="1258F09D">
            <w:pPr>
              <w:pStyle w:val="30"/>
              <w:widowControl w:val="0"/>
              <w:spacing w:before="0" w:beforeAutospacing="0" w:after="0" w:afterAutospacing="0" w:line="360" w:lineRule="auto"/>
              <w:ind w:firstLine="480" w:firstLineChars="200"/>
              <w:jc w:val="both"/>
              <w:rPr>
                <w:color w:val="auto"/>
                <w:highlight w:val="none"/>
              </w:rPr>
            </w:pPr>
            <w:r>
              <w:rPr>
                <w:rFonts w:hint="eastAsia" w:ascii="Times New Roman" w:hAnsi="Times New Roman" w:cs="宋体"/>
                <w:color w:val="auto"/>
                <w:kern w:val="2"/>
                <w:szCs w:val="24"/>
                <w:highlight w:val="none"/>
                <w:lang w:bidi="ar"/>
              </w:rPr>
              <w:t>固体废物的收集方式强调采用分类收集，即各种垃圾按不同性质，分别收集处置。</w:t>
            </w:r>
          </w:p>
          <w:p w14:paraId="06953899">
            <w:pPr>
              <w:pStyle w:val="30"/>
              <w:widowControl w:val="0"/>
              <w:spacing w:before="0" w:beforeAutospacing="0" w:after="0" w:afterAutospacing="0" w:line="360" w:lineRule="auto"/>
              <w:ind w:firstLine="480" w:firstLineChars="200"/>
              <w:jc w:val="both"/>
              <w:rPr>
                <w:color w:val="auto"/>
                <w:highlight w:val="none"/>
              </w:rPr>
            </w:pPr>
            <w:r>
              <w:rPr>
                <w:rFonts w:hint="eastAsia"/>
                <w:color w:val="auto"/>
                <w:kern w:val="2"/>
                <w:szCs w:val="24"/>
                <w:highlight w:val="none"/>
                <w:lang w:eastAsia="zh-CN" w:bidi="ar"/>
              </w:rPr>
              <w:t>（</w:t>
            </w:r>
            <w:r>
              <w:rPr>
                <w:rFonts w:hint="eastAsia"/>
                <w:color w:val="auto"/>
                <w:kern w:val="2"/>
                <w:szCs w:val="24"/>
                <w:highlight w:val="none"/>
                <w:lang w:val="en-US" w:eastAsia="zh-CN" w:bidi="ar"/>
              </w:rPr>
              <w:t>1</w:t>
            </w:r>
            <w:r>
              <w:rPr>
                <w:rFonts w:hint="eastAsia"/>
                <w:color w:val="auto"/>
                <w:kern w:val="2"/>
                <w:szCs w:val="24"/>
                <w:highlight w:val="none"/>
                <w:lang w:eastAsia="zh-CN" w:bidi="ar"/>
              </w:rPr>
              <w:t>）</w:t>
            </w:r>
            <w:r>
              <w:rPr>
                <w:rFonts w:hint="eastAsia" w:ascii="Times New Roman" w:hAnsi="Times New Roman" w:cs="宋体"/>
                <w:color w:val="auto"/>
                <w:kern w:val="2"/>
                <w:szCs w:val="24"/>
                <w:highlight w:val="none"/>
                <w:lang w:bidi="ar"/>
              </w:rPr>
              <w:t>生活垃圾处置措施</w:t>
            </w:r>
          </w:p>
          <w:p w14:paraId="53F8CEDC">
            <w:pPr>
              <w:pStyle w:val="30"/>
              <w:widowControl w:val="0"/>
              <w:spacing w:before="0" w:beforeAutospacing="0" w:after="0" w:afterAutospacing="0" w:line="360" w:lineRule="auto"/>
              <w:ind w:firstLine="480" w:firstLineChars="200"/>
              <w:jc w:val="both"/>
              <w:rPr>
                <w:color w:val="auto"/>
                <w:highlight w:val="none"/>
              </w:rPr>
            </w:pPr>
            <w:r>
              <w:rPr>
                <w:rFonts w:hint="eastAsia" w:ascii="Times New Roman" w:hAnsi="Times New Roman" w:cs="宋体"/>
                <w:color w:val="auto"/>
                <w:kern w:val="2"/>
                <w:szCs w:val="24"/>
                <w:highlight w:val="none"/>
                <w:lang w:bidi="ar"/>
              </w:rPr>
              <w:t>生活垃圾极易腐败发臭，必须定点收集，及时清运或处理。可在厂区生产区和办公生活区设置一些垃圾收集桶。厂区应配备专职的清洁人员和必要的工具，负责清扫厂区，维持清洁卫生，生活垃圾收集后委托环卫部门处理。</w:t>
            </w:r>
          </w:p>
          <w:p w14:paraId="543E3923">
            <w:pPr>
              <w:pStyle w:val="30"/>
              <w:widowControl w:val="0"/>
              <w:numPr>
                <w:ilvl w:val="0"/>
                <w:numId w:val="0"/>
              </w:numPr>
              <w:spacing w:before="0" w:beforeAutospacing="0" w:after="0" w:afterAutospacing="0" w:line="360" w:lineRule="auto"/>
              <w:ind w:leftChars="200" w:right="0" w:rightChars="0"/>
              <w:jc w:val="both"/>
              <w:rPr>
                <w:rFonts w:ascii="Times New Roman" w:hAnsi="Times New Roman" w:cs="宋体"/>
                <w:color w:val="auto"/>
                <w:kern w:val="2"/>
                <w:szCs w:val="24"/>
                <w:highlight w:val="none"/>
                <w:lang w:bidi="ar"/>
              </w:rPr>
            </w:pPr>
            <w:r>
              <w:rPr>
                <w:rFonts w:hint="eastAsia" w:cs="宋体"/>
                <w:color w:val="auto"/>
                <w:kern w:val="2"/>
                <w:szCs w:val="24"/>
                <w:highlight w:val="none"/>
                <w:lang w:eastAsia="zh-CN" w:bidi="ar"/>
              </w:rPr>
              <w:t>（</w:t>
            </w:r>
            <w:r>
              <w:rPr>
                <w:rFonts w:hint="eastAsia" w:cs="宋体"/>
                <w:color w:val="auto"/>
                <w:kern w:val="2"/>
                <w:szCs w:val="24"/>
                <w:highlight w:val="none"/>
                <w:lang w:val="en-US" w:eastAsia="zh-CN" w:bidi="ar"/>
              </w:rPr>
              <w:t>2</w:t>
            </w:r>
            <w:r>
              <w:rPr>
                <w:rFonts w:hint="eastAsia" w:cs="宋体"/>
                <w:color w:val="auto"/>
                <w:kern w:val="2"/>
                <w:szCs w:val="24"/>
                <w:highlight w:val="none"/>
                <w:lang w:eastAsia="zh-CN" w:bidi="ar"/>
              </w:rPr>
              <w:t>）</w:t>
            </w:r>
            <w:r>
              <w:rPr>
                <w:rFonts w:hint="eastAsia" w:ascii="Times New Roman" w:hAnsi="Times New Roman" w:cs="宋体"/>
                <w:color w:val="auto"/>
                <w:kern w:val="2"/>
                <w:szCs w:val="24"/>
                <w:highlight w:val="none"/>
                <w:lang w:bidi="ar"/>
              </w:rPr>
              <w:t>一般工业固体废物管理要求</w:t>
            </w:r>
          </w:p>
          <w:p w14:paraId="343CE8E7">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t>厂区内一般固体废物临时贮存应采取以下措施：</w:t>
            </w:r>
          </w:p>
          <w:p w14:paraId="44D51FB5">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1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①</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一般工业固体废物应按Ⅰ类和Ⅱ类废物分别储存，建立分类收集房。不允许将危险废物和生活垃圾混入。</w:t>
            </w:r>
          </w:p>
          <w:p w14:paraId="312318A9">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2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②</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尽量将可利用的一般工业固体废物回收、利用。</w:t>
            </w:r>
          </w:p>
          <w:p w14:paraId="29BFDC0D">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3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③</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加强企业内部对固体废物的管理，对固体废物实行从产生、收集、运输、贮存直至最终处理实行全过程管理，加强固体废物运输过程的事故风险防范，建立固体废物产生、外运、处置及最终去向的详细台账。</w:t>
            </w:r>
          </w:p>
          <w:p w14:paraId="3059B075">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4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④</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加强固体废物规范化管理，建立全厂统一的固废分类收集、统一堆放场地制度，堆放场所远离办公区和周围环境敏感点。临时储存地点必须建有雨棚，不允许露天堆放，以防止雨水冲刷，雨水应通过场地四周导流渠流向雨水排放管；临时堆放场地为水泥铺设地面，以防渗漏。</w:t>
            </w:r>
          </w:p>
          <w:p w14:paraId="6BEA40CA">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fldChar w:fldCharType="begin"/>
            </w:r>
            <w:r>
              <w:rPr>
                <w:rFonts w:hint="eastAsia" w:ascii="Times New Roman" w:hAnsi="Times New Roman" w:eastAsia="宋体" w:cs="宋体"/>
                <w:color w:val="auto"/>
                <w:kern w:val="2"/>
                <w:szCs w:val="24"/>
                <w:highlight w:val="none"/>
                <w:lang w:bidi="ar"/>
              </w:rPr>
              <w:instrText xml:space="preserve"> = 5 \* GB3 \* MERGEFORMAT </w:instrText>
            </w:r>
            <w:r>
              <w:rPr>
                <w:rFonts w:hint="eastAsia" w:ascii="Times New Roman" w:hAnsi="Times New Roman" w:eastAsia="宋体" w:cs="宋体"/>
                <w:color w:val="auto"/>
                <w:kern w:val="2"/>
                <w:szCs w:val="24"/>
                <w:highlight w:val="none"/>
                <w:lang w:bidi="ar"/>
              </w:rPr>
              <w:fldChar w:fldCharType="separate"/>
            </w:r>
            <w:r>
              <w:rPr>
                <w:rFonts w:hint="eastAsia" w:ascii="Times New Roman" w:hAnsi="Times New Roman" w:eastAsia="宋体" w:cs="宋体"/>
                <w:color w:val="auto"/>
                <w:kern w:val="2"/>
                <w:szCs w:val="24"/>
                <w:highlight w:val="none"/>
                <w:lang w:bidi="ar"/>
              </w:rPr>
              <w:t>⑤</w:t>
            </w:r>
            <w:r>
              <w:rPr>
                <w:rFonts w:hint="eastAsia" w:ascii="Times New Roman" w:hAnsi="Times New Roman" w:eastAsia="宋体" w:cs="宋体"/>
                <w:color w:val="auto"/>
                <w:kern w:val="2"/>
                <w:szCs w:val="24"/>
                <w:highlight w:val="none"/>
                <w:lang w:bidi="ar"/>
              </w:rPr>
              <w:fldChar w:fldCharType="end"/>
            </w:r>
            <w:r>
              <w:rPr>
                <w:rFonts w:hint="eastAsia" w:ascii="Times New Roman" w:hAnsi="Times New Roman" w:eastAsia="宋体" w:cs="宋体"/>
                <w:color w:val="auto"/>
                <w:kern w:val="2"/>
                <w:szCs w:val="24"/>
                <w:highlight w:val="none"/>
                <w:lang w:bidi="ar"/>
              </w:rPr>
              <w:t>为加强管理监督，贮存</w:t>
            </w:r>
            <w:r>
              <w:rPr>
                <w:rFonts w:hint="eastAsia" w:cs="宋体"/>
                <w:color w:val="auto"/>
                <w:kern w:val="2"/>
                <w:szCs w:val="24"/>
                <w:highlight w:val="none"/>
                <w:lang w:eastAsia="zh-CN" w:bidi="ar"/>
              </w:rPr>
              <w:t>场所</w:t>
            </w:r>
            <w:r>
              <w:rPr>
                <w:rFonts w:hint="eastAsia" w:ascii="Times New Roman" w:hAnsi="Times New Roman" w:eastAsia="宋体" w:cs="宋体"/>
                <w:color w:val="auto"/>
                <w:kern w:val="2"/>
                <w:szCs w:val="24"/>
                <w:highlight w:val="none"/>
                <w:lang w:bidi="ar"/>
              </w:rPr>
              <w:t>应按《</w:t>
            </w:r>
            <w:r>
              <w:rPr>
                <w:rFonts w:hint="eastAsia" w:cs="宋体"/>
                <w:color w:val="auto"/>
                <w:kern w:val="2"/>
                <w:szCs w:val="24"/>
                <w:highlight w:val="none"/>
                <w:lang w:eastAsia="zh-CN" w:bidi="ar"/>
              </w:rPr>
              <w:t>环境保护图形标志 固体废物贮存（处置）场</w:t>
            </w:r>
            <w:r>
              <w:rPr>
                <w:rFonts w:hint="eastAsia" w:ascii="Times New Roman" w:hAnsi="Times New Roman" w:eastAsia="宋体" w:cs="宋体"/>
                <w:color w:val="auto"/>
                <w:kern w:val="2"/>
                <w:szCs w:val="24"/>
                <w:highlight w:val="none"/>
                <w:lang w:bidi="ar"/>
              </w:rPr>
              <w:t>》（GB15562.2-1995）</w:t>
            </w:r>
            <w:r>
              <w:rPr>
                <w:rFonts w:hint="eastAsia" w:cs="宋体"/>
                <w:color w:val="auto"/>
                <w:kern w:val="2"/>
                <w:szCs w:val="24"/>
                <w:highlight w:val="none"/>
                <w:lang w:val="en-US" w:eastAsia="zh-CN" w:bidi="ar"/>
              </w:rPr>
              <w:t>修改单</w:t>
            </w:r>
            <w:r>
              <w:rPr>
                <w:rFonts w:hint="eastAsia" w:ascii="Times New Roman" w:hAnsi="Times New Roman" w:eastAsia="宋体" w:cs="宋体"/>
                <w:color w:val="auto"/>
                <w:kern w:val="2"/>
                <w:szCs w:val="24"/>
                <w:highlight w:val="none"/>
                <w:lang w:bidi="ar"/>
              </w:rPr>
              <w:t>设置环境保护图形标志。</w:t>
            </w:r>
          </w:p>
          <w:p w14:paraId="35072977">
            <w:pPr>
              <w:pStyle w:val="30"/>
              <w:widowControl w:val="0"/>
              <w:spacing w:before="0" w:beforeAutospacing="0" w:after="0" w:afterAutospacing="0" w:line="360" w:lineRule="auto"/>
              <w:ind w:firstLine="480" w:firstLineChars="200"/>
              <w:jc w:val="both"/>
              <w:rPr>
                <w:rFonts w:hint="eastAsia" w:ascii="Times New Roman" w:hAnsi="Times New Roman" w:eastAsia="宋体" w:cs="宋体"/>
                <w:color w:val="auto"/>
                <w:kern w:val="2"/>
                <w:szCs w:val="24"/>
                <w:highlight w:val="none"/>
                <w:lang w:bidi="ar"/>
              </w:rPr>
            </w:pPr>
            <w:r>
              <w:rPr>
                <w:rFonts w:hint="eastAsia" w:ascii="Times New Roman" w:hAnsi="Times New Roman" w:eastAsia="宋体" w:cs="宋体"/>
                <w:color w:val="auto"/>
                <w:kern w:val="2"/>
                <w:szCs w:val="24"/>
                <w:highlight w:val="none"/>
                <w:lang w:bidi="ar"/>
              </w:rPr>
              <w:t>采取以上措施后一般固体废物对周边环境影响小，因此措施可行。</w:t>
            </w:r>
          </w:p>
          <w:p w14:paraId="5A96C941">
            <w:pPr>
              <w:pStyle w:val="30"/>
              <w:widowControl w:val="0"/>
              <w:numPr>
                <w:ilvl w:val="0"/>
                <w:numId w:val="0"/>
              </w:numPr>
              <w:spacing w:before="0" w:beforeAutospacing="0" w:after="0" w:afterAutospacing="0" w:line="360" w:lineRule="auto"/>
              <w:ind w:leftChars="200" w:right="0" w:rightChars="0"/>
              <w:jc w:val="both"/>
              <w:rPr>
                <w:rFonts w:ascii="Times New Roman" w:hAnsi="Times New Roman" w:cs="宋体"/>
                <w:color w:val="auto"/>
                <w:kern w:val="2"/>
                <w:szCs w:val="24"/>
                <w:highlight w:val="none"/>
                <w:lang w:bidi="ar"/>
              </w:rPr>
            </w:pPr>
            <w:r>
              <w:rPr>
                <w:rFonts w:hint="eastAsia" w:cs="宋体"/>
                <w:color w:val="auto"/>
                <w:kern w:val="2"/>
                <w:szCs w:val="24"/>
                <w:highlight w:val="none"/>
                <w:lang w:eastAsia="zh-CN" w:bidi="ar"/>
              </w:rPr>
              <w:t>（</w:t>
            </w:r>
            <w:r>
              <w:rPr>
                <w:rFonts w:hint="eastAsia" w:cs="宋体"/>
                <w:color w:val="auto"/>
                <w:kern w:val="2"/>
                <w:szCs w:val="24"/>
                <w:highlight w:val="none"/>
                <w:lang w:val="en-US" w:eastAsia="zh-CN" w:bidi="ar"/>
              </w:rPr>
              <w:t>3</w:t>
            </w:r>
            <w:r>
              <w:rPr>
                <w:rFonts w:hint="eastAsia" w:cs="宋体"/>
                <w:color w:val="auto"/>
                <w:kern w:val="2"/>
                <w:szCs w:val="24"/>
                <w:highlight w:val="none"/>
                <w:lang w:eastAsia="zh-CN" w:bidi="ar"/>
              </w:rPr>
              <w:t>）</w:t>
            </w:r>
            <w:r>
              <w:rPr>
                <w:rFonts w:hint="eastAsia" w:ascii="Times New Roman" w:hAnsi="Times New Roman" w:cs="宋体"/>
                <w:color w:val="auto"/>
                <w:kern w:val="2"/>
                <w:szCs w:val="24"/>
                <w:highlight w:val="none"/>
                <w:lang w:bidi="ar"/>
              </w:rPr>
              <w:t>危险废物管理要求</w:t>
            </w:r>
          </w:p>
          <w:p w14:paraId="20D2AF64">
            <w:pPr>
              <w:pStyle w:val="118"/>
              <w:spacing w:line="360" w:lineRule="auto"/>
              <w:ind w:firstLine="31680"/>
              <w:jc w:val="both"/>
              <w:rPr>
                <w:rFonts w:ascii="Times New Roman" w:hAnsi="Times New Roman" w:eastAsia="宋体"/>
                <w:color w:val="auto"/>
                <w:highlight w:val="none"/>
              </w:rPr>
            </w:pPr>
            <w:r>
              <w:rPr>
                <w:rFonts w:hint="eastAsia" w:ascii="Times New Roman" w:hAnsi="Times New Roman" w:eastAsia="宋体"/>
                <w:color w:val="auto"/>
                <w:highlight w:val="none"/>
              </w:rPr>
              <w:t>危险废物的收集和贮存应遵循以下要求：</w:t>
            </w:r>
          </w:p>
          <w:p w14:paraId="5FE11098">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①危险废物的收集容器和临时贮存场所应严格按照《危险废物贮存污染控制标准》（</w:t>
            </w:r>
            <w:r>
              <w:rPr>
                <w:rFonts w:ascii="Times New Roman" w:hAnsi="Times New Roman" w:eastAsia="宋体"/>
                <w:color w:val="auto"/>
                <w:highlight w:val="none"/>
              </w:rPr>
              <w:t>GB18597-2023</w:t>
            </w:r>
            <w:r>
              <w:rPr>
                <w:rFonts w:hint="eastAsia" w:ascii="Times New Roman" w:hAnsi="Times New Roman" w:eastAsia="宋体"/>
                <w:color w:val="auto"/>
                <w:highlight w:val="none"/>
              </w:rPr>
              <w:t>）中的有关规定执行。贮存区必须按</w:t>
            </w:r>
            <w:r>
              <w:rPr>
                <w:rFonts w:ascii="Times New Roman" w:hAnsi="Times New Roman" w:eastAsia="宋体"/>
                <w:color w:val="auto"/>
                <w:highlight w:val="none"/>
              </w:rPr>
              <w:t>GB15562.2</w:t>
            </w:r>
            <w:r>
              <w:rPr>
                <w:rFonts w:hint="eastAsia" w:ascii="Times New Roman" w:hAnsi="Times New Roman" w:eastAsia="宋体"/>
                <w:color w:val="auto"/>
                <w:highlight w:val="none"/>
              </w:rPr>
              <w:t>的规定设置警示标志，并具有防雨淋、防日晒、防渗漏措施</w:t>
            </w:r>
            <w:r>
              <w:rPr>
                <w:rFonts w:hint="eastAsia"/>
                <w:color w:val="auto"/>
                <w:highlight w:val="none"/>
                <w:lang w:eastAsia="zh-CN"/>
              </w:rPr>
              <w:t>且</w:t>
            </w:r>
            <w:r>
              <w:rPr>
                <w:rFonts w:hint="eastAsia" w:ascii="Times New Roman" w:hAnsi="Times New Roman" w:eastAsia="宋体"/>
                <w:color w:val="auto"/>
                <w:highlight w:val="none"/>
              </w:rPr>
              <w:t>危险废物要有专用的收集容器，定期对所贮存的危险废物贮存设施进行检查，发现破损，应及时采取措施。</w:t>
            </w:r>
            <w:r>
              <w:rPr>
                <w:rFonts w:hint="eastAsia"/>
                <w:color w:val="auto"/>
                <w:highlight w:val="none"/>
                <w:lang w:val="en-US" w:eastAsia="zh-CN"/>
              </w:rPr>
              <w:t>建设单位应</w:t>
            </w:r>
            <w:r>
              <w:rPr>
                <w:rFonts w:hint="eastAsia" w:ascii="Times New Roman" w:hAnsi="Times New Roman" w:eastAsia="宋体"/>
                <w:color w:val="auto"/>
                <w:highlight w:val="none"/>
              </w:rPr>
              <w:t>按照《危险废物污染防治技术政策》（环发</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val="en-US" w:eastAsia="zh-CN"/>
              </w:rPr>
              <w:t>2001</w:t>
            </w:r>
            <w:r>
              <w:rPr>
                <w:rFonts w:hint="eastAsia" w:ascii="Times New Roman" w:hAnsi="Times New Roman" w:eastAsia="宋体"/>
                <w:color w:val="auto"/>
                <w:sz w:val="24"/>
                <w:highlight w:val="none"/>
              </w:rPr>
              <w:t>〕</w:t>
            </w:r>
            <w:r>
              <w:rPr>
                <w:rFonts w:ascii="Times New Roman" w:hAnsi="Times New Roman" w:eastAsia="宋体"/>
                <w:color w:val="auto"/>
                <w:highlight w:val="none"/>
              </w:rPr>
              <w:t>199</w:t>
            </w:r>
            <w:r>
              <w:rPr>
                <w:rFonts w:hint="eastAsia" w:ascii="Times New Roman" w:hAnsi="Times New Roman" w:eastAsia="宋体"/>
                <w:color w:val="auto"/>
                <w:highlight w:val="none"/>
              </w:rPr>
              <w:t>号）、《危险废物贮存污染控制标准》（</w:t>
            </w:r>
            <w:r>
              <w:rPr>
                <w:rFonts w:ascii="Times New Roman" w:hAnsi="Times New Roman" w:eastAsia="宋体"/>
                <w:color w:val="auto"/>
                <w:highlight w:val="none"/>
              </w:rPr>
              <w:t>GB18597-2023</w:t>
            </w:r>
            <w:r>
              <w:rPr>
                <w:rFonts w:hint="eastAsia" w:ascii="Times New Roman" w:hAnsi="Times New Roman" w:eastAsia="宋体"/>
                <w:color w:val="auto"/>
                <w:highlight w:val="none"/>
              </w:rPr>
              <w:t>）及《建设项目危险废物环境影响评价指南》（</w:t>
            </w:r>
            <w:r>
              <w:rPr>
                <w:rFonts w:ascii="Times New Roman" w:hAnsi="Times New Roman" w:eastAsia="宋体"/>
                <w:color w:val="auto"/>
                <w:highlight w:val="none"/>
              </w:rPr>
              <w:t>2017.10.1</w:t>
            </w:r>
            <w:r>
              <w:rPr>
                <w:rFonts w:hint="eastAsia" w:ascii="Times New Roman" w:hAnsi="Times New Roman" w:eastAsia="宋体"/>
                <w:color w:val="auto"/>
                <w:highlight w:val="none"/>
              </w:rPr>
              <w:t>实施）等文件、技术规范要求设置危险废物临时贮存间。</w:t>
            </w:r>
          </w:p>
          <w:p w14:paraId="74716012">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危险废物临时贮存的几点要求：</w:t>
            </w:r>
          </w:p>
          <w:p w14:paraId="00C41327">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A</w:t>
            </w:r>
            <w:r>
              <w:rPr>
                <w:rFonts w:hint="eastAsia"/>
                <w:color w:val="auto"/>
                <w:highlight w:val="none"/>
                <w:lang w:eastAsia="zh-CN"/>
              </w:rPr>
              <w:t>.</w:t>
            </w:r>
            <w:r>
              <w:rPr>
                <w:rFonts w:hint="eastAsia" w:ascii="Times New Roman" w:hAnsi="Times New Roman" w:eastAsia="宋体"/>
                <w:color w:val="auto"/>
                <w:highlight w:val="none"/>
              </w:rPr>
              <w:t>危险废物在收集时，应清楚废物的类别及主要成分，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14:paraId="4932524E">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B</w:t>
            </w:r>
            <w:r>
              <w:rPr>
                <w:rFonts w:hint="eastAsia"/>
                <w:color w:val="auto"/>
                <w:highlight w:val="none"/>
                <w:lang w:eastAsia="zh-CN"/>
              </w:rPr>
              <w:t>.</w:t>
            </w:r>
            <w:r>
              <w:rPr>
                <w:rFonts w:hint="eastAsia" w:ascii="Times New Roman" w:hAnsi="Times New Roman" w:eastAsia="宋体"/>
                <w:color w:val="auto"/>
                <w:highlight w:val="none"/>
              </w:rPr>
              <w:t>按《</w:t>
            </w:r>
            <w:r>
              <w:rPr>
                <w:rFonts w:hint="eastAsia"/>
                <w:color w:val="auto"/>
                <w:highlight w:val="none"/>
                <w:lang w:eastAsia="zh-CN"/>
              </w:rPr>
              <w:t>环境保护图形标志 固体废物贮存（处置）场</w:t>
            </w:r>
            <w:r>
              <w:rPr>
                <w:rFonts w:hint="eastAsia" w:ascii="Times New Roman" w:hAnsi="Times New Roman" w:eastAsia="宋体"/>
                <w:color w:val="auto"/>
                <w:highlight w:val="none"/>
              </w:rPr>
              <w:t>》（</w:t>
            </w:r>
            <w:r>
              <w:rPr>
                <w:rFonts w:hint="eastAsia"/>
                <w:color w:val="auto"/>
                <w:highlight w:val="none"/>
                <w:lang w:eastAsia="zh-CN"/>
              </w:rPr>
              <w:t>GB 15562.2-1995）</w:t>
            </w:r>
            <w:r>
              <w:rPr>
                <w:rFonts w:hint="eastAsia"/>
                <w:color w:val="auto"/>
                <w:highlight w:val="none"/>
                <w:lang w:val="en-US" w:eastAsia="zh-CN"/>
              </w:rPr>
              <w:t>修改单</w:t>
            </w:r>
            <w:r>
              <w:rPr>
                <w:rFonts w:hint="eastAsia" w:ascii="Times New Roman" w:hAnsi="Times New Roman" w:eastAsia="宋体" w:cs="Times New Roman"/>
                <w:color w:val="auto"/>
                <w:highlight w:val="none"/>
              </w:rPr>
              <w:t>《危险废物识别标志设置技术规范》（HJ 1276-2022）</w:t>
            </w:r>
            <w:r>
              <w:rPr>
                <w:rFonts w:hint="eastAsia" w:ascii="Times New Roman" w:hAnsi="Times New Roman" w:eastAsia="宋体"/>
                <w:color w:val="auto"/>
                <w:highlight w:val="none"/>
              </w:rPr>
              <w:t>在收集场所醒目的地方设置危险废物警告标识。</w:t>
            </w:r>
          </w:p>
          <w:p w14:paraId="0EE1F37D">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C</w:t>
            </w:r>
            <w:r>
              <w:rPr>
                <w:rFonts w:hint="eastAsia"/>
                <w:color w:val="auto"/>
                <w:highlight w:val="none"/>
                <w:lang w:eastAsia="zh-CN"/>
              </w:rPr>
              <w:t>.</w:t>
            </w:r>
            <w:r>
              <w:rPr>
                <w:rFonts w:hint="eastAsia" w:ascii="Times New Roman" w:hAnsi="Times New Roman" w:eastAsia="宋体"/>
                <w:color w:val="auto"/>
                <w:highlight w:val="none"/>
              </w:rPr>
              <w:t>由专人负责管理。危险废物按不同名录分类分区堆放，并做好隔离、防水、防晒、防雨、防渗、防火处理。</w:t>
            </w:r>
          </w:p>
          <w:p w14:paraId="296C3AF0">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D</w:t>
            </w:r>
            <w:r>
              <w:rPr>
                <w:rFonts w:hint="eastAsia"/>
                <w:color w:val="auto"/>
                <w:highlight w:val="none"/>
                <w:lang w:eastAsia="zh-CN"/>
              </w:rPr>
              <w:t>.</w:t>
            </w:r>
            <w:r>
              <w:rPr>
                <w:rFonts w:hint="eastAsia" w:ascii="Times New Roman" w:hAnsi="Times New Roman" w:eastAsia="宋体"/>
                <w:color w:val="auto"/>
                <w:highlight w:val="none"/>
              </w:rPr>
              <w:t>应配备通讯设备、照明设施、安全防护服装及工具，并设有报警装置和应急防护设施。</w:t>
            </w:r>
          </w:p>
          <w:p w14:paraId="62A68267">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E</w:t>
            </w:r>
            <w:r>
              <w:rPr>
                <w:rFonts w:hint="eastAsia"/>
                <w:color w:val="auto"/>
                <w:highlight w:val="none"/>
                <w:lang w:eastAsia="zh-CN"/>
              </w:rPr>
              <w:t>.</w:t>
            </w:r>
            <w:r>
              <w:rPr>
                <w:rFonts w:hint="eastAsia" w:ascii="Times New Roman" w:hAnsi="Times New Roman" w:eastAsia="宋体"/>
                <w:color w:val="auto"/>
                <w:highlight w:val="none"/>
              </w:rPr>
              <w:t>贮存区内禁止混放不相容危险废物；禁止危险废物混入非危险废物中贮存；危险废物按种类分别存放</w:t>
            </w:r>
            <w:r>
              <w:rPr>
                <w:rFonts w:hint="eastAsia"/>
                <w:color w:val="auto"/>
                <w:highlight w:val="none"/>
                <w:lang w:eastAsia="zh-CN"/>
              </w:rPr>
              <w:t>且</w:t>
            </w:r>
            <w:r>
              <w:rPr>
                <w:rFonts w:hint="eastAsia" w:ascii="Times New Roman" w:hAnsi="Times New Roman" w:eastAsia="宋体"/>
                <w:color w:val="auto"/>
                <w:highlight w:val="none"/>
              </w:rPr>
              <w:t>不同类废物间有明显的间隔（如过道等）。</w:t>
            </w:r>
          </w:p>
          <w:p w14:paraId="5A817754">
            <w:pPr>
              <w:pStyle w:val="120"/>
              <w:ind w:firstLine="31680"/>
              <w:rPr>
                <w:rFonts w:ascii="Times New Roman" w:hAnsi="Times New Roman" w:eastAsia="宋体"/>
                <w:color w:val="auto"/>
                <w:highlight w:val="none"/>
              </w:rPr>
            </w:pPr>
            <w:r>
              <w:rPr>
                <w:rFonts w:ascii="Times New Roman" w:hAnsi="Times New Roman" w:eastAsia="宋体"/>
                <w:color w:val="auto"/>
                <w:highlight w:val="none"/>
              </w:rPr>
              <w:t>F</w:t>
            </w:r>
            <w:r>
              <w:rPr>
                <w:rFonts w:hint="eastAsia"/>
                <w:color w:val="auto"/>
                <w:highlight w:val="none"/>
                <w:lang w:eastAsia="zh-CN"/>
              </w:rPr>
              <w:t>.</w:t>
            </w:r>
            <w:r>
              <w:rPr>
                <w:rFonts w:hint="eastAsia" w:ascii="Times New Roman" w:hAnsi="Times New Roman" w:eastAsia="宋体"/>
                <w:color w:val="auto"/>
                <w:highlight w:val="none"/>
              </w:rPr>
              <w:t>危险废物临时贮存场所的地面和裙脚要用坚固、防渗的材料建造；该贮存场所的地面与裙脚围建一定的空间，该容积不低于堵截最大容器的最大储量或总储量的</w:t>
            </w:r>
            <w:r>
              <w:rPr>
                <w:rFonts w:ascii="Times New Roman" w:hAnsi="Times New Roman" w:eastAsia="宋体"/>
                <w:color w:val="auto"/>
                <w:highlight w:val="none"/>
              </w:rPr>
              <w:t>1/5</w:t>
            </w:r>
            <w:r>
              <w:rPr>
                <w:rFonts w:hint="eastAsia" w:ascii="Times New Roman" w:hAnsi="Times New Roman" w:eastAsia="宋体"/>
                <w:color w:val="auto"/>
                <w:highlight w:val="none"/>
              </w:rPr>
              <w:t>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w:t>
            </w:r>
            <w:r>
              <w:rPr>
                <w:rFonts w:ascii="Times New Roman" w:hAnsi="Times New Roman" w:eastAsia="宋体"/>
                <w:color w:val="auto"/>
                <w:highlight w:val="none"/>
              </w:rPr>
              <w:t>1m</w:t>
            </w:r>
            <w:r>
              <w:rPr>
                <w:rFonts w:hint="eastAsia" w:ascii="Times New Roman" w:hAnsi="Times New Roman" w:eastAsia="宋体"/>
                <w:color w:val="auto"/>
                <w:highlight w:val="none"/>
              </w:rPr>
              <w:t>厚黏土层（渗透系数≤</w:t>
            </w:r>
            <w:r>
              <w:rPr>
                <w:rFonts w:ascii="Times New Roman" w:hAnsi="Times New Roman" w:eastAsia="宋体"/>
                <w:color w:val="auto"/>
                <w:highlight w:val="none"/>
              </w:rPr>
              <w:t>10</w:t>
            </w:r>
            <w:r>
              <w:rPr>
                <w:rFonts w:ascii="Times New Roman" w:hAnsi="Times New Roman" w:eastAsia="宋体"/>
                <w:color w:val="auto"/>
                <w:highlight w:val="none"/>
                <w:vertAlign w:val="superscript"/>
              </w:rPr>
              <w:t>-7</w:t>
            </w:r>
            <w:r>
              <w:rPr>
                <w:rFonts w:ascii="Times New Roman" w:hAnsi="Times New Roman" w:eastAsia="宋体"/>
                <w:color w:val="auto"/>
                <w:highlight w:val="none"/>
              </w:rPr>
              <w:t>cm/s</w:t>
            </w:r>
            <w:r>
              <w:rPr>
                <w:rFonts w:hint="eastAsia" w:ascii="Times New Roman" w:hAnsi="Times New Roman" w:eastAsia="宋体"/>
                <w:color w:val="auto"/>
                <w:highlight w:val="none"/>
              </w:rPr>
              <w:t>），或</w:t>
            </w:r>
            <w:r>
              <w:rPr>
                <w:rFonts w:ascii="Times New Roman" w:hAnsi="Times New Roman" w:eastAsia="宋体"/>
                <w:color w:val="auto"/>
                <w:highlight w:val="none"/>
              </w:rPr>
              <w:t>2mm</w:t>
            </w:r>
            <w:r>
              <w:rPr>
                <w:rFonts w:hint="eastAsia" w:ascii="Times New Roman" w:hAnsi="Times New Roman" w:eastAsia="宋体"/>
                <w:color w:val="auto"/>
                <w:highlight w:val="none"/>
              </w:rPr>
              <w:t>厚高密度聚乙烯，或至少</w:t>
            </w:r>
            <w:r>
              <w:rPr>
                <w:rFonts w:ascii="Times New Roman" w:hAnsi="Times New Roman" w:eastAsia="宋体"/>
                <w:color w:val="auto"/>
                <w:highlight w:val="none"/>
              </w:rPr>
              <w:t>2mm</w:t>
            </w:r>
            <w:r>
              <w:rPr>
                <w:rFonts w:hint="eastAsia" w:ascii="Times New Roman" w:hAnsi="Times New Roman" w:eastAsia="宋体"/>
                <w:color w:val="auto"/>
                <w:highlight w:val="none"/>
              </w:rPr>
              <w:t>厚的其他人工材料，渗透系数≤</w:t>
            </w:r>
            <w:r>
              <w:rPr>
                <w:rFonts w:ascii="Times New Roman" w:hAnsi="Times New Roman" w:eastAsia="宋体"/>
                <w:color w:val="auto"/>
                <w:highlight w:val="none"/>
              </w:rPr>
              <w:t>10</w:t>
            </w:r>
            <w:r>
              <w:rPr>
                <w:rFonts w:ascii="Times New Roman" w:hAnsi="Times New Roman" w:eastAsia="宋体"/>
                <w:color w:val="auto"/>
                <w:highlight w:val="none"/>
                <w:vertAlign w:val="superscript"/>
              </w:rPr>
              <w:t>-10</w:t>
            </w:r>
            <w:r>
              <w:rPr>
                <w:rFonts w:ascii="Times New Roman" w:hAnsi="Times New Roman" w:eastAsia="宋体"/>
                <w:color w:val="auto"/>
                <w:highlight w:val="none"/>
              </w:rPr>
              <w:t>cm/s</w:t>
            </w:r>
            <w:r>
              <w:rPr>
                <w:rFonts w:hint="eastAsia" w:ascii="Times New Roman" w:hAnsi="Times New Roman" w:eastAsia="宋体"/>
                <w:color w:val="auto"/>
                <w:highlight w:val="none"/>
              </w:rPr>
              <w:t>。具体设计原则参见《危险废物贮存污染控制标准》（</w:t>
            </w:r>
            <w:r>
              <w:rPr>
                <w:rFonts w:ascii="Times New Roman" w:hAnsi="Times New Roman" w:eastAsia="宋体"/>
                <w:color w:val="auto"/>
                <w:highlight w:val="none"/>
              </w:rPr>
              <w:t>GB18597-2023</w:t>
            </w:r>
            <w:r>
              <w:rPr>
                <w:rFonts w:hint="eastAsia" w:ascii="Times New Roman" w:hAnsi="Times New Roman" w:eastAsia="宋体"/>
                <w:color w:val="auto"/>
                <w:highlight w:val="none"/>
              </w:rPr>
              <w:t>）。</w:t>
            </w:r>
          </w:p>
          <w:p w14:paraId="4C740EC8">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②建立危险废物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w:t>
            </w:r>
            <w:r>
              <w:rPr>
                <w:rFonts w:ascii="Times New Roman" w:hAnsi="Times New Roman" w:eastAsia="宋体"/>
                <w:color w:val="auto"/>
                <w:highlight w:val="none"/>
              </w:rPr>
              <w:t>GB18597-2023</w:t>
            </w:r>
            <w:r>
              <w:rPr>
                <w:rFonts w:hint="eastAsia" w:ascii="Times New Roman" w:hAnsi="Times New Roman" w:eastAsia="宋体"/>
                <w:color w:val="auto"/>
                <w:highlight w:val="none"/>
              </w:rPr>
              <w:t>）和《危险废物转移管理办法》要求执行。建设单位应强化废物产生、收集、贮放各环节的管理，各种固体废物按照类别分类存放，避免固体废物在厂区内散失、渗漏，达到无害化的目的，避免产生二次污染。</w:t>
            </w:r>
          </w:p>
          <w:p w14:paraId="0ED78B49">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危险废物的运输采取危险废物转移“电子联单”制度，保证运输安全，防止非法转移和非法处置，保证危险废物的安全监控，防止危险废物污染事故发生。</w:t>
            </w:r>
          </w:p>
          <w:p w14:paraId="459DA91D">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电子联单”应通过福建省固体废物环境监管平台申请电子联单，危险废物产生者及其他需要转移危险废物的单位在转移危险废物之前，须按照国家有关规定报批危险废物转移计划。经批准后，通过《信息系统》申请电子联单。</w:t>
            </w:r>
          </w:p>
          <w:p w14:paraId="52FD5B3B">
            <w:pPr>
              <w:pStyle w:val="46"/>
              <w:ind w:firstLine="480"/>
              <w:rPr>
                <w:color w:val="auto"/>
                <w:highlight w:val="none"/>
              </w:rPr>
            </w:pPr>
            <w:r>
              <w:rPr>
                <w:rFonts w:hint="eastAsia" w:ascii="Times New Roman" w:hAnsi="Times New Roman" w:eastAsia="宋体"/>
                <w:color w:val="auto"/>
                <w:highlight w:val="none"/>
              </w:rPr>
              <w:t>③应将危险废物提供或者委托给有危险废物经营许可证的单位从事利用和处置，并签订处置合同。同时应加强对运输单位及处置单位的跟踪检查，控制运输过程中的环境风险</w:t>
            </w:r>
            <w:r>
              <w:rPr>
                <w:color w:val="auto"/>
                <w:highlight w:val="none"/>
              </w:rPr>
              <w:t>。</w:t>
            </w:r>
          </w:p>
          <w:p w14:paraId="6DE1A77E">
            <w:pPr>
              <w:pStyle w:val="46"/>
              <w:ind w:firstLine="480"/>
              <w:rPr>
                <w:color w:val="auto"/>
                <w:highlight w:val="none"/>
              </w:rPr>
            </w:pPr>
            <w:r>
              <w:rPr>
                <w:rFonts w:hint="eastAsia"/>
                <w:color w:val="auto"/>
                <w:highlight w:val="none"/>
              </w:rPr>
              <w:t>综上分析，采取以上措施后，项目各项固体废物均可得到妥善处理，对周边环境影响较小。</w:t>
            </w:r>
          </w:p>
          <w:p w14:paraId="76C9DD79">
            <w:pPr>
              <w:pStyle w:val="3"/>
              <w:numPr>
                <w:ilvl w:val="1"/>
                <w:numId w:val="1"/>
              </w:numPr>
              <w:bidi w:val="0"/>
              <w:ind w:left="0"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地下水、土壤</w:t>
            </w:r>
          </w:p>
          <w:p w14:paraId="46E860CE">
            <w:pPr>
              <w:pStyle w:val="46"/>
              <w:bidi w:val="0"/>
              <w:rPr>
                <w:rFonts w:hint="default" w:ascii="Times New Roman" w:hAnsi="Times New Roman" w:eastAsia="宋体"/>
                <w:color w:val="auto"/>
                <w:highlight w:val="none"/>
                <w:lang w:val="en-US" w:eastAsia="zh-CN"/>
              </w:rPr>
            </w:pPr>
            <w:r>
              <w:rPr>
                <w:rFonts w:hint="eastAsia"/>
                <w:color w:val="auto"/>
                <w:highlight w:val="none"/>
              </w:rPr>
              <w:t>项目厂区固废贮存严格按照《一般工业固体废物贮存和填埋污染控制标准》（GB18599-2020）和《危险废物贮存污染控制标准》（GB 18597-2023）中有关规定进行落实，具备防风、防雨、防晒、防渗漏等要求，在正常工况，不会对评价区域内地下水、土壤环境产生不利影响。本次评价仅考虑在事故情况下液态物质泄漏，防渗层破损时对土壤和地下水造成污染。</w:t>
            </w:r>
            <w:r>
              <w:rPr>
                <w:rFonts w:hint="eastAsia" w:ascii="Times New Roman" w:hAnsi="Times New Roman" w:eastAsia="宋体"/>
                <w:color w:val="auto"/>
                <w:highlight w:val="none"/>
                <w:lang w:val="en-US" w:eastAsia="zh-CN"/>
              </w:rPr>
              <w:t>地下水、土壤污染物类型及污染途径详见下表。</w:t>
            </w:r>
          </w:p>
          <w:p w14:paraId="7B9A6F2F">
            <w:pPr>
              <w:pStyle w:val="44"/>
              <w:keepNext/>
              <w:keepLines/>
              <w:pageBreakBefore w:val="0"/>
              <w:widowControl w:val="0"/>
              <w:numPr>
                <w:ilvl w:val="7"/>
                <w:numId w:val="14"/>
              </w:numPr>
              <w:tabs>
                <w:tab w:val="left" w:pos="0"/>
              </w:tabs>
              <w:kinsoku/>
              <w:wordWrap/>
              <w:overflowPunct/>
              <w:topLinePunct w:val="0"/>
              <w:autoSpaceDE/>
              <w:autoSpaceDN/>
              <w:bidi w:val="0"/>
              <w:adjustRightInd/>
              <w:snapToGrid/>
              <w:spacing w:after="0"/>
              <w:ind w:left="630" w:lef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地下水、土壤污染途径情况一览表</w:t>
            </w:r>
          </w:p>
          <w:tbl>
            <w:tblPr>
              <w:tblStyle w:val="8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27"/>
              <w:gridCol w:w="2361"/>
              <w:gridCol w:w="4759"/>
            </w:tblGrid>
            <w:tr w14:paraId="42733D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930" w:type="pct"/>
                  <w:tcBorders>
                    <w:bottom w:val="single" w:color="000000" w:sz="12" w:space="0"/>
                  </w:tcBorders>
                  <w:vAlign w:val="center"/>
                </w:tcPr>
                <w:p w14:paraId="3EF2C31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1"/>
                      <w:sz w:val="21"/>
                      <w:highlight w:val="none"/>
                    </w:rPr>
                    <w:t>防渗区</w:t>
                  </w:r>
                </w:p>
              </w:tc>
              <w:tc>
                <w:tcPr>
                  <w:tcW w:w="1349" w:type="pct"/>
                  <w:tcBorders>
                    <w:bottom w:val="single" w:color="000000" w:sz="12" w:space="0"/>
                  </w:tcBorders>
                  <w:vAlign w:val="center"/>
                </w:tcPr>
                <w:p w14:paraId="2470A9E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构筑物名称</w:t>
                  </w:r>
                </w:p>
              </w:tc>
              <w:tc>
                <w:tcPr>
                  <w:tcW w:w="2719" w:type="pct"/>
                  <w:tcBorders>
                    <w:bottom w:val="single" w:color="000000" w:sz="12" w:space="0"/>
                  </w:tcBorders>
                  <w:vAlign w:val="center"/>
                </w:tcPr>
                <w:p w14:paraId="7252D35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防渗技术要求</w:t>
                  </w:r>
                </w:p>
              </w:tc>
            </w:tr>
            <w:tr w14:paraId="2CE9B8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930" w:type="pct"/>
                  <w:tcBorders>
                    <w:top w:val="single" w:color="000000" w:sz="12" w:space="0"/>
                    <w:tl2br w:val="nil"/>
                    <w:tr2bl w:val="nil"/>
                  </w:tcBorders>
                  <w:vAlign w:val="center"/>
                </w:tcPr>
                <w:p w14:paraId="1609E55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重点防渗区</w:t>
                  </w:r>
                </w:p>
              </w:tc>
              <w:tc>
                <w:tcPr>
                  <w:tcW w:w="1349" w:type="pct"/>
                  <w:tcBorders>
                    <w:top w:val="single" w:color="000000" w:sz="12" w:space="0"/>
                    <w:tl2br w:val="nil"/>
                    <w:tr2bl w:val="nil"/>
                  </w:tcBorders>
                  <w:vAlign w:val="center"/>
                </w:tcPr>
                <w:p w14:paraId="640C939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化学品库、电泳线、</w:t>
                  </w:r>
                </w:p>
                <w:p w14:paraId="5E914A6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hint="eastAsia" w:ascii="Times New Roman" w:hAnsi="Times New Roman"/>
                      <w:color w:val="auto"/>
                      <w:spacing w:val="7"/>
                      <w:sz w:val="21"/>
                      <w:highlight w:val="none"/>
                      <w:lang w:eastAsia="zh-CN"/>
                    </w:rPr>
                    <w:t>废水处理设施</w:t>
                  </w:r>
                  <w:r>
                    <w:rPr>
                      <w:rFonts w:ascii="Times New Roman" w:hAnsi="Times New Roman" w:eastAsia="宋体"/>
                      <w:color w:val="auto"/>
                      <w:spacing w:val="7"/>
                      <w:sz w:val="21"/>
                      <w:highlight w:val="none"/>
                    </w:rPr>
                    <w:t>、危废</w:t>
                  </w:r>
                </w:p>
                <w:p w14:paraId="0A1EA792">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暂存间</w:t>
                  </w:r>
                </w:p>
              </w:tc>
              <w:tc>
                <w:tcPr>
                  <w:tcW w:w="2719" w:type="pct"/>
                  <w:tcBorders>
                    <w:top w:val="single" w:color="000000" w:sz="12" w:space="0"/>
                    <w:tl2br w:val="nil"/>
                    <w:tr2bl w:val="nil"/>
                  </w:tcBorders>
                  <w:vAlign w:val="center"/>
                </w:tcPr>
                <w:p w14:paraId="3C1D391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position w:val="1"/>
                      <w:sz w:val="21"/>
                      <w:highlight w:val="none"/>
                    </w:rPr>
                    <w:t>等效黏土防渗层</w:t>
                  </w:r>
                  <w:r>
                    <w:rPr>
                      <w:rFonts w:ascii="Times New Roman" w:hAnsi="Times New Roman" w:eastAsia="宋体" w:cs="Times New Roman"/>
                      <w:color w:val="auto"/>
                      <w:position w:val="1"/>
                      <w:sz w:val="21"/>
                      <w:highlight w:val="none"/>
                    </w:rPr>
                    <w:t>Mb</w:t>
                  </w:r>
                  <w:r>
                    <w:rPr>
                      <w:rFonts w:ascii="Times New Roman" w:hAnsi="Times New Roman" w:eastAsia="宋体" w:cs="Times New Roman"/>
                      <w:color w:val="auto"/>
                      <w:spacing w:val="6"/>
                      <w:position w:val="1"/>
                      <w:sz w:val="21"/>
                      <w:highlight w:val="none"/>
                    </w:rPr>
                    <w:t>≥6.0m</w:t>
                  </w:r>
                  <w:r>
                    <w:rPr>
                      <w:rFonts w:ascii="Times New Roman" w:hAnsi="Times New Roman" w:eastAsia="宋体"/>
                      <w:color w:val="auto"/>
                      <w:spacing w:val="6"/>
                      <w:position w:val="1"/>
                      <w:sz w:val="21"/>
                      <w:highlight w:val="none"/>
                    </w:rPr>
                    <w:t>，</w:t>
                  </w:r>
                  <w:r>
                    <w:rPr>
                      <w:rFonts w:ascii="Times New Roman" w:hAnsi="Times New Roman" w:eastAsia="宋体" w:cs="Times New Roman"/>
                      <w:color w:val="auto"/>
                      <w:spacing w:val="6"/>
                      <w:position w:val="1"/>
                      <w:sz w:val="21"/>
                      <w:highlight w:val="none"/>
                    </w:rPr>
                    <w:t>K≤10</w:t>
                  </w:r>
                  <w:r>
                    <w:rPr>
                      <w:rFonts w:ascii="Times New Roman" w:hAnsi="Times New Roman" w:eastAsia="宋体" w:cs="Times New Roman"/>
                      <w:color w:val="auto"/>
                      <w:spacing w:val="6"/>
                      <w:position w:val="1"/>
                      <w:sz w:val="21"/>
                      <w:szCs w:val="13"/>
                      <w:highlight w:val="none"/>
                      <w:vertAlign w:val="superscript"/>
                    </w:rPr>
                    <w:t>-7</w:t>
                  </w:r>
                  <w:r>
                    <w:rPr>
                      <w:rFonts w:ascii="Times New Roman" w:hAnsi="Times New Roman" w:eastAsia="宋体" w:cs="Times New Roman"/>
                      <w:color w:val="auto"/>
                      <w:position w:val="1"/>
                      <w:sz w:val="21"/>
                      <w:highlight w:val="none"/>
                    </w:rPr>
                    <w:t>cm</w:t>
                  </w:r>
                  <w:r>
                    <w:rPr>
                      <w:rFonts w:ascii="Times New Roman" w:hAnsi="Times New Roman" w:eastAsia="宋体" w:cs="Times New Roman"/>
                      <w:color w:val="auto"/>
                      <w:spacing w:val="6"/>
                      <w:position w:val="1"/>
                      <w:sz w:val="21"/>
                      <w:highlight w:val="none"/>
                    </w:rPr>
                    <w:t>/s</w:t>
                  </w:r>
                  <w:r>
                    <w:rPr>
                      <w:rFonts w:ascii="Times New Roman" w:hAnsi="Times New Roman" w:eastAsia="宋体"/>
                      <w:color w:val="auto"/>
                      <w:spacing w:val="6"/>
                      <w:position w:val="1"/>
                      <w:sz w:val="21"/>
                      <w:highlight w:val="none"/>
                    </w:rPr>
                    <w:t>或者</w:t>
                  </w:r>
                </w:p>
                <w:p w14:paraId="469349AB">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position w:val="1"/>
                      <w:sz w:val="21"/>
                      <w:highlight w:val="none"/>
                    </w:rPr>
                    <w:t>参照</w:t>
                  </w:r>
                  <w:r>
                    <w:rPr>
                      <w:rFonts w:ascii="Times New Roman" w:hAnsi="Times New Roman" w:eastAsia="宋体" w:cs="Times New Roman"/>
                      <w:color w:val="auto"/>
                      <w:position w:val="1"/>
                      <w:sz w:val="21"/>
                      <w:highlight w:val="none"/>
                    </w:rPr>
                    <w:t>GB</w:t>
                  </w:r>
                  <w:r>
                    <w:rPr>
                      <w:rFonts w:ascii="Times New Roman" w:hAnsi="Times New Roman" w:eastAsia="宋体" w:cs="Times New Roman"/>
                      <w:color w:val="auto"/>
                      <w:spacing w:val="6"/>
                      <w:position w:val="1"/>
                      <w:sz w:val="21"/>
                      <w:highlight w:val="none"/>
                    </w:rPr>
                    <w:t>18598</w:t>
                  </w:r>
                  <w:r>
                    <w:rPr>
                      <w:rFonts w:ascii="Times New Roman" w:hAnsi="Times New Roman" w:eastAsia="宋体"/>
                      <w:color w:val="auto"/>
                      <w:spacing w:val="6"/>
                      <w:position w:val="1"/>
                      <w:sz w:val="21"/>
                      <w:highlight w:val="none"/>
                    </w:rPr>
                    <w:t>执行</w:t>
                  </w:r>
                </w:p>
              </w:tc>
            </w:tr>
            <w:tr w14:paraId="76C36C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30" w:type="pct"/>
                  <w:tcBorders>
                    <w:tl2br w:val="nil"/>
                    <w:tr2bl w:val="nil"/>
                  </w:tcBorders>
                  <w:vAlign w:val="center"/>
                </w:tcPr>
                <w:p w14:paraId="2B20B10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一般防渗区</w:t>
                  </w:r>
                </w:p>
              </w:tc>
              <w:tc>
                <w:tcPr>
                  <w:tcW w:w="1349" w:type="pct"/>
                  <w:tcBorders>
                    <w:tl2br w:val="nil"/>
                    <w:tr2bl w:val="nil"/>
                  </w:tcBorders>
                  <w:vAlign w:val="center"/>
                </w:tcPr>
                <w:p w14:paraId="73956B3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一般固废暂存间、半</w:t>
                  </w:r>
                  <w:r>
                    <w:rPr>
                      <w:rFonts w:ascii="Times New Roman" w:hAnsi="Times New Roman" w:eastAsia="宋体"/>
                      <w:color w:val="auto"/>
                      <w:spacing w:val="8"/>
                      <w:sz w:val="21"/>
                      <w:highlight w:val="none"/>
                    </w:rPr>
                    <w:t>成品库、成品库</w:t>
                  </w:r>
                </w:p>
              </w:tc>
              <w:tc>
                <w:tcPr>
                  <w:tcW w:w="2719" w:type="pct"/>
                  <w:tcBorders>
                    <w:tl2br w:val="nil"/>
                    <w:tr2bl w:val="nil"/>
                  </w:tcBorders>
                  <w:vAlign w:val="center"/>
                </w:tcPr>
                <w:p w14:paraId="108C759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position w:val="1"/>
                      <w:sz w:val="21"/>
                      <w:highlight w:val="none"/>
                    </w:rPr>
                    <w:t>等效黏土防渗层</w:t>
                  </w:r>
                  <w:r>
                    <w:rPr>
                      <w:rFonts w:ascii="Times New Roman" w:hAnsi="Times New Roman" w:eastAsia="宋体" w:cs="Times New Roman"/>
                      <w:color w:val="auto"/>
                      <w:position w:val="1"/>
                      <w:sz w:val="21"/>
                      <w:highlight w:val="none"/>
                    </w:rPr>
                    <w:t>Mb</w:t>
                  </w:r>
                  <w:r>
                    <w:rPr>
                      <w:rFonts w:ascii="Times New Roman" w:hAnsi="Times New Roman" w:eastAsia="宋体" w:cs="Times New Roman"/>
                      <w:color w:val="auto"/>
                      <w:spacing w:val="4"/>
                      <w:position w:val="1"/>
                      <w:sz w:val="21"/>
                      <w:highlight w:val="none"/>
                    </w:rPr>
                    <w:t>≥1.5m</w:t>
                  </w:r>
                  <w:r>
                    <w:rPr>
                      <w:rFonts w:ascii="Times New Roman" w:hAnsi="Times New Roman" w:eastAsia="宋体"/>
                      <w:color w:val="auto"/>
                      <w:spacing w:val="4"/>
                      <w:position w:val="1"/>
                      <w:sz w:val="21"/>
                      <w:highlight w:val="none"/>
                    </w:rPr>
                    <w:t>，</w:t>
                  </w:r>
                  <w:r>
                    <w:rPr>
                      <w:rFonts w:ascii="Times New Roman" w:hAnsi="Times New Roman" w:eastAsia="宋体" w:cs="Times New Roman"/>
                      <w:color w:val="auto"/>
                      <w:spacing w:val="4"/>
                      <w:position w:val="1"/>
                      <w:sz w:val="21"/>
                      <w:highlight w:val="none"/>
                    </w:rPr>
                    <w:t>K≤1×10</w:t>
                  </w:r>
                  <w:r>
                    <w:rPr>
                      <w:rFonts w:ascii="Times New Roman" w:hAnsi="Times New Roman" w:eastAsia="宋体" w:cs="Times New Roman"/>
                      <w:color w:val="auto"/>
                      <w:spacing w:val="4"/>
                      <w:position w:val="1"/>
                      <w:sz w:val="21"/>
                      <w:szCs w:val="13"/>
                      <w:highlight w:val="none"/>
                      <w:vertAlign w:val="superscript"/>
                    </w:rPr>
                    <w:t>-7</w:t>
                  </w:r>
                  <w:r>
                    <w:rPr>
                      <w:rFonts w:ascii="Times New Roman" w:hAnsi="Times New Roman" w:eastAsia="宋体" w:cs="Times New Roman"/>
                      <w:color w:val="auto"/>
                      <w:position w:val="1"/>
                      <w:sz w:val="21"/>
                      <w:highlight w:val="none"/>
                    </w:rPr>
                    <w:t>cm</w:t>
                  </w:r>
                  <w:r>
                    <w:rPr>
                      <w:rFonts w:ascii="Times New Roman" w:hAnsi="Times New Roman" w:eastAsia="宋体" w:cs="Times New Roman"/>
                      <w:color w:val="auto"/>
                      <w:spacing w:val="4"/>
                      <w:position w:val="1"/>
                      <w:sz w:val="21"/>
                      <w:highlight w:val="none"/>
                    </w:rPr>
                    <w:t>/s</w:t>
                  </w:r>
                  <w:r>
                    <w:rPr>
                      <w:rFonts w:ascii="Times New Roman" w:hAnsi="Times New Roman" w:eastAsia="宋体"/>
                      <w:color w:val="auto"/>
                      <w:spacing w:val="4"/>
                      <w:position w:val="1"/>
                      <w:sz w:val="21"/>
                      <w:highlight w:val="none"/>
                    </w:rPr>
                    <w:t>；</w:t>
                  </w:r>
                </w:p>
                <w:p w14:paraId="7AC422D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6"/>
                      <w:position w:val="1"/>
                      <w:sz w:val="21"/>
                      <w:highlight w:val="none"/>
                    </w:rPr>
                    <w:t>或参照</w:t>
                  </w:r>
                  <w:r>
                    <w:rPr>
                      <w:rFonts w:ascii="Times New Roman" w:hAnsi="Times New Roman" w:eastAsia="宋体" w:cs="Times New Roman"/>
                      <w:color w:val="auto"/>
                      <w:position w:val="1"/>
                      <w:sz w:val="21"/>
                      <w:highlight w:val="none"/>
                    </w:rPr>
                    <w:t>GB</w:t>
                  </w:r>
                  <w:r>
                    <w:rPr>
                      <w:rFonts w:ascii="Times New Roman" w:hAnsi="Times New Roman" w:eastAsia="宋体" w:cs="Times New Roman"/>
                      <w:color w:val="auto"/>
                      <w:spacing w:val="6"/>
                      <w:position w:val="1"/>
                      <w:sz w:val="21"/>
                      <w:highlight w:val="none"/>
                    </w:rPr>
                    <w:t>16889</w:t>
                  </w:r>
                  <w:r>
                    <w:rPr>
                      <w:rFonts w:ascii="Times New Roman" w:hAnsi="Times New Roman" w:eastAsia="宋体"/>
                      <w:color w:val="auto"/>
                      <w:spacing w:val="6"/>
                      <w:position w:val="1"/>
                      <w:sz w:val="21"/>
                      <w:highlight w:val="none"/>
                    </w:rPr>
                    <w:t>执行</w:t>
                  </w:r>
                </w:p>
              </w:tc>
            </w:tr>
            <w:tr w14:paraId="7A0D1E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930" w:type="pct"/>
                  <w:tcBorders>
                    <w:tl2br w:val="nil"/>
                    <w:tr2bl w:val="nil"/>
                  </w:tcBorders>
                  <w:vAlign w:val="center"/>
                </w:tcPr>
                <w:p w14:paraId="0F9FC3F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简单防渗区</w:t>
                  </w:r>
                </w:p>
              </w:tc>
              <w:tc>
                <w:tcPr>
                  <w:tcW w:w="1349" w:type="pct"/>
                  <w:tcBorders>
                    <w:tl2br w:val="nil"/>
                    <w:tr2bl w:val="nil"/>
                  </w:tcBorders>
                  <w:vAlign w:val="center"/>
                </w:tcPr>
                <w:p w14:paraId="0ED7729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办公区、厂内其他区</w:t>
                  </w:r>
                </w:p>
                <w:p w14:paraId="73A9B04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z w:val="21"/>
                      <w:highlight w:val="none"/>
                    </w:rPr>
                    <w:t>域</w:t>
                  </w:r>
                </w:p>
              </w:tc>
              <w:tc>
                <w:tcPr>
                  <w:tcW w:w="2719" w:type="pct"/>
                  <w:tcBorders>
                    <w:tl2br w:val="nil"/>
                    <w:tr2bl w:val="nil"/>
                  </w:tcBorders>
                  <w:vAlign w:val="center"/>
                </w:tcPr>
                <w:p w14:paraId="17DA2D2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一般地面硬化</w:t>
                  </w:r>
                </w:p>
              </w:tc>
            </w:tr>
          </w:tbl>
          <w:p w14:paraId="03E89A21">
            <w:pPr>
              <w:pStyle w:val="120"/>
              <w:ind w:firstLine="31680"/>
              <w:rPr>
                <w:rFonts w:ascii="Times New Roman" w:hAnsi="Times New Roman" w:eastAsia="宋体"/>
                <w:color w:val="auto"/>
                <w:highlight w:val="none"/>
              </w:rPr>
            </w:pPr>
            <w:r>
              <w:rPr>
                <w:rFonts w:hint="eastAsia" w:ascii="Times New Roman" w:hAnsi="Times New Roman" w:eastAsia="宋体"/>
                <w:color w:val="auto"/>
                <w:highlight w:val="none"/>
              </w:rPr>
              <w:t>（</w:t>
            </w:r>
            <w:r>
              <w:rPr>
                <w:rFonts w:ascii="Times New Roman" w:hAnsi="Times New Roman" w:eastAsia="宋体"/>
                <w:color w:val="auto"/>
                <w:highlight w:val="none"/>
              </w:rPr>
              <w:t>1</w:t>
            </w:r>
            <w:r>
              <w:rPr>
                <w:rFonts w:hint="eastAsia" w:ascii="Times New Roman" w:hAnsi="Times New Roman" w:eastAsia="宋体"/>
                <w:color w:val="auto"/>
                <w:highlight w:val="none"/>
              </w:rPr>
              <w:t>）地下水、土壤环境影响分析</w:t>
            </w:r>
          </w:p>
          <w:p w14:paraId="62FC0896">
            <w:pPr>
              <w:pStyle w:val="4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cs="Times New Roman"/>
                <w:color w:val="auto"/>
                <w:highlight w:val="none"/>
                <w:lang w:val="en-US" w:eastAsia="zh-CN"/>
              </w:rPr>
              <w:t>废水处理设施</w:t>
            </w:r>
            <w:r>
              <w:rPr>
                <w:rFonts w:hint="default" w:ascii="Times New Roman" w:hAnsi="Times New Roman" w:eastAsia="宋体" w:cs="Times New Roman"/>
                <w:color w:val="auto"/>
                <w:highlight w:val="none"/>
                <w:lang w:val="en-US" w:eastAsia="zh-CN"/>
              </w:rPr>
              <w:t>发生损坏和跑冒滴漏对地下水的影响</w:t>
            </w:r>
          </w:p>
          <w:p w14:paraId="2DDC3F60">
            <w:pPr>
              <w:pStyle w:val="46"/>
              <w:bidi w:val="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营运期可能对地下水环境造成影响的因素为</w:t>
            </w:r>
            <w:r>
              <w:rPr>
                <w:rFonts w:hint="eastAsia" w:ascii="Times New Roman" w:hAnsi="Times New Roman" w:eastAsia="宋体" w:cs="Times New Roman"/>
                <w:color w:val="auto"/>
                <w:sz w:val="24"/>
                <w:szCs w:val="22"/>
                <w:highlight w:val="none"/>
                <w:lang w:val="en-US" w:eastAsia="zh-CN"/>
              </w:rPr>
              <w:t>化粪池</w:t>
            </w:r>
            <w:r>
              <w:rPr>
                <w:rFonts w:hint="default" w:ascii="Times New Roman" w:hAnsi="Times New Roman" w:eastAsia="宋体" w:cs="Times New Roman"/>
                <w:color w:val="auto"/>
                <w:sz w:val="24"/>
                <w:szCs w:val="22"/>
                <w:highlight w:val="none"/>
                <w:lang w:val="en-US" w:eastAsia="zh-CN"/>
              </w:rPr>
              <w:t>渗漏、</w:t>
            </w:r>
            <w:r>
              <w:rPr>
                <w:rFonts w:hint="eastAsia" w:ascii="Times New Roman" w:hAnsi="Times New Roman" w:eastAsia="宋体" w:cs="Times New Roman"/>
                <w:color w:val="auto"/>
                <w:sz w:val="24"/>
                <w:szCs w:val="22"/>
                <w:highlight w:val="none"/>
                <w:lang w:val="en-US" w:eastAsia="zh-CN"/>
              </w:rPr>
              <w:t>生活</w:t>
            </w:r>
            <w:r>
              <w:rPr>
                <w:rFonts w:hint="default" w:ascii="Times New Roman" w:hAnsi="Times New Roman" w:eastAsia="宋体" w:cs="Times New Roman"/>
                <w:color w:val="auto"/>
                <w:sz w:val="24"/>
                <w:szCs w:val="22"/>
                <w:highlight w:val="none"/>
                <w:lang w:val="en-US" w:eastAsia="zh-CN"/>
              </w:rPr>
              <w:t>污水管道破裂</w:t>
            </w:r>
            <w:r>
              <w:rPr>
                <w:rFonts w:hint="eastAsia" w:ascii="Times New Roman" w:hAnsi="Times New Roman" w:eastAsia="宋体" w:cs="Times New Roman"/>
                <w:color w:val="auto"/>
                <w:sz w:val="24"/>
                <w:szCs w:val="22"/>
                <w:highlight w:val="none"/>
                <w:lang w:val="en-US" w:eastAsia="zh-CN"/>
              </w:rPr>
              <w:t>导致废水</w:t>
            </w:r>
            <w:r>
              <w:rPr>
                <w:rFonts w:hint="default" w:ascii="Times New Roman" w:hAnsi="Times New Roman" w:eastAsia="宋体" w:cs="Times New Roman"/>
                <w:color w:val="auto"/>
                <w:sz w:val="24"/>
                <w:szCs w:val="22"/>
                <w:highlight w:val="none"/>
                <w:lang w:val="en-US" w:eastAsia="zh-CN"/>
              </w:rPr>
              <w:t>渗漏等所造成的污水事故排放和渗漏。</w:t>
            </w:r>
          </w:p>
          <w:p w14:paraId="5229B872">
            <w:pPr>
              <w:pStyle w:val="46"/>
              <w:bidi w:val="0"/>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一般情况下，废水渗漏主要考虑废水容纳构筑物底部破损渗漏和排水管道渗漏两个方面。只要严格按照相应规范要求施工并在竣工验收时严把质量关，废水容纳构筑物底部破损渗漏对地下水产生影响的情况是可以避免的。</w:t>
            </w:r>
          </w:p>
          <w:p w14:paraId="3BE22781">
            <w:pPr>
              <w:pStyle w:val="4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2）原料</w:t>
            </w:r>
            <w:r>
              <w:rPr>
                <w:rFonts w:hint="eastAsia" w:cs="Times New Roman"/>
                <w:color w:val="auto"/>
                <w:highlight w:val="none"/>
                <w:lang w:val="en-US" w:eastAsia="zh-CN"/>
              </w:rPr>
              <w:t>贮存区</w:t>
            </w:r>
            <w:r>
              <w:rPr>
                <w:rFonts w:hint="default" w:ascii="Times New Roman" w:hAnsi="Times New Roman" w:eastAsia="宋体" w:cs="Times New Roman"/>
                <w:color w:val="auto"/>
                <w:highlight w:val="none"/>
                <w:lang w:val="en-US" w:eastAsia="zh-CN"/>
              </w:rPr>
              <w:t>对地下水的影响</w:t>
            </w:r>
          </w:p>
          <w:p w14:paraId="2F8EDFB6">
            <w:pPr>
              <w:pStyle w:val="46"/>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项目原料</w:t>
            </w:r>
            <w:r>
              <w:rPr>
                <w:rFonts w:hint="eastAsia" w:ascii="Times New Roman" w:hAnsi="Times New Roman" w:eastAsia="宋体" w:cs="Times New Roman"/>
                <w:color w:val="auto"/>
                <w:highlight w:val="none"/>
                <w:lang w:val="en-US" w:eastAsia="zh-CN"/>
              </w:rPr>
              <w:t>为</w:t>
            </w:r>
            <w:r>
              <w:rPr>
                <w:rFonts w:hint="eastAsia"/>
                <w:color w:val="auto"/>
                <w:highlight w:val="none"/>
                <w:lang w:val="en-US" w:eastAsia="zh-CN"/>
              </w:rPr>
              <w:t>机油、电泳涂料等</w:t>
            </w:r>
            <w:r>
              <w:rPr>
                <w:rFonts w:hint="default" w:ascii="Times New Roman" w:hAnsi="Times New Roman" w:eastAsia="宋体" w:cs="Times New Roman"/>
                <w:color w:val="auto"/>
                <w:highlight w:val="none"/>
                <w:lang w:val="en-US" w:eastAsia="zh-CN"/>
              </w:rPr>
              <w:t>，原料</w:t>
            </w:r>
            <w:r>
              <w:rPr>
                <w:rFonts w:hint="eastAsia" w:cs="Times New Roman"/>
                <w:color w:val="auto"/>
                <w:highlight w:val="none"/>
                <w:lang w:val="en-US" w:eastAsia="zh-CN"/>
              </w:rPr>
              <w:t>贮存区</w:t>
            </w:r>
            <w:r>
              <w:rPr>
                <w:rFonts w:hint="default" w:ascii="Times New Roman" w:hAnsi="Times New Roman" w:eastAsia="宋体" w:cs="Times New Roman"/>
                <w:color w:val="auto"/>
                <w:highlight w:val="none"/>
                <w:lang w:val="en-US" w:eastAsia="zh-CN"/>
              </w:rPr>
              <w:t>均采用硬底化地面，因此项目原料</w:t>
            </w:r>
            <w:r>
              <w:rPr>
                <w:rFonts w:hint="eastAsia" w:cs="Times New Roman"/>
                <w:color w:val="auto"/>
                <w:highlight w:val="none"/>
                <w:lang w:val="en-US" w:eastAsia="zh-CN"/>
              </w:rPr>
              <w:t>贮存区</w:t>
            </w:r>
            <w:r>
              <w:rPr>
                <w:rFonts w:hint="default" w:ascii="Times New Roman" w:hAnsi="Times New Roman" w:eastAsia="宋体" w:cs="Times New Roman"/>
                <w:color w:val="auto"/>
                <w:highlight w:val="none"/>
                <w:lang w:val="en-US" w:eastAsia="zh-CN"/>
              </w:rPr>
              <w:t>不会出现液体渗漏污染地下水情况。</w:t>
            </w:r>
          </w:p>
          <w:p w14:paraId="00B8299E">
            <w:pPr>
              <w:pStyle w:val="46"/>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3）固体废物</w:t>
            </w:r>
            <w:r>
              <w:rPr>
                <w:rFonts w:hint="default" w:ascii="Times New Roman" w:hAnsi="Times New Roman" w:eastAsia="宋体" w:cs="Times New Roman"/>
                <w:color w:val="auto"/>
                <w:sz w:val="24"/>
                <w:szCs w:val="22"/>
                <w:highlight w:val="none"/>
                <w:lang w:val="en-US" w:eastAsia="zh-CN"/>
              </w:rPr>
              <w:t>淋溶对地下水的影响</w:t>
            </w:r>
          </w:p>
          <w:p w14:paraId="7AB8809C">
            <w:pPr>
              <w:pStyle w:val="90"/>
              <w:ind w:firstLine="316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在项目生产车间、原料</w:t>
            </w:r>
            <w:r>
              <w:rPr>
                <w:rFonts w:hint="eastAsia" w:cs="Times New Roman"/>
                <w:color w:val="auto"/>
                <w:highlight w:val="none"/>
                <w:lang w:val="en-US" w:eastAsia="zh-CN"/>
              </w:rPr>
              <w:t>贮存区</w:t>
            </w:r>
            <w:r>
              <w:rPr>
                <w:rFonts w:hint="default" w:ascii="Times New Roman" w:hAnsi="Times New Roman" w:eastAsia="宋体" w:cs="Times New Roman"/>
                <w:color w:val="auto"/>
                <w:highlight w:val="none"/>
                <w:lang w:val="en-US" w:eastAsia="zh-CN"/>
              </w:rPr>
              <w:t>和</w:t>
            </w:r>
            <w:r>
              <w:rPr>
                <w:rFonts w:hint="eastAsia" w:cs="Times New Roman"/>
                <w:color w:val="auto"/>
                <w:highlight w:val="none"/>
                <w:lang w:val="en-US" w:eastAsia="zh-CN"/>
              </w:rPr>
              <w:t>固废堆存区</w:t>
            </w:r>
            <w:r>
              <w:rPr>
                <w:rFonts w:hint="default" w:ascii="Times New Roman" w:hAnsi="Times New Roman" w:eastAsia="宋体" w:cs="Times New Roman"/>
                <w:color w:val="auto"/>
                <w:highlight w:val="none"/>
                <w:lang w:val="en-US" w:eastAsia="zh-CN"/>
              </w:rPr>
              <w:t>所按要求做好地面防渗工作，加强日常管理维护，污染物不易发生渗漏。因此，区域内通过饱水带下渗污染地下水的可能性很小，对</w:t>
            </w:r>
            <w:r>
              <w:rPr>
                <w:rFonts w:hint="eastAsia" w:ascii="Times New Roman" w:hAnsi="Times New Roman" w:eastAsia="宋体" w:cs="Times New Roman"/>
                <w:color w:val="auto"/>
                <w:highlight w:val="none"/>
                <w:lang w:val="en-US" w:eastAsia="zh-CN"/>
              </w:rPr>
              <w:t>区域地下水</w:t>
            </w:r>
            <w:r>
              <w:rPr>
                <w:rFonts w:hint="default" w:ascii="Times New Roman" w:hAnsi="Times New Roman" w:eastAsia="宋体" w:cs="Times New Roman"/>
                <w:color w:val="auto"/>
                <w:highlight w:val="none"/>
                <w:lang w:val="en-US" w:eastAsia="zh-CN"/>
              </w:rPr>
              <w:t>环境影响不大</w:t>
            </w:r>
            <w:r>
              <w:rPr>
                <w:rFonts w:hint="eastAsia" w:ascii="Times New Roman" w:hAnsi="Times New Roman" w:eastAsia="宋体" w:cs="Times New Roman"/>
                <w:color w:val="auto"/>
                <w:highlight w:val="none"/>
                <w:lang w:val="en-US" w:eastAsia="zh-CN"/>
              </w:rPr>
              <w:t>。</w:t>
            </w:r>
          </w:p>
          <w:p w14:paraId="70A53FAE">
            <w:pPr>
              <w:pStyle w:val="90"/>
              <w:ind w:firstLine="31680"/>
              <w:rPr>
                <w:rFonts w:hint="default" w:ascii="Times New Roman" w:hAnsi="Times New Roman" w:eastAsia="宋体" w:cs="Times New Roman"/>
                <w:color w:val="auto"/>
                <w:highlight w:val="none"/>
                <w:lang w:val="en-US" w:eastAsia="zh-CN"/>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）污染防控措施</w:t>
            </w:r>
          </w:p>
          <w:p w14:paraId="66F59AF6">
            <w:pPr>
              <w:pStyle w:val="46"/>
              <w:bidi w:val="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本项目地下水及土壤污染防治措施按照</w:t>
            </w:r>
            <w:r>
              <w:rPr>
                <w:rFonts w:hint="eastAsia" w:ascii="Times New Roman" w:hAnsi="Times New Roman" w:eastAsia="宋体" w:cs="宋体"/>
                <w:color w:val="auto"/>
                <w:highlight w:val="none"/>
                <w:lang w:val="en-US" w:eastAsia="zh-CN"/>
              </w:rPr>
              <w:t>“源头控制、分区防治、污染监控、应急响应”相结</w:t>
            </w:r>
            <w:r>
              <w:rPr>
                <w:rFonts w:hint="default" w:ascii="Times New Roman" w:hAnsi="Times New Roman" w:eastAsia="宋体"/>
                <w:color w:val="auto"/>
                <w:highlight w:val="none"/>
                <w:lang w:val="en-US" w:eastAsia="zh-CN"/>
              </w:rPr>
              <w:t>合的原则，从污染物的产生、入渗、扩散、应急响应全方位进行控制。</w:t>
            </w:r>
          </w:p>
          <w:p w14:paraId="334E33EA">
            <w:pPr>
              <w:pStyle w:val="46"/>
              <w:bidi w:val="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1）源头控制措施</w:t>
            </w:r>
          </w:p>
          <w:p w14:paraId="1EE4E2DE">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①</w:t>
            </w:r>
            <w:r>
              <w:rPr>
                <w:rFonts w:hint="eastAsia"/>
                <w:color w:val="auto"/>
                <w:highlight w:val="none"/>
                <w:lang w:val="en-US" w:eastAsia="zh-CN"/>
              </w:rPr>
              <w:t>危废储存库</w:t>
            </w:r>
            <w:r>
              <w:rPr>
                <w:rFonts w:hint="default" w:ascii="Times New Roman" w:hAnsi="Times New Roman" w:eastAsia="宋体"/>
                <w:color w:val="auto"/>
                <w:highlight w:val="none"/>
                <w:lang w:val="en-US" w:eastAsia="zh-CN"/>
              </w:rPr>
              <w:t>区域进行防腐防渗措施，如地面采取防渗，并在</w:t>
            </w:r>
            <w:r>
              <w:rPr>
                <w:rFonts w:hint="eastAsia" w:ascii="Times New Roman" w:hAnsi="Times New Roman" w:eastAsia="宋体"/>
                <w:color w:val="auto"/>
                <w:highlight w:val="none"/>
                <w:lang w:val="en-US" w:eastAsia="zh-CN"/>
              </w:rPr>
              <w:t>危险废物</w:t>
            </w:r>
            <w:r>
              <w:rPr>
                <w:rFonts w:hint="default" w:ascii="Times New Roman" w:hAnsi="Times New Roman" w:eastAsia="宋体"/>
                <w:color w:val="auto"/>
                <w:highlight w:val="none"/>
                <w:lang w:val="en-US" w:eastAsia="zh-CN"/>
              </w:rPr>
              <w:t>设置托盘，防止液体滴落地面造成污染；</w:t>
            </w:r>
            <w:r>
              <w:rPr>
                <w:rFonts w:hint="eastAsia"/>
                <w:color w:val="auto"/>
                <w:highlight w:val="none"/>
                <w:lang w:val="en-US" w:eastAsia="zh-CN"/>
              </w:rPr>
              <w:t>废机油</w:t>
            </w:r>
            <w:r>
              <w:rPr>
                <w:rFonts w:hint="default" w:ascii="Times New Roman" w:hAnsi="Times New Roman" w:eastAsia="宋体"/>
                <w:color w:val="auto"/>
                <w:highlight w:val="none"/>
                <w:lang w:val="en-US" w:eastAsia="zh-CN"/>
              </w:rPr>
              <w:t>储存区设置围堰，并对围堰采取防腐、防渗处理。</w:t>
            </w:r>
          </w:p>
          <w:p w14:paraId="38054A9C">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②加强危废储存场地的检修、加固，防止渗漏，对地下水造成污染。</w:t>
            </w:r>
          </w:p>
          <w:p w14:paraId="1283541E">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w:t>
            </w:r>
            <w:r>
              <w:rPr>
                <w:rFonts w:hint="default" w:ascii="Times New Roman" w:hAnsi="Times New Roman" w:eastAsia="宋体"/>
                <w:color w:val="auto"/>
                <w:highlight w:val="none"/>
                <w:lang w:val="en-US" w:eastAsia="zh-CN"/>
              </w:rPr>
              <w:t>防渗分区防治及措施</w:t>
            </w:r>
          </w:p>
          <w:p w14:paraId="2220A952">
            <w:pPr>
              <w:pStyle w:val="120"/>
              <w:rPr>
                <w:rFonts w:hint="default" w:ascii="Times New Roman" w:hAnsi="Times New Roman" w:eastAsia="宋体"/>
                <w:smallCaps w:val="0"/>
                <w:color w:val="auto"/>
                <w:highlight w:val="none"/>
                <w:shd w:val="clear" w:color="auto" w:fill="auto"/>
                <w:lang w:val="en-US" w:eastAsia="zh-CN"/>
              </w:rPr>
            </w:pPr>
            <w:r>
              <w:rPr>
                <w:rFonts w:hint="default" w:ascii="Times New Roman" w:hAnsi="Times New Roman" w:eastAsia="宋体"/>
                <w:color w:val="auto"/>
                <w:highlight w:val="none"/>
                <w:lang w:val="en-US" w:eastAsia="zh-CN"/>
              </w:rPr>
              <w:t>根据防渗分区技术方法及本项目的工程分析，将</w:t>
            </w:r>
            <w:r>
              <w:rPr>
                <w:rFonts w:hint="eastAsia"/>
                <w:color w:val="auto"/>
                <w:highlight w:val="none"/>
                <w:lang w:val="en-US" w:eastAsia="zh-CN"/>
              </w:rPr>
              <w:t>危废储存库</w:t>
            </w:r>
            <w:r>
              <w:rPr>
                <w:rFonts w:hint="eastAsia" w:ascii="Times New Roman" w:hAnsi="Times New Roman" w:eastAsia="宋体"/>
                <w:color w:val="auto"/>
                <w:highlight w:val="none"/>
                <w:lang w:val="en-US" w:eastAsia="zh-CN"/>
              </w:rPr>
              <w:t>、</w:t>
            </w:r>
            <w:r>
              <w:rPr>
                <w:rFonts w:hint="eastAsia"/>
                <w:color w:val="auto"/>
                <w:highlight w:val="none"/>
                <w:lang w:val="en-US" w:eastAsia="zh-CN"/>
              </w:rPr>
              <w:t>污水处理站</w:t>
            </w:r>
            <w:r>
              <w:rPr>
                <w:rFonts w:hint="default" w:ascii="Times New Roman" w:hAnsi="Times New Roman" w:eastAsia="宋体"/>
                <w:color w:val="auto"/>
                <w:highlight w:val="none"/>
                <w:lang w:val="en-US" w:eastAsia="zh-CN"/>
              </w:rPr>
              <w:t>划分为重点防渗区；厂房其他生产区划分为一般防渗区</w:t>
            </w:r>
            <w:r>
              <w:rPr>
                <w:rFonts w:hint="eastAsia"/>
                <w:color w:val="auto"/>
                <w:highlight w:val="none"/>
                <w:lang w:eastAsia="zh-CN"/>
              </w:rPr>
              <w:t>，</w:t>
            </w:r>
            <w:r>
              <w:rPr>
                <w:rFonts w:hint="eastAsia"/>
                <w:color w:val="auto"/>
                <w:highlight w:val="none"/>
                <w:lang w:val="en-US" w:eastAsia="zh-CN"/>
              </w:rPr>
              <w:t>厂区道路设置为简单防渗区</w:t>
            </w:r>
            <w:r>
              <w:rPr>
                <w:rFonts w:hint="default" w:ascii="Times New Roman" w:hAnsi="Times New Roman" w:eastAsia="宋体"/>
                <w:color w:val="auto"/>
                <w:highlight w:val="none"/>
                <w:lang w:val="en-US" w:eastAsia="zh-CN"/>
              </w:rPr>
              <w:t>。</w:t>
            </w:r>
            <w:r>
              <w:rPr>
                <w:rFonts w:hint="eastAsia" w:ascii="Times New Roman" w:hAnsi="Times New Roman" w:eastAsia="宋体"/>
                <w:smallCaps w:val="0"/>
                <w:color w:val="auto"/>
                <w:highlight w:val="none"/>
                <w:shd w:val="clear" w:color="auto" w:fill="auto"/>
                <w:lang w:val="en-US" w:eastAsia="zh-CN"/>
              </w:rPr>
              <w:t>防渗要求如下：</w:t>
            </w:r>
          </w:p>
          <w:p w14:paraId="06C8DC4E">
            <w:pPr>
              <w:pStyle w:val="46"/>
              <w:ind w:left="420" w:leftChars="200" w:firstLine="0" w:firstLineChars="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fldChar w:fldCharType="begin"/>
            </w:r>
            <w:r>
              <w:rPr>
                <w:rFonts w:ascii="Times New Roman" w:hAnsi="Times New Roman" w:eastAsia="宋体"/>
                <w:smallCaps w:val="0"/>
                <w:color w:val="auto"/>
                <w:highlight w:val="none"/>
                <w:shd w:val="clear" w:color="auto" w:fill="auto"/>
              </w:rPr>
              <w:instrText xml:space="preserve"> = 1 \* GB3 \* MERGEFORMAT </w:instrText>
            </w:r>
            <w:r>
              <w:rPr>
                <w:rFonts w:ascii="Times New Roman" w:hAnsi="Times New Roman" w:eastAsia="宋体"/>
                <w:smallCaps w:val="0"/>
                <w:color w:val="auto"/>
                <w:highlight w:val="none"/>
                <w:shd w:val="clear" w:color="auto" w:fill="auto"/>
              </w:rPr>
              <w:fldChar w:fldCharType="separate"/>
            </w:r>
            <w:r>
              <w:rPr>
                <w:rFonts w:ascii="Times New Roman" w:hAnsi="Times New Roman" w:eastAsia="宋体"/>
                <w:smallCaps w:val="0"/>
                <w:color w:val="auto"/>
                <w:highlight w:val="none"/>
                <w:shd w:val="clear" w:color="auto" w:fill="auto"/>
              </w:rPr>
              <w:t>①</w:t>
            </w:r>
            <w:r>
              <w:rPr>
                <w:rFonts w:ascii="Times New Roman" w:hAnsi="Times New Roman" w:eastAsia="宋体"/>
                <w:smallCaps w:val="0"/>
                <w:color w:val="auto"/>
                <w:highlight w:val="none"/>
                <w:shd w:val="clear" w:color="auto" w:fill="auto"/>
              </w:rPr>
              <w:fldChar w:fldCharType="end"/>
            </w:r>
            <w:r>
              <w:rPr>
                <w:rFonts w:hint="eastAsia" w:ascii="Times New Roman" w:hAnsi="Times New Roman" w:eastAsia="宋体"/>
                <w:smallCaps w:val="0"/>
                <w:color w:val="auto"/>
                <w:highlight w:val="none"/>
                <w:shd w:val="clear" w:color="auto" w:fill="auto"/>
              </w:rPr>
              <w:t>重点防渗区</w:t>
            </w:r>
          </w:p>
          <w:p w14:paraId="2E30A27D">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指污染地下水环境的物料泄漏后，不容易被及时发现和处理的区域。本项目重点污染防治区主要包括危险废物暂存间。</w:t>
            </w:r>
          </w:p>
          <w:p w14:paraId="32D2CFB8">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重点污染区防渗要求：</w:t>
            </w:r>
            <w:r>
              <w:rPr>
                <w:rFonts w:hint="eastAsia" w:ascii="Times New Roman" w:hAnsi="Times New Roman" w:eastAsia="宋体"/>
                <w:smallCaps w:val="0"/>
                <w:color w:val="auto"/>
                <w:highlight w:val="none"/>
                <w:shd w:val="clear" w:color="auto" w:fill="auto"/>
              </w:rPr>
              <w:t>防渗层为至少1m厚黏土层（</w:t>
            </w:r>
            <w:r>
              <w:rPr>
                <w:rFonts w:ascii="Times New Roman" w:hAnsi="Times New Roman" w:eastAsia="宋体"/>
                <w:smallCaps w:val="0"/>
                <w:color w:val="auto"/>
                <w:highlight w:val="none"/>
                <w:shd w:val="clear" w:color="auto" w:fill="auto"/>
              </w:rPr>
              <w:t>渗透系数≤10</w:t>
            </w:r>
            <w:r>
              <w:rPr>
                <w:rFonts w:ascii="Times New Roman" w:hAnsi="Times New Roman" w:eastAsia="宋体"/>
                <w:smallCaps w:val="0"/>
                <w:color w:val="auto"/>
                <w:highlight w:val="none"/>
                <w:shd w:val="clear" w:color="auto" w:fill="auto"/>
                <w:vertAlign w:val="superscript"/>
              </w:rPr>
              <w:t>-</w:t>
            </w:r>
            <w:r>
              <w:rPr>
                <w:rFonts w:hint="eastAsia" w:ascii="Times New Roman" w:hAnsi="Times New Roman" w:eastAsia="宋体"/>
                <w:smallCaps w:val="0"/>
                <w:color w:val="auto"/>
                <w:highlight w:val="none"/>
                <w:shd w:val="clear" w:color="auto" w:fill="auto"/>
                <w:vertAlign w:val="superscript"/>
              </w:rPr>
              <w:t>7</w:t>
            </w:r>
            <w:r>
              <w:rPr>
                <w:rFonts w:ascii="Times New Roman" w:hAnsi="Times New Roman" w:eastAsia="宋体"/>
                <w:smallCaps w:val="0"/>
                <w:color w:val="auto"/>
                <w:highlight w:val="none"/>
                <w:shd w:val="clear" w:color="auto" w:fill="auto"/>
              </w:rPr>
              <w:t>cm/s</w:t>
            </w:r>
            <w:r>
              <w:rPr>
                <w:rFonts w:hint="eastAsia" w:ascii="Times New Roman" w:hAnsi="Times New Roman" w:eastAsia="宋体"/>
                <w:smallCaps w:val="0"/>
                <w:color w:val="auto"/>
                <w:highlight w:val="none"/>
                <w:shd w:val="clear" w:color="auto" w:fill="auto"/>
              </w:rPr>
              <w:t>），或2mm厚高密度聚氯乙烯，或至少2mm厚</w:t>
            </w:r>
            <w:r>
              <w:rPr>
                <w:rFonts w:hint="eastAsia" w:ascii="Times New Roman" w:hAnsi="Times New Roman" w:eastAsia="宋体"/>
                <w:smallCaps w:val="0"/>
                <w:color w:val="auto"/>
                <w:highlight w:val="none"/>
                <w:shd w:val="clear" w:color="auto" w:fill="auto"/>
                <w:lang w:eastAsia="zh-CN"/>
              </w:rPr>
              <w:t>的其他</w:t>
            </w:r>
            <w:r>
              <w:rPr>
                <w:rFonts w:hint="eastAsia" w:ascii="Times New Roman" w:hAnsi="Times New Roman" w:eastAsia="宋体"/>
                <w:smallCaps w:val="0"/>
                <w:color w:val="auto"/>
                <w:highlight w:val="none"/>
                <w:shd w:val="clear" w:color="auto" w:fill="auto"/>
              </w:rPr>
              <w:t>人工材料，渗透系数</w:t>
            </w:r>
            <w:r>
              <w:rPr>
                <w:rFonts w:ascii="Times New Roman" w:hAnsi="Times New Roman" w:eastAsia="宋体"/>
                <w:smallCaps w:val="0"/>
                <w:color w:val="auto"/>
                <w:highlight w:val="none"/>
                <w:shd w:val="clear" w:color="auto" w:fill="auto"/>
              </w:rPr>
              <w:t>≤10</w:t>
            </w:r>
            <w:r>
              <w:rPr>
                <w:rFonts w:ascii="Times New Roman" w:hAnsi="Times New Roman" w:eastAsia="宋体"/>
                <w:smallCaps w:val="0"/>
                <w:color w:val="auto"/>
                <w:highlight w:val="none"/>
                <w:shd w:val="clear" w:color="auto" w:fill="auto"/>
                <w:vertAlign w:val="superscript"/>
              </w:rPr>
              <w:t>-</w:t>
            </w:r>
            <w:r>
              <w:rPr>
                <w:rFonts w:hint="eastAsia" w:ascii="Times New Roman" w:hAnsi="Times New Roman" w:eastAsia="宋体"/>
                <w:smallCaps w:val="0"/>
                <w:color w:val="auto"/>
                <w:highlight w:val="none"/>
                <w:shd w:val="clear" w:color="auto" w:fill="auto"/>
                <w:vertAlign w:val="superscript"/>
              </w:rPr>
              <w:t>10</w:t>
            </w:r>
            <w:r>
              <w:rPr>
                <w:rFonts w:ascii="Times New Roman" w:hAnsi="Times New Roman" w:eastAsia="宋体"/>
                <w:smallCaps w:val="0"/>
                <w:color w:val="auto"/>
                <w:highlight w:val="none"/>
                <w:shd w:val="clear" w:color="auto" w:fill="auto"/>
              </w:rPr>
              <w:t>cm/s。</w:t>
            </w:r>
          </w:p>
          <w:p w14:paraId="2ED06196">
            <w:pPr>
              <w:pStyle w:val="46"/>
              <w:ind w:left="420" w:leftChars="200" w:firstLine="0" w:firstLineChars="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fldChar w:fldCharType="begin"/>
            </w:r>
            <w:r>
              <w:rPr>
                <w:rFonts w:ascii="Times New Roman" w:hAnsi="Times New Roman" w:eastAsia="宋体"/>
                <w:smallCaps w:val="0"/>
                <w:color w:val="auto"/>
                <w:highlight w:val="none"/>
                <w:shd w:val="clear" w:color="auto" w:fill="auto"/>
              </w:rPr>
              <w:instrText xml:space="preserve"> = 2 \* GB3 \* MERGEFORMAT </w:instrText>
            </w:r>
            <w:r>
              <w:rPr>
                <w:rFonts w:ascii="Times New Roman" w:hAnsi="Times New Roman" w:eastAsia="宋体"/>
                <w:smallCaps w:val="0"/>
                <w:color w:val="auto"/>
                <w:highlight w:val="none"/>
                <w:shd w:val="clear" w:color="auto" w:fill="auto"/>
              </w:rPr>
              <w:fldChar w:fldCharType="separate"/>
            </w:r>
            <w:r>
              <w:rPr>
                <w:rFonts w:ascii="Times New Roman" w:hAnsi="Times New Roman" w:eastAsia="宋体"/>
                <w:smallCaps w:val="0"/>
                <w:color w:val="auto"/>
                <w:highlight w:val="none"/>
                <w:shd w:val="clear" w:color="auto" w:fill="auto"/>
              </w:rPr>
              <w:t>②</w:t>
            </w:r>
            <w:r>
              <w:rPr>
                <w:rFonts w:ascii="Times New Roman" w:hAnsi="Times New Roman" w:eastAsia="宋体"/>
                <w:smallCaps w:val="0"/>
                <w:color w:val="auto"/>
                <w:highlight w:val="none"/>
                <w:shd w:val="clear" w:color="auto" w:fill="auto"/>
              </w:rPr>
              <w:fldChar w:fldCharType="end"/>
            </w:r>
            <w:r>
              <w:rPr>
                <w:rFonts w:hint="eastAsia" w:ascii="Times New Roman" w:hAnsi="Times New Roman" w:eastAsia="宋体"/>
                <w:smallCaps w:val="0"/>
                <w:color w:val="auto"/>
                <w:highlight w:val="none"/>
                <w:shd w:val="clear" w:color="auto" w:fill="auto"/>
              </w:rPr>
              <w:t>一般防渗区</w:t>
            </w:r>
          </w:p>
          <w:p w14:paraId="298ABE08">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指裸露于地面的生产功能单元，污染地下水环境的物料泄漏后，容易被及时发现和处理的区域。</w:t>
            </w:r>
          </w:p>
          <w:p w14:paraId="052CA236">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对于一般污染防治区，参照《</w:t>
            </w:r>
            <w:r>
              <w:rPr>
                <w:rFonts w:hint="eastAsia"/>
                <w:smallCaps w:val="0"/>
                <w:color w:val="auto"/>
                <w:highlight w:val="none"/>
                <w:shd w:val="clear" w:color="auto" w:fill="auto"/>
                <w:lang w:eastAsia="zh-CN"/>
              </w:rPr>
              <w:t>一般工业固体废物贮存和填埋污染控制标准</w:t>
            </w:r>
            <w:r>
              <w:rPr>
                <w:rFonts w:ascii="Times New Roman" w:hAnsi="Times New Roman" w:eastAsia="宋体"/>
                <w:smallCaps w:val="0"/>
                <w:color w:val="auto"/>
                <w:highlight w:val="none"/>
                <w:shd w:val="clear" w:color="auto" w:fill="auto"/>
              </w:rPr>
              <w:t>》</w:t>
            </w:r>
            <w:r>
              <w:rPr>
                <w:rFonts w:hint="eastAsia" w:ascii="Times New Roman" w:hAnsi="Times New Roman" w:eastAsia="宋体"/>
                <w:smallCaps w:val="0"/>
                <w:color w:val="auto"/>
                <w:highlight w:val="none"/>
                <w:shd w:val="clear" w:color="auto" w:fill="auto"/>
                <w:lang w:eastAsia="zh-CN"/>
              </w:rPr>
              <w:t>（</w:t>
            </w:r>
            <w:r>
              <w:rPr>
                <w:rFonts w:ascii="Times New Roman" w:hAnsi="Times New Roman" w:eastAsia="宋体"/>
                <w:smallCaps w:val="0"/>
                <w:color w:val="auto"/>
                <w:highlight w:val="none"/>
                <w:shd w:val="clear" w:color="auto" w:fill="auto"/>
              </w:rPr>
              <w:t>GB18599-2020</w:t>
            </w:r>
            <w:r>
              <w:rPr>
                <w:rFonts w:hint="eastAsia" w:ascii="Times New Roman" w:hAnsi="Times New Roman" w:eastAsia="宋体"/>
                <w:smallCaps w:val="0"/>
                <w:color w:val="auto"/>
                <w:highlight w:val="none"/>
                <w:shd w:val="clear" w:color="auto" w:fill="auto"/>
                <w:lang w:eastAsia="zh-CN"/>
              </w:rPr>
              <w:t>）</w:t>
            </w:r>
            <w:r>
              <w:rPr>
                <w:rFonts w:ascii="Times New Roman" w:hAnsi="Times New Roman" w:eastAsia="宋体"/>
                <w:smallCaps w:val="0"/>
                <w:color w:val="auto"/>
                <w:highlight w:val="none"/>
                <w:shd w:val="clear" w:color="auto" w:fill="auto"/>
              </w:rPr>
              <w:t>Ⅱ类场进行设计。</w:t>
            </w:r>
          </w:p>
          <w:p w14:paraId="71933BAF">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一般污染区防渗要求：</w:t>
            </w:r>
            <w:r>
              <w:rPr>
                <w:rFonts w:hint="eastAsia" w:ascii="Times New Roman" w:hAnsi="Times New Roman" w:eastAsia="宋体"/>
                <w:smallCaps w:val="0"/>
                <w:color w:val="auto"/>
                <w:highlight w:val="none"/>
                <w:shd w:val="clear" w:color="auto" w:fill="auto"/>
                <w:lang w:bidi="ar"/>
              </w:rPr>
              <w:t>人工合成材料应采用高密度聚乙烯膜，厚度不小于</w:t>
            </w:r>
            <w:r>
              <w:rPr>
                <w:rFonts w:ascii="Times New Roman" w:hAnsi="Times New Roman" w:eastAsia="宋体"/>
                <w:smallCaps w:val="0"/>
                <w:color w:val="auto"/>
                <w:highlight w:val="none"/>
                <w:shd w:val="clear" w:color="auto" w:fill="auto"/>
                <w:lang w:bidi="ar"/>
              </w:rPr>
              <w:t>1.5mm</w:t>
            </w:r>
            <w:r>
              <w:rPr>
                <w:rFonts w:hint="eastAsia" w:ascii="Times New Roman" w:hAnsi="Times New Roman" w:eastAsia="宋体"/>
                <w:smallCaps w:val="0"/>
                <w:color w:val="auto"/>
                <w:highlight w:val="none"/>
                <w:shd w:val="clear" w:color="auto" w:fill="auto"/>
                <w:lang w:bidi="ar"/>
              </w:rPr>
              <w:t>，并满足</w:t>
            </w:r>
            <w:r>
              <w:rPr>
                <w:rFonts w:ascii="Times New Roman" w:hAnsi="Times New Roman" w:eastAsia="宋体"/>
                <w:smallCaps w:val="0"/>
                <w:color w:val="auto"/>
                <w:highlight w:val="none"/>
                <w:shd w:val="clear" w:color="auto" w:fill="auto"/>
                <w:lang w:bidi="ar"/>
              </w:rPr>
              <w:t>GB/T17643</w:t>
            </w:r>
            <w:r>
              <w:rPr>
                <w:rFonts w:hint="eastAsia" w:ascii="Times New Roman" w:hAnsi="Times New Roman" w:eastAsia="宋体"/>
                <w:smallCaps w:val="0"/>
                <w:color w:val="auto"/>
                <w:highlight w:val="none"/>
                <w:shd w:val="clear" w:color="auto" w:fill="auto"/>
                <w:lang w:bidi="ar"/>
              </w:rPr>
              <w:t>规定的技术指标要求。采用其他人工合成材料的，其防渗性能至少相当于</w:t>
            </w:r>
            <w:r>
              <w:rPr>
                <w:rFonts w:ascii="Times New Roman" w:hAnsi="Times New Roman" w:eastAsia="宋体"/>
                <w:smallCaps w:val="0"/>
                <w:color w:val="auto"/>
                <w:highlight w:val="none"/>
                <w:shd w:val="clear" w:color="auto" w:fill="auto"/>
                <w:lang w:bidi="ar"/>
              </w:rPr>
              <w:t>1.5 mm</w:t>
            </w:r>
            <w:r>
              <w:rPr>
                <w:rFonts w:hint="eastAsia" w:ascii="Times New Roman" w:hAnsi="Times New Roman" w:eastAsia="宋体"/>
                <w:smallCaps w:val="0"/>
                <w:color w:val="auto"/>
                <w:highlight w:val="none"/>
                <w:shd w:val="clear" w:color="auto" w:fill="auto"/>
                <w:lang w:bidi="ar"/>
              </w:rPr>
              <w:t>高密度聚乙烯膜的防渗性能。</w:t>
            </w:r>
            <w:r>
              <w:rPr>
                <w:rFonts w:hint="eastAsia" w:ascii="Times New Roman" w:hAnsi="Times New Roman" w:eastAsia="宋体"/>
                <w:smallCaps w:val="0"/>
                <w:color w:val="auto"/>
                <w:highlight w:val="none"/>
                <w:shd w:val="clear" w:color="auto" w:fill="auto"/>
                <w:lang w:eastAsia="zh-CN" w:bidi="ar"/>
              </w:rPr>
              <w:t>黏土</w:t>
            </w:r>
            <w:r>
              <w:rPr>
                <w:rFonts w:hint="eastAsia" w:ascii="Times New Roman" w:hAnsi="Times New Roman" w:eastAsia="宋体"/>
                <w:smallCaps w:val="0"/>
                <w:color w:val="auto"/>
                <w:highlight w:val="none"/>
                <w:shd w:val="clear" w:color="auto" w:fill="auto"/>
                <w:lang w:bidi="ar"/>
              </w:rPr>
              <w:t>衬层厚度应不小于</w:t>
            </w:r>
            <w:r>
              <w:rPr>
                <w:rFonts w:ascii="Times New Roman" w:hAnsi="Times New Roman" w:eastAsia="宋体"/>
                <w:smallCaps w:val="0"/>
                <w:color w:val="auto"/>
                <w:highlight w:val="none"/>
                <w:shd w:val="clear" w:color="auto" w:fill="auto"/>
                <w:lang w:bidi="ar"/>
              </w:rPr>
              <w:t>0.75m</w:t>
            </w:r>
            <w:r>
              <w:rPr>
                <w:rFonts w:hint="eastAsia"/>
                <w:smallCaps w:val="0"/>
                <w:color w:val="auto"/>
                <w:highlight w:val="none"/>
                <w:shd w:val="clear" w:color="auto" w:fill="auto"/>
                <w:lang w:eastAsia="zh-CN" w:bidi="ar"/>
              </w:rPr>
              <w:t>且</w:t>
            </w:r>
            <w:r>
              <w:rPr>
                <w:rFonts w:hint="eastAsia" w:ascii="Times New Roman" w:hAnsi="Times New Roman" w:eastAsia="宋体"/>
                <w:smallCaps w:val="0"/>
                <w:color w:val="auto"/>
                <w:highlight w:val="none"/>
                <w:shd w:val="clear" w:color="auto" w:fill="auto"/>
                <w:lang w:bidi="ar"/>
              </w:rPr>
              <w:t>经压实、人工改性等措施处理后的饱和渗透系数不应大于</w:t>
            </w:r>
            <w:r>
              <w:rPr>
                <w:rFonts w:ascii="Times New Roman" w:hAnsi="Times New Roman" w:eastAsia="宋体"/>
                <w:smallCaps w:val="0"/>
                <w:color w:val="auto"/>
                <w:highlight w:val="none"/>
                <w:shd w:val="clear" w:color="auto" w:fill="auto"/>
                <w:lang w:bidi="ar"/>
              </w:rPr>
              <w:t>1.0×10</w:t>
            </w:r>
            <w:r>
              <w:rPr>
                <w:rFonts w:ascii="Times New Roman" w:hAnsi="Times New Roman" w:eastAsia="宋体"/>
                <w:smallCaps w:val="0"/>
                <w:color w:val="auto"/>
                <w:highlight w:val="none"/>
                <w:shd w:val="clear" w:color="auto" w:fill="auto"/>
                <w:vertAlign w:val="superscript"/>
                <w:lang w:bidi="ar"/>
              </w:rPr>
              <w:t>-7</w:t>
            </w:r>
            <w:r>
              <w:rPr>
                <w:rFonts w:ascii="Times New Roman" w:hAnsi="Times New Roman" w:eastAsia="宋体"/>
                <w:smallCaps w:val="0"/>
                <w:color w:val="auto"/>
                <w:highlight w:val="none"/>
                <w:shd w:val="clear" w:color="auto" w:fill="auto"/>
                <w:lang w:bidi="ar"/>
              </w:rPr>
              <w:t>cm/s</w:t>
            </w:r>
            <w:r>
              <w:rPr>
                <w:rFonts w:hint="eastAsia" w:ascii="Times New Roman" w:hAnsi="Times New Roman" w:eastAsia="宋体"/>
                <w:smallCaps w:val="0"/>
                <w:color w:val="auto"/>
                <w:highlight w:val="none"/>
                <w:shd w:val="clear" w:color="auto" w:fill="auto"/>
                <w:lang w:bidi="ar"/>
              </w:rPr>
              <w:t>。使用其他</w:t>
            </w:r>
            <w:r>
              <w:rPr>
                <w:rFonts w:hint="eastAsia" w:ascii="Times New Roman" w:hAnsi="Times New Roman" w:eastAsia="宋体"/>
                <w:smallCaps w:val="0"/>
                <w:color w:val="auto"/>
                <w:highlight w:val="none"/>
                <w:shd w:val="clear" w:color="auto" w:fill="auto"/>
                <w:lang w:eastAsia="zh-CN" w:bidi="ar"/>
              </w:rPr>
              <w:t>黏土</w:t>
            </w:r>
            <w:r>
              <w:rPr>
                <w:rFonts w:hint="eastAsia" w:ascii="Times New Roman" w:hAnsi="Times New Roman" w:eastAsia="宋体"/>
                <w:smallCaps w:val="0"/>
                <w:color w:val="auto"/>
                <w:highlight w:val="none"/>
                <w:shd w:val="clear" w:color="auto" w:fill="auto"/>
                <w:lang w:bidi="ar"/>
              </w:rPr>
              <w:t>类防渗衬层材料时，应具有同等以上隔水效力。</w:t>
            </w:r>
          </w:p>
          <w:p w14:paraId="10B8F787">
            <w:pPr>
              <w:pStyle w:val="46"/>
              <w:ind w:left="420" w:leftChars="200" w:firstLine="0" w:firstLineChars="0"/>
              <w:rPr>
                <w:rFonts w:ascii="Times New Roman" w:hAnsi="Times New Roman" w:eastAsia="宋体"/>
                <w:smallCaps w:val="0"/>
                <w:color w:val="auto"/>
                <w:highlight w:val="none"/>
                <w:shd w:val="clear" w:color="auto" w:fill="auto"/>
              </w:rPr>
            </w:pPr>
            <w:r>
              <w:rPr>
                <w:rFonts w:hint="eastAsia" w:ascii="Times New Roman" w:hAnsi="Times New Roman" w:eastAsia="宋体"/>
                <w:smallCaps w:val="0"/>
                <w:color w:val="auto"/>
                <w:highlight w:val="none"/>
                <w:shd w:val="clear" w:color="auto" w:fill="auto"/>
              </w:rPr>
              <w:fldChar w:fldCharType="begin"/>
            </w:r>
            <w:r>
              <w:rPr>
                <w:rFonts w:hint="eastAsia" w:ascii="Times New Roman" w:hAnsi="Times New Roman" w:eastAsia="宋体"/>
                <w:smallCaps w:val="0"/>
                <w:color w:val="auto"/>
                <w:highlight w:val="none"/>
                <w:shd w:val="clear" w:color="auto" w:fill="auto"/>
              </w:rPr>
              <w:instrText xml:space="preserve"> = 3 \* GB3 \* MERGEFORMAT </w:instrText>
            </w:r>
            <w:r>
              <w:rPr>
                <w:rFonts w:hint="eastAsia" w:ascii="Times New Roman" w:hAnsi="Times New Roman" w:eastAsia="宋体"/>
                <w:smallCaps w:val="0"/>
                <w:color w:val="auto"/>
                <w:highlight w:val="none"/>
                <w:shd w:val="clear" w:color="auto" w:fill="auto"/>
              </w:rPr>
              <w:fldChar w:fldCharType="separate"/>
            </w:r>
            <w:r>
              <w:rPr>
                <w:rFonts w:ascii="Times New Roman" w:hAnsi="Times New Roman" w:eastAsia="宋体"/>
                <w:smallCaps w:val="0"/>
                <w:color w:val="auto"/>
                <w:highlight w:val="none"/>
                <w:shd w:val="clear" w:color="auto" w:fill="auto"/>
              </w:rPr>
              <w:t>③</w:t>
            </w:r>
            <w:r>
              <w:rPr>
                <w:rFonts w:hint="eastAsia" w:ascii="Times New Roman" w:hAnsi="Times New Roman" w:eastAsia="宋体"/>
                <w:smallCaps w:val="0"/>
                <w:color w:val="auto"/>
                <w:highlight w:val="none"/>
                <w:shd w:val="clear" w:color="auto" w:fill="auto"/>
              </w:rPr>
              <w:fldChar w:fldCharType="end"/>
            </w:r>
            <w:r>
              <w:rPr>
                <w:rFonts w:hint="eastAsia" w:ascii="Times New Roman" w:hAnsi="Times New Roman" w:eastAsia="宋体"/>
                <w:smallCaps w:val="0"/>
                <w:color w:val="auto"/>
                <w:highlight w:val="none"/>
                <w:shd w:val="clear" w:color="auto" w:fill="auto"/>
              </w:rPr>
              <w:t>简单防渗区</w:t>
            </w:r>
          </w:p>
          <w:p w14:paraId="7C313B3D">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指不会对地下水环境造成污染的区域，主要</w:t>
            </w:r>
            <w:r>
              <w:rPr>
                <w:rFonts w:hint="eastAsia"/>
                <w:smallCaps w:val="0"/>
                <w:color w:val="auto"/>
                <w:highlight w:val="none"/>
                <w:shd w:val="clear" w:color="auto" w:fill="auto"/>
                <w:lang w:val="en-US" w:eastAsia="zh-CN"/>
              </w:rPr>
              <w:t>厂区道路及空置区域</w:t>
            </w:r>
            <w:r>
              <w:rPr>
                <w:rFonts w:ascii="Times New Roman" w:hAnsi="Times New Roman" w:eastAsia="宋体"/>
                <w:smallCaps w:val="0"/>
                <w:color w:val="auto"/>
                <w:highlight w:val="none"/>
                <w:shd w:val="clear" w:color="auto" w:fill="auto"/>
              </w:rPr>
              <w:t>。对于基本上不产生污染物的非污染防治区，不采取专门针对地下水污染的防治措施，但装置区外系统管廊区地基处理应分层压实。</w:t>
            </w:r>
          </w:p>
          <w:p w14:paraId="22C82F5A">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为保证防渗工程正常施工、运行，达到设计防渗等级，应对工程质量进行管理控制：</w:t>
            </w:r>
          </w:p>
          <w:p w14:paraId="39B9B67B">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a.选择具有相应资质的设计单位对工程进行设计，防渗工程的设计符合相应要求及设计规范；</w:t>
            </w:r>
          </w:p>
          <w:p w14:paraId="13686819">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b.工程材料符合设计要求，并按照有关规定和要求进行质量检验，保证使用材料全部合格；</w:t>
            </w:r>
          </w:p>
          <w:p w14:paraId="5E486A1B">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c.聘请优秀专业施工队伍，施工方法符合规范要求；</w:t>
            </w:r>
          </w:p>
          <w:p w14:paraId="652E2C94">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d.工程完工后应进行质量检测；</w:t>
            </w:r>
          </w:p>
          <w:p w14:paraId="0EA98EF6">
            <w:pPr>
              <w:pStyle w:val="46"/>
              <w:ind w:firstLine="480"/>
              <w:rPr>
                <w:rFonts w:ascii="Times New Roman" w:hAnsi="Times New Roman" w:eastAsia="宋体"/>
                <w:smallCaps w:val="0"/>
                <w:color w:val="auto"/>
                <w:highlight w:val="none"/>
                <w:shd w:val="clear" w:color="auto" w:fill="auto"/>
              </w:rPr>
            </w:pPr>
            <w:r>
              <w:rPr>
                <w:rFonts w:ascii="Times New Roman" w:hAnsi="Times New Roman" w:eastAsia="宋体"/>
                <w:smallCaps w:val="0"/>
                <w:color w:val="auto"/>
                <w:highlight w:val="none"/>
                <w:shd w:val="clear" w:color="auto" w:fill="auto"/>
              </w:rPr>
              <w:t>e.在防渗措施投入使用后，应加强日常的维护管理。</w:t>
            </w:r>
          </w:p>
          <w:p w14:paraId="437355CC">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（3）风险事故应急响应</w:t>
            </w:r>
          </w:p>
          <w:p w14:paraId="5792CD80">
            <w:pPr>
              <w:pStyle w:val="46"/>
              <w:bidi w:val="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企业在运营过程中</w:t>
            </w:r>
            <w:r>
              <w:rPr>
                <w:rFonts w:hint="default" w:ascii="Times New Roman" w:hAnsi="Times New Roman" w:eastAsia="宋体"/>
                <w:color w:val="auto"/>
                <w:highlight w:val="none"/>
                <w:lang w:val="en-US" w:eastAsia="zh-CN"/>
              </w:rPr>
              <w:t>发现渗漏</w:t>
            </w:r>
            <w:r>
              <w:rPr>
                <w:rFonts w:hint="eastAsia" w:ascii="Times New Roman" w:hAnsi="Times New Roman" w:eastAsia="宋体"/>
                <w:color w:val="auto"/>
                <w:highlight w:val="none"/>
                <w:lang w:val="en-US" w:eastAsia="zh-CN"/>
              </w:rPr>
              <w:t>情况</w:t>
            </w:r>
            <w:r>
              <w:rPr>
                <w:rFonts w:hint="default" w:ascii="Times New Roman" w:hAnsi="Times New Roman" w:eastAsia="宋体"/>
                <w:color w:val="auto"/>
                <w:highlight w:val="none"/>
                <w:lang w:val="en-US" w:eastAsia="zh-CN"/>
              </w:rPr>
              <w:t>时应组织人员查明渗漏源头，采取补救措施。</w:t>
            </w:r>
          </w:p>
          <w:p w14:paraId="249A35F9">
            <w:pPr>
              <w:pStyle w:val="46"/>
              <w:ind w:firstLine="480"/>
              <w:rPr>
                <w:color w:val="auto"/>
                <w:highlight w:val="none"/>
              </w:rPr>
            </w:pPr>
            <w:r>
              <w:rPr>
                <w:rFonts w:hint="default" w:ascii="Times New Roman" w:hAnsi="Times New Roman" w:eastAsia="宋体"/>
                <w:color w:val="auto"/>
                <w:highlight w:val="none"/>
                <w:lang w:val="en-US" w:eastAsia="zh-CN"/>
              </w:rPr>
              <w:t>综上，本项目对可能产生地下水及土壤影响的各项途径均进行有效预防，在确保各项防渗措施得到落实，并加强维护和厂区环境管理的前提下，可有效控制厂区内的液态污染物下渗现象，避免污染地下水及土壤，因此本项目不会对地下水及土壤环境产生明显影响。</w:t>
            </w:r>
          </w:p>
          <w:p w14:paraId="193EAF62">
            <w:pPr>
              <w:pStyle w:val="3"/>
              <w:numPr>
                <w:ilvl w:val="1"/>
                <w:numId w:val="1"/>
              </w:numPr>
              <w:bidi w:val="0"/>
              <w:ind w:left="0"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环境风险</w:t>
            </w:r>
          </w:p>
          <w:p w14:paraId="04EC1819">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环境风险识别</w:t>
            </w:r>
          </w:p>
          <w:p w14:paraId="38ADFA9B">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（1）风险识别范围</w:t>
            </w:r>
          </w:p>
          <w:p w14:paraId="3A38EB23">
            <w:pPr>
              <w:pStyle w:val="120"/>
              <w:rPr>
                <w:rFonts w:ascii="Times New Roman" w:hAnsi="Times New Roman"/>
                <w:color w:val="auto"/>
                <w:kern w:val="0"/>
                <w:highlight w:val="none"/>
                <w:lang w:val="en-US" w:eastAsia="zh-CN"/>
              </w:rPr>
            </w:pPr>
            <w:bookmarkStart w:id="59" w:name="bookmark247"/>
            <w:bookmarkEnd w:id="59"/>
            <w:r>
              <w:rPr>
                <w:rFonts w:hint="eastAsia" w:ascii="Times New Roman" w:hAnsi="Times New Roman"/>
                <w:color w:val="auto"/>
                <w:kern w:val="0"/>
                <w:highlight w:val="none"/>
                <w:lang w:val="en-US" w:eastAsia="zh-CN"/>
              </w:rPr>
              <w:t>①</w:t>
            </w:r>
            <w:r>
              <w:rPr>
                <w:rFonts w:ascii="Times New Roman" w:hAnsi="Times New Roman"/>
                <w:color w:val="auto"/>
                <w:kern w:val="0"/>
                <w:highlight w:val="none"/>
                <w:lang w:val="en-US" w:eastAsia="zh-CN"/>
              </w:rPr>
              <w:t>本项目生产系统危险性识别包括主要生产装置、储运设施、公用工程和辅助生产设施，以及环境保护设施等。</w:t>
            </w:r>
          </w:p>
          <w:p w14:paraId="7067E72A">
            <w:pPr>
              <w:pStyle w:val="120"/>
              <w:rPr>
                <w:rFonts w:ascii="Times New Roman" w:hAnsi="Times New Roman"/>
                <w:color w:val="auto"/>
                <w:kern w:val="0"/>
                <w:highlight w:val="none"/>
                <w:lang w:val="en-US" w:eastAsia="zh-CN"/>
              </w:rPr>
            </w:pPr>
            <w:bookmarkStart w:id="60" w:name="bookmark248"/>
            <w:bookmarkEnd w:id="60"/>
            <w:r>
              <w:rPr>
                <w:rFonts w:hint="eastAsia" w:ascii="Times New Roman" w:hAnsi="Times New Roman"/>
                <w:color w:val="auto"/>
                <w:kern w:val="0"/>
                <w:highlight w:val="none"/>
                <w:lang w:val="en-US" w:eastAsia="zh-CN"/>
              </w:rPr>
              <w:t>②</w:t>
            </w:r>
            <w:r>
              <w:rPr>
                <w:rFonts w:ascii="Times New Roman" w:hAnsi="Times New Roman"/>
                <w:color w:val="auto"/>
                <w:kern w:val="0"/>
                <w:highlight w:val="none"/>
                <w:lang w:val="en-US" w:eastAsia="zh-CN"/>
              </w:rPr>
              <w:t>物质危险性识别包括主要原辅材料、中间产品、副产品、最终产品、污染物、火灾和爆炸伴生/次生物等。</w:t>
            </w:r>
          </w:p>
          <w:p w14:paraId="32F79A6D">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（2）风险识别类型</w:t>
            </w:r>
          </w:p>
          <w:p w14:paraId="0C88791D">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物质在使用及储存过程中可能发生的事故有机械破损、物体摔落、腐蚀性物质喷溅致残、有毒物质的泄漏引起火灾、爆炸、有毒物质排放等，其中后三种可能导致具有严重后果的危害。因此，本次环境风险评价的主要研究对象是：A</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火灾；B</w:t>
            </w:r>
            <w:r>
              <w:rPr>
                <w:rFonts w:hint="eastAsia" w:ascii="Times New Roman" w:hAnsi="Times New Roman"/>
                <w:color w:val="auto"/>
                <w:kern w:val="0"/>
                <w:highlight w:val="none"/>
                <w:lang w:val="en-US" w:eastAsia="zh-CN"/>
              </w:rPr>
              <w:t>.</w:t>
            </w:r>
            <w:r>
              <w:rPr>
                <w:rFonts w:hint="eastAsia"/>
                <w:color w:val="auto"/>
                <w:kern w:val="0"/>
                <w:highlight w:val="none"/>
                <w:lang w:val="en-US" w:eastAsia="zh-CN"/>
              </w:rPr>
              <w:t>天然气泄漏引发的</w:t>
            </w:r>
            <w:r>
              <w:rPr>
                <w:rFonts w:ascii="Times New Roman" w:hAnsi="Times New Roman"/>
                <w:color w:val="auto"/>
                <w:kern w:val="0"/>
                <w:highlight w:val="none"/>
                <w:lang w:val="en-US" w:eastAsia="zh-CN"/>
              </w:rPr>
              <w:t>爆炸；C</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物质泄漏风险。</w:t>
            </w:r>
          </w:p>
          <w:p w14:paraId="7E078277">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（3）物质风险识别</w:t>
            </w:r>
          </w:p>
          <w:p w14:paraId="10B12899">
            <w:pPr>
              <w:pStyle w:val="120"/>
              <w:rPr>
                <w:rFonts w:ascii="Times New Roman" w:hAnsi="Times New Roman"/>
                <w:color w:val="auto"/>
                <w:kern w:val="0"/>
                <w:highlight w:val="none"/>
                <w:lang w:val="en-US" w:eastAsia="zh-CN"/>
              </w:rPr>
            </w:pPr>
            <w:r>
              <w:rPr>
                <w:rFonts w:ascii="Times New Roman" w:hAnsi="Times New Roman"/>
                <w:color w:val="auto"/>
                <w:kern w:val="0"/>
                <w:highlight w:val="none"/>
                <w:lang w:val="en-US" w:eastAsia="zh-CN"/>
              </w:rPr>
              <w:t>根据《危险化学品重大危险源辨识》（GB18218-2018）表2和《建设项目环境风险评价技术导则》</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HJ169—2018</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附录B危险化学品的临界量，项目物质危险性识别结果见表4.</w:t>
            </w:r>
            <w:r>
              <w:rPr>
                <w:rFonts w:hint="eastAsia" w:ascii="Times New Roman" w:hAnsi="Times New Roman"/>
                <w:color w:val="auto"/>
                <w:kern w:val="0"/>
                <w:highlight w:val="none"/>
                <w:lang w:val="en-US" w:eastAsia="zh-CN"/>
              </w:rPr>
              <w:t>7</w:t>
            </w:r>
            <w:r>
              <w:rPr>
                <w:rFonts w:ascii="Times New Roman" w:hAnsi="Times New Roman"/>
                <w:color w:val="auto"/>
                <w:kern w:val="0"/>
                <w:highlight w:val="none"/>
                <w:lang w:val="en-US" w:eastAsia="zh-CN"/>
              </w:rPr>
              <w:t>-</w:t>
            </w:r>
            <w:r>
              <w:rPr>
                <w:rFonts w:hint="eastAsia"/>
                <w:color w:val="auto"/>
                <w:kern w:val="0"/>
                <w:highlight w:val="none"/>
                <w:lang w:val="en-US" w:eastAsia="zh-CN"/>
              </w:rPr>
              <w:t>2</w:t>
            </w:r>
            <w:r>
              <w:rPr>
                <w:rFonts w:ascii="Times New Roman" w:hAnsi="Times New Roman"/>
                <w:color w:val="auto"/>
                <w:kern w:val="0"/>
                <w:highlight w:val="none"/>
                <w:lang w:val="en-US" w:eastAsia="zh-CN"/>
              </w:rPr>
              <w:t>。</w:t>
            </w:r>
          </w:p>
          <w:p w14:paraId="0D821722">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危险性判定表</w:t>
            </w:r>
          </w:p>
          <w:tbl>
            <w:tblPr>
              <w:tblStyle w:val="86"/>
              <w:tblW w:w="4997"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72"/>
              <w:gridCol w:w="2386"/>
              <w:gridCol w:w="1217"/>
              <w:gridCol w:w="1835"/>
              <w:gridCol w:w="945"/>
              <w:gridCol w:w="1691"/>
            </w:tblGrid>
            <w:tr w14:paraId="005F49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4" w:type="pct"/>
                  <w:tcBorders>
                    <w:bottom w:val="single" w:color="000000" w:sz="12" w:space="0"/>
                  </w:tcBorders>
                  <w:textDirection w:val="tbRlV"/>
                  <w:vAlign w:val="center"/>
                </w:tcPr>
                <w:p w14:paraId="1900DAFE">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7"/>
                      <w:sz w:val="21"/>
                      <w:highlight w:val="none"/>
                    </w:rPr>
                    <w:t>序号</w:t>
                  </w:r>
                </w:p>
              </w:tc>
              <w:tc>
                <w:tcPr>
                  <w:tcW w:w="1364" w:type="pct"/>
                  <w:tcBorders>
                    <w:bottom w:val="single" w:color="000000" w:sz="12" w:space="0"/>
                  </w:tcBorders>
                  <w:vAlign w:val="center"/>
                </w:tcPr>
                <w:p w14:paraId="5AA00DB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危险物质名称</w:t>
                  </w:r>
                </w:p>
              </w:tc>
              <w:tc>
                <w:tcPr>
                  <w:tcW w:w="696" w:type="pct"/>
                  <w:tcBorders>
                    <w:bottom w:val="single" w:color="000000" w:sz="12" w:space="0"/>
                  </w:tcBorders>
                  <w:vAlign w:val="center"/>
                </w:tcPr>
                <w:p w14:paraId="681B266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z w:val="21"/>
                      <w:highlight w:val="none"/>
                      <w:lang w:val="en-US" w:eastAsia="zh-CN"/>
                    </w:rPr>
                  </w:pPr>
                  <w:r>
                    <w:rPr>
                      <w:rFonts w:hint="eastAsia" w:ascii="Times New Roman" w:hAnsi="Times New Roman" w:cs="Times New Roman"/>
                      <w:b/>
                      <w:bCs/>
                      <w:color w:val="auto"/>
                      <w:sz w:val="21"/>
                      <w:highlight w:val="none"/>
                      <w:lang w:val="en-US" w:eastAsia="zh-CN"/>
                    </w:rPr>
                    <w:t>年存储量/t</w:t>
                  </w:r>
                </w:p>
              </w:tc>
              <w:tc>
                <w:tcPr>
                  <w:tcW w:w="1049" w:type="pct"/>
                  <w:tcBorders>
                    <w:bottom w:val="single" w:color="000000" w:sz="12" w:space="0"/>
                  </w:tcBorders>
                  <w:vAlign w:val="center"/>
                </w:tcPr>
                <w:p w14:paraId="38A068D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最大存储总量</w:t>
                  </w:r>
                </w:p>
                <w:p w14:paraId="39DC7FF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b/>
                      <w:bCs/>
                      <w:color w:val="auto"/>
                      <w:sz w:val="21"/>
                      <w:szCs w:val="20"/>
                      <w:highlight w:val="none"/>
                    </w:rPr>
                    <w:t>q</w:t>
                  </w:r>
                  <w:r>
                    <w:rPr>
                      <w:rFonts w:ascii="Times New Roman" w:hAnsi="Times New Roman" w:eastAsia="宋体" w:cs="Times New Roman"/>
                      <w:b/>
                      <w:bCs/>
                      <w:color w:val="auto"/>
                      <w:position w:val="-1"/>
                      <w:sz w:val="21"/>
                      <w:szCs w:val="13"/>
                      <w:highlight w:val="none"/>
                    </w:rPr>
                    <w:t>n</w:t>
                  </w:r>
                  <w:r>
                    <w:rPr>
                      <w:rFonts w:ascii="Times New Roman" w:hAnsi="Times New Roman" w:eastAsia="宋体" w:cs="Times New Roman"/>
                      <w:b/>
                      <w:bCs/>
                      <w:color w:val="auto"/>
                      <w:spacing w:val="2"/>
                      <w:sz w:val="21"/>
                      <w:szCs w:val="20"/>
                      <w:highlight w:val="none"/>
                    </w:rPr>
                    <w:t>/t</w:t>
                  </w:r>
                </w:p>
              </w:tc>
              <w:tc>
                <w:tcPr>
                  <w:tcW w:w="539" w:type="pct"/>
                  <w:tcBorders>
                    <w:bottom w:val="single" w:color="000000" w:sz="12" w:space="0"/>
                  </w:tcBorders>
                  <w:vAlign w:val="center"/>
                </w:tcPr>
                <w:p w14:paraId="52FAB89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b/>
                      <w:bCs/>
                      <w:color w:val="auto"/>
                      <w:spacing w:val="1"/>
                      <w:sz w:val="21"/>
                      <w:highlight w:val="none"/>
                    </w:rPr>
                    <w:t>临界量</w:t>
                  </w:r>
                  <w:r>
                    <w:rPr>
                      <w:rFonts w:ascii="Times New Roman" w:hAnsi="Times New Roman" w:eastAsia="宋体" w:cs="Times New Roman"/>
                      <w:b/>
                      <w:bCs/>
                      <w:color w:val="auto"/>
                      <w:sz w:val="21"/>
                      <w:highlight w:val="none"/>
                    </w:rPr>
                    <w:t>Q</w:t>
                  </w:r>
                  <w:r>
                    <w:rPr>
                      <w:rFonts w:ascii="Times New Roman" w:hAnsi="Times New Roman" w:eastAsia="宋体" w:cs="Times New Roman"/>
                      <w:b/>
                      <w:bCs/>
                      <w:color w:val="auto"/>
                      <w:position w:val="-1"/>
                      <w:sz w:val="21"/>
                      <w:szCs w:val="13"/>
                      <w:highlight w:val="none"/>
                    </w:rPr>
                    <w:t>n</w:t>
                  </w:r>
                  <w:r>
                    <w:rPr>
                      <w:rFonts w:ascii="Times New Roman" w:hAnsi="Times New Roman" w:eastAsia="宋体" w:cs="Times New Roman"/>
                      <w:b/>
                      <w:bCs/>
                      <w:color w:val="auto"/>
                      <w:spacing w:val="3"/>
                      <w:sz w:val="21"/>
                      <w:highlight w:val="none"/>
                    </w:rPr>
                    <w:t>/t</w:t>
                  </w:r>
                </w:p>
              </w:tc>
              <w:tc>
                <w:tcPr>
                  <w:tcW w:w="966" w:type="pct"/>
                  <w:tcBorders>
                    <w:bottom w:val="single" w:color="000000" w:sz="12" w:space="0"/>
                  </w:tcBorders>
                  <w:vAlign w:val="center"/>
                </w:tcPr>
                <w:p w14:paraId="24DE7CA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该种危险物质</w:t>
                  </w:r>
                </w:p>
                <w:p w14:paraId="646231C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s="Times New Roman"/>
                      <w:b/>
                      <w:bCs/>
                      <w:color w:val="auto"/>
                      <w:spacing w:val="-2"/>
                      <w:sz w:val="21"/>
                      <w:highlight w:val="none"/>
                    </w:rPr>
                    <w:t>Q</w:t>
                  </w:r>
                  <w:r>
                    <w:rPr>
                      <w:rFonts w:ascii="Times New Roman" w:hAnsi="Times New Roman" w:eastAsia="宋体"/>
                      <w:b/>
                      <w:bCs/>
                      <w:color w:val="auto"/>
                      <w:spacing w:val="-2"/>
                      <w:sz w:val="21"/>
                      <w:highlight w:val="none"/>
                    </w:rPr>
                    <w:t>值</w:t>
                  </w:r>
                </w:p>
              </w:tc>
            </w:tr>
            <w:tr w14:paraId="71146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op w:val="single" w:color="000000" w:sz="12" w:space="0"/>
                    <w:tl2br w:val="nil"/>
                    <w:tr2bl w:val="nil"/>
                  </w:tcBorders>
                  <w:vAlign w:val="center"/>
                </w:tcPr>
                <w:p w14:paraId="45F4B94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1</w:t>
                  </w:r>
                </w:p>
              </w:tc>
              <w:tc>
                <w:tcPr>
                  <w:tcW w:w="1364" w:type="pct"/>
                  <w:tcBorders>
                    <w:top w:val="single" w:color="000000" w:sz="12" w:space="0"/>
                    <w:tl2br w:val="nil"/>
                    <w:tr2bl w:val="nil"/>
                  </w:tcBorders>
                  <w:vAlign w:val="center"/>
                </w:tcPr>
                <w:p w14:paraId="165A1F6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z w:val="21"/>
                      <w:highlight w:val="none"/>
                      <w:lang w:eastAsia="zh-CN"/>
                    </w:rPr>
                  </w:pPr>
                  <w:r>
                    <w:rPr>
                      <w:rFonts w:hint="eastAsia" w:ascii="Times New Roman" w:hAnsi="Times New Roman"/>
                      <w:color w:val="auto"/>
                      <w:spacing w:val="6"/>
                      <w:sz w:val="21"/>
                      <w:highlight w:val="none"/>
                      <w:lang w:val="en-US" w:eastAsia="zh-CN"/>
                    </w:rPr>
                    <w:t>机油</w:t>
                  </w:r>
                </w:p>
              </w:tc>
              <w:tc>
                <w:tcPr>
                  <w:tcW w:w="696" w:type="pct"/>
                  <w:tcBorders>
                    <w:top w:val="single" w:color="000000" w:sz="12" w:space="0"/>
                    <w:tl2br w:val="nil"/>
                    <w:tr2bl w:val="nil"/>
                  </w:tcBorders>
                  <w:vAlign w:val="center"/>
                </w:tcPr>
                <w:p w14:paraId="3212CC8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0.2</w:t>
                  </w:r>
                </w:p>
              </w:tc>
              <w:tc>
                <w:tcPr>
                  <w:tcW w:w="1049" w:type="pct"/>
                  <w:tcBorders>
                    <w:top w:val="single" w:color="000000" w:sz="12" w:space="0"/>
                    <w:tl2br w:val="nil"/>
                    <w:tr2bl w:val="nil"/>
                  </w:tcBorders>
                  <w:vAlign w:val="center"/>
                </w:tcPr>
                <w:p w14:paraId="4B26883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1"/>
                      <w:sz w:val="21"/>
                      <w:szCs w:val="20"/>
                      <w:highlight w:val="none"/>
                    </w:rPr>
                    <w:t>0.</w:t>
                  </w:r>
                  <w:r>
                    <w:rPr>
                      <w:rFonts w:hint="eastAsia" w:cs="Times New Roman"/>
                      <w:color w:val="auto"/>
                      <w:spacing w:val="2"/>
                      <w:position w:val="1"/>
                      <w:sz w:val="21"/>
                      <w:szCs w:val="20"/>
                      <w:highlight w:val="none"/>
                      <w:lang w:val="en-US" w:eastAsia="zh-CN"/>
                    </w:rPr>
                    <w:t>0</w:t>
                  </w:r>
                  <w:r>
                    <w:rPr>
                      <w:rFonts w:ascii="Times New Roman" w:hAnsi="Times New Roman" w:eastAsia="宋体" w:cs="Times New Roman"/>
                      <w:color w:val="auto"/>
                      <w:spacing w:val="2"/>
                      <w:position w:val="1"/>
                      <w:sz w:val="21"/>
                      <w:szCs w:val="20"/>
                      <w:highlight w:val="none"/>
                    </w:rPr>
                    <w:t>2</w:t>
                  </w:r>
                </w:p>
              </w:tc>
              <w:tc>
                <w:tcPr>
                  <w:tcW w:w="539" w:type="pct"/>
                  <w:tcBorders>
                    <w:top w:val="single" w:color="000000" w:sz="12" w:space="0"/>
                    <w:tl2br w:val="nil"/>
                    <w:tr2bl w:val="nil"/>
                  </w:tcBorders>
                  <w:vAlign w:val="center"/>
                </w:tcPr>
                <w:p w14:paraId="160317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4"/>
                      <w:position w:val="1"/>
                      <w:sz w:val="21"/>
                      <w:szCs w:val="20"/>
                      <w:highlight w:val="none"/>
                    </w:rPr>
                    <w:t>2500</w:t>
                  </w:r>
                </w:p>
              </w:tc>
              <w:tc>
                <w:tcPr>
                  <w:tcW w:w="966" w:type="pct"/>
                  <w:tcBorders>
                    <w:top w:val="single" w:color="000000" w:sz="12" w:space="0"/>
                    <w:tl2br w:val="nil"/>
                    <w:tr2bl w:val="nil"/>
                  </w:tcBorders>
                  <w:vAlign w:val="center"/>
                </w:tcPr>
                <w:p w14:paraId="4A1039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z w:val="21"/>
                      <w:szCs w:val="20"/>
                      <w:highlight w:val="none"/>
                    </w:rPr>
                    <w:t>0.000008</w:t>
                  </w:r>
                </w:p>
              </w:tc>
            </w:tr>
            <w:tr w14:paraId="663B72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63E90DA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position w:val="1"/>
                      <w:sz w:val="21"/>
                      <w:szCs w:val="20"/>
                      <w:highlight w:val="none"/>
                    </w:rPr>
                    <w:t>2</w:t>
                  </w:r>
                </w:p>
              </w:tc>
              <w:tc>
                <w:tcPr>
                  <w:tcW w:w="1364" w:type="pct"/>
                  <w:tcBorders>
                    <w:tl2br w:val="nil"/>
                    <w:tr2bl w:val="nil"/>
                  </w:tcBorders>
                  <w:vAlign w:val="center"/>
                </w:tcPr>
                <w:p w14:paraId="1542F6D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乙酸</w:t>
                  </w:r>
                </w:p>
              </w:tc>
              <w:tc>
                <w:tcPr>
                  <w:tcW w:w="696" w:type="pct"/>
                  <w:tcBorders>
                    <w:tl2br w:val="nil"/>
                    <w:tr2bl w:val="nil"/>
                  </w:tcBorders>
                  <w:vAlign w:val="center"/>
                </w:tcPr>
                <w:p w14:paraId="3678D22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0.138</w:t>
                  </w:r>
                </w:p>
              </w:tc>
              <w:tc>
                <w:tcPr>
                  <w:tcW w:w="1049" w:type="pct"/>
                  <w:tcBorders>
                    <w:tl2br w:val="nil"/>
                    <w:tr2bl w:val="nil"/>
                  </w:tcBorders>
                  <w:vAlign w:val="center"/>
                </w:tcPr>
                <w:p w14:paraId="2B1E71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1"/>
                      <w:sz w:val="21"/>
                      <w:szCs w:val="20"/>
                      <w:highlight w:val="none"/>
                    </w:rPr>
                    <w:t>0.047</w:t>
                  </w:r>
                </w:p>
              </w:tc>
              <w:tc>
                <w:tcPr>
                  <w:tcW w:w="539" w:type="pct"/>
                  <w:tcBorders>
                    <w:tl2br w:val="nil"/>
                    <w:tr2bl w:val="nil"/>
                  </w:tcBorders>
                  <w:vAlign w:val="center"/>
                </w:tcPr>
                <w:p w14:paraId="7DD099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8"/>
                      <w:position w:val="1"/>
                      <w:sz w:val="21"/>
                      <w:szCs w:val="20"/>
                      <w:highlight w:val="none"/>
                    </w:rPr>
                    <w:t>10</w:t>
                  </w:r>
                </w:p>
              </w:tc>
              <w:tc>
                <w:tcPr>
                  <w:tcW w:w="966" w:type="pct"/>
                  <w:tcBorders>
                    <w:tl2br w:val="nil"/>
                    <w:tr2bl w:val="nil"/>
                  </w:tcBorders>
                  <w:vAlign w:val="center"/>
                </w:tcPr>
                <w:p w14:paraId="2ACD7A5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3"/>
                      <w:position w:val="1"/>
                      <w:sz w:val="21"/>
                      <w:szCs w:val="20"/>
                      <w:highlight w:val="none"/>
                    </w:rPr>
                    <w:t>0.0047</w:t>
                  </w:r>
                </w:p>
              </w:tc>
            </w:tr>
            <w:tr w14:paraId="7139CE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1BC25C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0"/>
                      <w:highlight w:val="none"/>
                      <w:lang w:eastAsia="zh-CN"/>
                    </w:rPr>
                  </w:pPr>
                  <w:r>
                    <w:rPr>
                      <w:rFonts w:hint="eastAsia" w:cs="Times New Roman"/>
                      <w:color w:val="auto"/>
                      <w:position w:val="1"/>
                      <w:sz w:val="21"/>
                      <w:szCs w:val="20"/>
                      <w:highlight w:val="none"/>
                      <w:lang w:val="en-US" w:eastAsia="zh-CN"/>
                    </w:rPr>
                    <w:t>3</w:t>
                  </w:r>
                </w:p>
              </w:tc>
              <w:tc>
                <w:tcPr>
                  <w:tcW w:w="1364" w:type="pct"/>
                  <w:tcBorders>
                    <w:tl2br w:val="nil"/>
                    <w:tr2bl w:val="nil"/>
                  </w:tcBorders>
                  <w:vAlign w:val="center"/>
                </w:tcPr>
                <w:p w14:paraId="6784A54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z w:val="21"/>
                      <w:highlight w:val="none"/>
                      <w:lang w:val="en-US" w:eastAsia="zh-CN"/>
                    </w:rPr>
                  </w:pPr>
                  <w:r>
                    <w:rPr>
                      <w:rFonts w:ascii="Times New Roman" w:hAnsi="Times New Roman" w:eastAsia="宋体"/>
                      <w:color w:val="auto"/>
                      <w:spacing w:val="-9"/>
                      <w:sz w:val="21"/>
                      <w:highlight w:val="none"/>
                    </w:rPr>
                    <w:t>甲烷</w:t>
                  </w:r>
                  <w:r>
                    <w:rPr>
                      <w:rFonts w:hint="eastAsia" w:ascii="Times New Roman" w:hAnsi="Times New Roman"/>
                      <w:color w:val="auto"/>
                      <w:spacing w:val="-9"/>
                      <w:sz w:val="21"/>
                      <w:highlight w:val="none"/>
                      <w:lang w:eastAsia="zh-CN"/>
                    </w:rPr>
                    <w:t>（</w:t>
                  </w:r>
                  <w:r>
                    <w:rPr>
                      <w:rFonts w:hint="eastAsia" w:ascii="Times New Roman" w:hAnsi="Times New Roman"/>
                      <w:color w:val="auto"/>
                      <w:spacing w:val="-9"/>
                      <w:sz w:val="21"/>
                      <w:highlight w:val="none"/>
                      <w:lang w:val="en-US" w:eastAsia="zh-CN"/>
                    </w:rPr>
                    <w:t>天然气）</w:t>
                  </w:r>
                </w:p>
              </w:tc>
              <w:tc>
                <w:tcPr>
                  <w:tcW w:w="696" w:type="pct"/>
                  <w:tcBorders>
                    <w:tl2br w:val="nil"/>
                    <w:tr2bl w:val="nil"/>
                  </w:tcBorders>
                  <w:vAlign w:val="center"/>
                </w:tcPr>
                <w:p w14:paraId="58D054E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50000m</w:t>
                  </w:r>
                  <w:r>
                    <w:rPr>
                      <w:rFonts w:hint="eastAsia" w:cs="Times New Roman"/>
                      <w:color w:val="auto"/>
                      <w:sz w:val="21"/>
                      <w:szCs w:val="20"/>
                      <w:highlight w:val="none"/>
                      <w:vertAlign w:val="superscript"/>
                      <w:lang w:val="en-US" w:eastAsia="zh-CN"/>
                    </w:rPr>
                    <w:t>3</w:t>
                  </w:r>
                </w:p>
              </w:tc>
              <w:tc>
                <w:tcPr>
                  <w:tcW w:w="1049" w:type="pct"/>
                  <w:tcBorders>
                    <w:tl2br w:val="nil"/>
                    <w:tr2bl w:val="nil"/>
                  </w:tcBorders>
                  <w:vAlign w:val="center"/>
                </w:tcPr>
                <w:p w14:paraId="558DB83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0"/>
                      <w:highlight w:val="none"/>
                      <w:lang w:eastAsia="zh-CN"/>
                    </w:rPr>
                  </w:pPr>
                  <w:r>
                    <w:rPr>
                      <w:rFonts w:ascii="Times New Roman" w:hAnsi="Times New Roman" w:eastAsia="宋体" w:cs="Times New Roman"/>
                      <w:color w:val="auto"/>
                      <w:spacing w:val="2"/>
                      <w:position w:val="1"/>
                      <w:sz w:val="21"/>
                      <w:szCs w:val="20"/>
                      <w:highlight w:val="none"/>
                    </w:rPr>
                    <w:t>0.0</w:t>
                  </w:r>
                  <w:r>
                    <w:rPr>
                      <w:rFonts w:hint="eastAsia" w:cs="Times New Roman"/>
                      <w:color w:val="auto"/>
                      <w:spacing w:val="2"/>
                      <w:position w:val="1"/>
                      <w:sz w:val="21"/>
                      <w:szCs w:val="20"/>
                      <w:highlight w:val="none"/>
                      <w:lang w:val="en-US" w:eastAsia="zh-CN"/>
                    </w:rPr>
                    <w:t>5</w:t>
                  </w:r>
                </w:p>
              </w:tc>
              <w:tc>
                <w:tcPr>
                  <w:tcW w:w="539" w:type="pct"/>
                  <w:tcBorders>
                    <w:tl2br w:val="nil"/>
                    <w:tr2bl w:val="nil"/>
                  </w:tcBorders>
                  <w:vAlign w:val="center"/>
                </w:tcPr>
                <w:p w14:paraId="6663D4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8"/>
                      <w:position w:val="1"/>
                      <w:sz w:val="21"/>
                      <w:szCs w:val="20"/>
                      <w:highlight w:val="none"/>
                    </w:rPr>
                    <w:t>10</w:t>
                  </w:r>
                </w:p>
              </w:tc>
              <w:tc>
                <w:tcPr>
                  <w:tcW w:w="966" w:type="pct"/>
                  <w:tcBorders>
                    <w:tl2br w:val="nil"/>
                    <w:tr2bl w:val="nil"/>
                  </w:tcBorders>
                  <w:vAlign w:val="center"/>
                </w:tcPr>
                <w:p w14:paraId="23EC3E6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szCs w:val="20"/>
                      <w:highlight w:val="none"/>
                    </w:rPr>
                  </w:pPr>
                  <w:r>
                    <w:rPr>
                      <w:rFonts w:hint="eastAsia" w:ascii="Times New Roman" w:hAnsi="Times New Roman" w:eastAsia="宋体" w:cs="Times New Roman"/>
                      <w:color w:val="auto"/>
                      <w:sz w:val="21"/>
                      <w:szCs w:val="20"/>
                      <w:highlight w:val="none"/>
                    </w:rPr>
                    <w:t>0.005‬</w:t>
                  </w:r>
                </w:p>
              </w:tc>
            </w:tr>
            <w:tr w14:paraId="6AF168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46F024B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4</w:t>
                  </w:r>
                </w:p>
              </w:tc>
              <w:tc>
                <w:tcPr>
                  <w:tcW w:w="1364" w:type="pct"/>
                  <w:tcBorders>
                    <w:tl2br w:val="nil"/>
                    <w:tr2bl w:val="nil"/>
                  </w:tcBorders>
                  <w:vAlign w:val="center"/>
                </w:tcPr>
                <w:p w14:paraId="6B1CA901">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olor w:val="auto"/>
                      <w:spacing w:val="-9"/>
                      <w:sz w:val="21"/>
                      <w:highlight w:val="none"/>
                      <w:lang w:val="en-US" w:eastAsia="zh-CN"/>
                    </w:rPr>
                  </w:pPr>
                  <w:r>
                    <w:rPr>
                      <w:rFonts w:hint="eastAsia" w:ascii="Times New Roman" w:hAnsi="Times New Roman"/>
                      <w:color w:val="auto"/>
                      <w:spacing w:val="-9"/>
                      <w:sz w:val="21"/>
                      <w:highlight w:val="none"/>
                      <w:lang w:val="en-US" w:eastAsia="zh-CN"/>
                    </w:rPr>
                    <w:t>废化学品包装</w:t>
                  </w:r>
                </w:p>
              </w:tc>
              <w:tc>
                <w:tcPr>
                  <w:tcW w:w="696" w:type="pct"/>
                  <w:tcBorders>
                    <w:tl2br w:val="nil"/>
                    <w:tr2bl w:val="nil"/>
                  </w:tcBorders>
                  <w:vAlign w:val="center"/>
                </w:tcPr>
                <w:p w14:paraId="306E188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0.2</w:t>
                  </w:r>
                </w:p>
              </w:tc>
              <w:tc>
                <w:tcPr>
                  <w:tcW w:w="1049" w:type="pct"/>
                  <w:tcBorders>
                    <w:tl2br w:val="nil"/>
                    <w:tr2bl w:val="nil"/>
                  </w:tcBorders>
                  <w:vAlign w:val="center"/>
                </w:tcPr>
                <w:p w14:paraId="6FBEC20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0.017</w:t>
                  </w:r>
                </w:p>
              </w:tc>
              <w:tc>
                <w:tcPr>
                  <w:tcW w:w="539" w:type="pct"/>
                  <w:tcBorders>
                    <w:tl2br w:val="nil"/>
                    <w:tr2bl w:val="nil"/>
                  </w:tcBorders>
                  <w:vAlign w:val="center"/>
                </w:tcPr>
                <w:p w14:paraId="47750E7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position w:val="1"/>
                      <w:sz w:val="21"/>
                      <w:szCs w:val="20"/>
                      <w:highlight w:val="none"/>
                      <w:lang w:val="en-US" w:eastAsia="zh-CN"/>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6048E4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0.00034</w:t>
                  </w:r>
                </w:p>
              </w:tc>
            </w:tr>
            <w:tr w14:paraId="40CA40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343E879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5</w:t>
                  </w:r>
                </w:p>
              </w:tc>
              <w:tc>
                <w:tcPr>
                  <w:tcW w:w="1364" w:type="pct"/>
                  <w:tcBorders>
                    <w:tl2br w:val="nil"/>
                    <w:tr2bl w:val="nil"/>
                  </w:tcBorders>
                  <w:vAlign w:val="center"/>
                </w:tcPr>
                <w:p w14:paraId="6275D1FA">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废过滤物</w:t>
                  </w:r>
                </w:p>
              </w:tc>
              <w:tc>
                <w:tcPr>
                  <w:tcW w:w="696" w:type="pct"/>
                  <w:tcBorders>
                    <w:tl2br w:val="nil"/>
                    <w:tr2bl w:val="nil"/>
                  </w:tcBorders>
                  <w:vAlign w:val="center"/>
                </w:tcPr>
                <w:p w14:paraId="3A2F5F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0.8</w:t>
                  </w:r>
                </w:p>
              </w:tc>
              <w:tc>
                <w:tcPr>
                  <w:tcW w:w="1049" w:type="pct"/>
                  <w:tcBorders>
                    <w:tl2br w:val="nil"/>
                    <w:tr2bl w:val="nil"/>
                  </w:tcBorders>
                  <w:vAlign w:val="center"/>
                </w:tcPr>
                <w:p w14:paraId="5E2D78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0.4</w:t>
                  </w:r>
                </w:p>
              </w:tc>
              <w:tc>
                <w:tcPr>
                  <w:tcW w:w="539" w:type="pct"/>
                  <w:tcBorders>
                    <w:tl2br w:val="nil"/>
                    <w:tr2bl w:val="nil"/>
                  </w:tcBorders>
                  <w:vAlign w:val="center"/>
                </w:tcPr>
                <w:p w14:paraId="4644A0E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1FF0766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0.008</w:t>
                  </w:r>
                </w:p>
              </w:tc>
            </w:tr>
            <w:tr w14:paraId="79062C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18CEAA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6</w:t>
                  </w:r>
                </w:p>
              </w:tc>
              <w:tc>
                <w:tcPr>
                  <w:tcW w:w="1364" w:type="pct"/>
                  <w:tcBorders>
                    <w:tl2br w:val="nil"/>
                    <w:tr2bl w:val="nil"/>
                  </w:tcBorders>
                  <w:vAlign w:val="center"/>
                </w:tcPr>
                <w:p w14:paraId="246B5155">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olor w:val="auto"/>
                      <w:spacing w:val="-9"/>
                      <w:sz w:val="21"/>
                      <w:highlight w:val="none"/>
                      <w:lang w:val="en-US" w:eastAsia="zh-CN"/>
                    </w:rPr>
                  </w:pPr>
                  <w:r>
                    <w:rPr>
                      <w:rFonts w:hint="eastAsia" w:ascii="Times New Roman" w:hAnsi="Times New Roman"/>
                      <w:color w:val="auto"/>
                      <w:spacing w:val="-9"/>
                      <w:sz w:val="21"/>
                      <w:highlight w:val="none"/>
                      <w:lang w:val="en-US" w:eastAsia="zh-CN"/>
                    </w:rPr>
                    <w:t>废水处理污泥</w:t>
                  </w:r>
                </w:p>
              </w:tc>
              <w:tc>
                <w:tcPr>
                  <w:tcW w:w="696" w:type="pct"/>
                  <w:tcBorders>
                    <w:tl2br w:val="nil"/>
                    <w:tr2bl w:val="nil"/>
                  </w:tcBorders>
                  <w:vAlign w:val="center"/>
                </w:tcPr>
                <w:p w14:paraId="1B0A04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0.95</w:t>
                  </w:r>
                </w:p>
              </w:tc>
              <w:tc>
                <w:tcPr>
                  <w:tcW w:w="1049" w:type="pct"/>
                  <w:tcBorders>
                    <w:tl2br w:val="nil"/>
                    <w:tr2bl w:val="nil"/>
                  </w:tcBorders>
                  <w:vAlign w:val="center"/>
                </w:tcPr>
                <w:p w14:paraId="5BF1446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0.475</w:t>
                  </w:r>
                </w:p>
              </w:tc>
              <w:tc>
                <w:tcPr>
                  <w:tcW w:w="539" w:type="pct"/>
                  <w:tcBorders>
                    <w:tl2br w:val="nil"/>
                    <w:tr2bl w:val="nil"/>
                  </w:tcBorders>
                  <w:vAlign w:val="center"/>
                </w:tcPr>
                <w:p w14:paraId="398DFE9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140C360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0.0095</w:t>
                  </w:r>
                </w:p>
              </w:tc>
            </w:tr>
            <w:tr w14:paraId="041A1A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4FEE3D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7</w:t>
                  </w:r>
                </w:p>
              </w:tc>
              <w:tc>
                <w:tcPr>
                  <w:tcW w:w="1364" w:type="pct"/>
                  <w:tcBorders>
                    <w:tl2br w:val="nil"/>
                    <w:tr2bl w:val="nil"/>
                  </w:tcBorders>
                  <w:vAlign w:val="center"/>
                </w:tcPr>
                <w:p w14:paraId="0C31841C">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废活性炭</w:t>
                  </w:r>
                </w:p>
              </w:tc>
              <w:tc>
                <w:tcPr>
                  <w:tcW w:w="696" w:type="pct"/>
                  <w:tcBorders>
                    <w:tl2br w:val="nil"/>
                    <w:tr2bl w:val="nil"/>
                  </w:tcBorders>
                  <w:vAlign w:val="center"/>
                </w:tcPr>
                <w:p w14:paraId="1F71FB9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7.9599</w:t>
                  </w:r>
                </w:p>
              </w:tc>
              <w:tc>
                <w:tcPr>
                  <w:tcW w:w="1049" w:type="pct"/>
                  <w:tcBorders>
                    <w:tl2br w:val="nil"/>
                    <w:tr2bl w:val="nil"/>
                  </w:tcBorders>
                  <w:vAlign w:val="center"/>
                </w:tcPr>
                <w:p w14:paraId="6981022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0.663</w:t>
                  </w:r>
                </w:p>
              </w:tc>
              <w:tc>
                <w:tcPr>
                  <w:tcW w:w="539" w:type="pct"/>
                  <w:tcBorders>
                    <w:tl2br w:val="nil"/>
                    <w:tr2bl w:val="nil"/>
                  </w:tcBorders>
                  <w:vAlign w:val="center"/>
                </w:tcPr>
                <w:p w14:paraId="715189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4823994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0.0133</w:t>
                  </w:r>
                </w:p>
              </w:tc>
            </w:tr>
            <w:tr w14:paraId="64264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71BD281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8</w:t>
                  </w:r>
                </w:p>
              </w:tc>
              <w:tc>
                <w:tcPr>
                  <w:tcW w:w="1364" w:type="pct"/>
                  <w:tcBorders>
                    <w:tl2br w:val="nil"/>
                    <w:tr2bl w:val="nil"/>
                  </w:tcBorders>
                  <w:vAlign w:val="center"/>
                </w:tcPr>
                <w:p w14:paraId="1304FD00">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废机油</w:t>
                  </w:r>
                </w:p>
              </w:tc>
              <w:tc>
                <w:tcPr>
                  <w:tcW w:w="696" w:type="pct"/>
                  <w:tcBorders>
                    <w:tl2br w:val="nil"/>
                    <w:tr2bl w:val="nil"/>
                  </w:tcBorders>
                  <w:vAlign w:val="center"/>
                </w:tcPr>
                <w:p w14:paraId="6E46BB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0.2</w:t>
                  </w:r>
                </w:p>
              </w:tc>
              <w:tc>
                <w:tcPr>
                  <w:tcW w:w="1049" w:type="pct"/>
                  <w:tcBorders>
                    <w:tl2br w:val="nil"/>
                    <w:tr2bl w:val="nil"/>
                  </w:tcBorders>
                  <w:vAlign w:val="center"/>
                </w:tcPr>
                <w:p w14:paraId="3DA54C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0.05</w:t>
                  </w:r>
                </w:p>
              </w:tc>
              <w:tc>
                <w:tcPr>
                  <w:tcW w:w="539" w:type="pct"/>
                  <w:tcBorders>
                    <w:tl2br w:val="nil"/>
                    <w:tr2bl w:val="nil"/>
                  </w:tcBorders>
                  <w:vAlign w:val="center"/>
                </w:tcPr>
                <w:p w14:paraId="48EFEA9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7789A50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0.001</w:t>
                  </w:r>
                </w:p>
              </w:tc>
            </w:tr>
            <w:tr w14:paraId="2AA7A9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62B8CB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9</w:t>
                  </w:r>
                </w:p>
              </w:tc>
              <w:tc>
                <w:tcPr>
                  <w:tcW w:w="1364" w:type="pct"/>
                  <w:tcBorders>
                    <w:tl2br w:val="nil"/>
                    <w:tr2bl w:val="nil"/>
                  </w:tcBorders>
                  <w:vAlign w:val="center"/>
                </w:tcPr>
                <w:p w14:paraId="13B64AD3">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废油桶</w:t>
                  </w:r>
                </w:p>
              </w:tc>
              <w:tc>
                <w:tcPr>
                  <w:tcW w:w="696" w:type="pct"/>
                  <w:tcBorders>
                    <w:tl2br w:val="nil"/>
                    <w:tr2bl w:val="nil"/>
                  </w:tcBorders>
                  <w:vAlign w:val="center"/>
                </w:tcPr>
                <w:p w14:paraId="4E06761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0.2</w:t>
                  </w:r>
                </w:p>
              </w:tc>
              <w:tc>
                <w:tcPr>
                  <w:tcW w:w="1049" w:type="pct"/>
                  <w:tcBorders>
                    <w:tl2br w:val="nil"/>
                    <w:tr2bl w:val="nil"/>
                  </w:tcBorders>
                  <w:vAlign w:val="center"/>
                </w:tcPr>
                <w:p w14:paraId="63ABFB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0.05</w:t>
                  </w:r>
                </w:p>
              </w:tc>
              <w:tc>
                <w:tcPr>
                  <w:tcW w:w="539" w:type="pct"/>
                  <w:tcBorders>
                    <w:tl2br w:val="nil"/>
                    <w:tr2bl w:val="nil"/>
                  </w:tcBorders>
                  <w:vAlign w:val="center"/>
                </w:tcPr>
                <w:p w14:paraId="75004A8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016DCE1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0.001</w:t>
                  </w:r>
                </w:p>
              </w:tc>
            </w:tr>
            <w:tr w14:paraId="392B5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435ED4E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10</w:t>
                  </w:r>
                </w:p>
              </w:tc>
              <w:tc>
                <w:tcPr>
                  <w:tcW w:w="1364" w:type="pct"/>
                  <w:tcBorders>
                    <w:tl2br w:val="nil"/>
                    <w:tr2bl w:val="nil"/>
                  </w:tcBorders>
                  <w:vAlign w:val="center"/>
                </w:tcPr>
                <w:p w14:paraId="44FC90CD">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废含油抹布手套</w:t>
                  </w:r>
                </w:p>
              </w:tc>
              <w:tc>
                <w:tcPr>
                  <w:tcW w:w="696" w:type="pct"/>
                  <w:tcBorders>
                    <w:tl2br w:val="nil"/>
                    <w:tr2bl w:val="nil"/>
                  </w:tcBorders>
                  <w:vAlign w:val="center"/>
                </w:tcPr>
                <w:p w14:paraId="173971A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0.4</w:t>
                  </w:r>
                </w:p>
              </w:tc>
              <w:tc>
                <w:tcPr>
                  <w:tcW w:w="1049" w:type="pct"/>
                  <w:tcBorders>
                    <w:tl2br w:val="nil"/>
                    <w:tr2bl w:val="nil"/>
                  </w:tcBorders>
                  <w:vAlign w:val="center"/>
                </w:tcPr>
                <w:p w14:paraId="311C3D5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0.1</w:t>
                  </w:r>
                </w:p>
              </w:tc>
              <w:tc>
                <w:tcPr>
                  <w:tcW w:w="539" w:type="pct"/>
                  <w:tcBorders>
                    <w:tl2br w:val="nil"/>
                    <w:tr2bl w:val="nil"/>
                  </w:tcBorders>
                  <w:vAlign w:val="center"/>
                </w:tcPr>
                <w:p w14:paraId="4A90D5D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6253572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0.002</w:t>
                  </w:r>
                </w:p>
              </w:tc>
            </w:tr>
            <w:tr w14:paraId="16F952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144BFD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11</w:t>
                  </w:r>
                </w:p>
              </w:tc>
              <w:tc>
                <w:tcPr>
                  <w:tcW w:w="1364" w:type="pct"/>
                  <w:tcBorders>
                    <w:tl2br w:val="nil"/>
                    <w:tr2bl w:val="nil"/>
                  </w:tcBorders>
                  <w:vAlign w:val="center"/>
                </w:tcPr>
                <w:p w14:paraId="33729A94">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废滤膜</w:t>
                  </w:r>
                </w:p>
              </w:tc>
              <w:tc>
                <w:tcPr>
                  <w:tcW w:w="696" w:type="pct"/>
                  <w:tcBorders>
                    <w:tl2br w:val="nil"/>
                    <w:tr2bl w:val="nil"/>
                  </w:tcBorders>
                  <w:vAlign w:val="center"/>
                </w:tcPr>
                <w:p w14:paraId="5FBB49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0.4</w:t>
                  </w:r>
                </w:p>
              </w:tc>
              <w:tc>
                <w:tcPr>
                  <w:tcW w:w="1049" w:type="pct"/>
                  <w:tcBorders>
                    <w:tl2br w:val="nil"/>
                    <w:tr2bl w:val="nil"/>
                  </w:tcBorders>
                  <w:vAlign w:val="center"/>
                </w:tcPr>
                <w:p w14:paraId="098F733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0.2</w:t>
                  </w:r>
                </w:p>
              </w:tc>
              <w:tc>
                <w:tcPr>
                  <w:tcW w:w="539" w:type="pct"/>
                  <w:tcBorders>
                    <w:tl2br w:val="nil"/>
                    <w:tr2bl w:val="nil"/>
                  </w:tcBorders>
                  <w:vAlign w:val="center"/>
                </w:tcPr>
                <w:p w14:paraId="49C583E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0C41EF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0.004</w:t>
                  </w:r>
                </w:p>
              </w:tc>
            </w:tr>
            <w:tr w14:paraId="24F4FA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3506FBD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12</w:t>
                  </w:r>
                </w:p>
              </w:tc>
              <w:tc>
                <w:tcPr>
                  <w:tcW w:w="1364" w:type="pct"/>
                  <w:tcBorders>
                    <w:tl2br w:val="nil"/>
                    <w:tr2bl w:val="nil"/>
                  </w:tcBorders>
                  <w:vAlign w:val="center"/>
                </w:tcPr>
                <w:p w14:paraId="3877D67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废涂料桶</w:t>
                  </w:r>
                </w:p>
              </w:tc>
              <w:tc>
                <w:tcPr>
                  <w:tcW w:w="696" w:type="pct"/>
                  <w:tcBorders>
                    <w:tl2br w:val="nil"/>
                    <w:tr2bl w:val="nil"/>
                  </w:tcBorders>
                  <w:vAlign w:val="center"/>
                </w:tcPr>
                <w:p w14:paraId="0A780A8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0.4</w:t>
                  </w:r>
                </w:p>
              </w:tc>
              <w:tc>
                <w:tcPr>
                  <w:tcW w:w="1049" w:type="pct"/>
                  <w:tcBorders>
                    <w:tl2br w:val="nil"/>
                    <w:tr2bl w:val="nil"/>
                  </w:tcBorders>
                  <w:vAlign w:val="center"/>
                </w:tcPr>
                <w:p w14:paraId="4247BA7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0.1</w:t>
                  </w:r>
                </w:p>
              </w:tc>
              <w:tc>
                <w:tcPr>
                  <w:tcW w:w="539" w:type="pct"/>
                  <w:tcBorders>
                    <w:tl2br w:val="nil"/>
                    <w:tr2bl w:val="nil"/>
                  </w:tcBorders>
                  <w:vAlign w:val="center"/>
                </w:tcPr>
                <w:p w14:paraId="21EBDF0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0E9FE8B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0.002</w:t>
                  </w:r>
                </w:p>
              </w:tc>
            </w:tr>
            <w:tr w14:paraId="370045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207DEE9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13</w:t>
                  </w:r>
                </w:p>
              </w:tc>
              <w:tc>
                <w:tcPr>
                  <w:tcW w:w="1364" w:type="pct"/>
                  <w:tcBorders>
                    <w:tl2br w:val="nil"/>
                    <w:tr2bl w:val="nil"/>
                  </w:tcBorders>
                  <w:vAlign w:val="center"/>
                </w:tcPr>
                <w:p w14:paraId="7436BFE8">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废滤筒滤芯</w:t>
                  </w:r>
                </w:p>
              </w:tc>
              <w:tc>
                <w:tcPr>
                  <w:tcW w:w="696" w:type="pct"/>
                  <w:tcBorders>
                    <w:tl2br w:val="nil"/>
                    <w:tr2bl w:val="nil"/>
                  </w:tcBorders>
                  <w:vAlign w:val="center"/>
                </w:tcPr>
                <w:p w14:paraId="39B4D5F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2.0</w:t>
                  </w:r>
                </w:p>
              </w:tc>
              <w:tc>
                <w:tcPr>
                  <w:tcW w:w="1049" w:type="pct"/>
                  <w:tcBorders>
                    <w:tl2br w:val="nil"/>
                    <w:tr2bl w:val="nil"/>
                  </w:tcBorders>
                  <w:vAlign w:val="center"/>
                </w:tcPr>
                <w:p w14:paraId="467FE7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0.5</w:t>
                  </w:r>
                </w:p>
              </w:tc>
              <w:tc>
                <w:tcPr>
                  <w:tcW w:w="539" w:type="pct"/>
                  <w:tcBorders>
                    <w:tl2br w:val="nil"/>
                    <w:tr2bl w:val="nil"/>
                  </w:tcBorders>
                  <w:vAlign w:val="center"/>
                </w:tcPr>
                <w:p w14:paraId="3BB097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0A60D9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0.01</w:t>
                  </w:r>
                </w:p>
              </w:tc>
            </w:tr>
            <w:tr w14:paraId="10FE9B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692C825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14</w:t>
                  </w:r>
                </w:p>
              </w:tc>
              <w:tc>
                <w:tcPr>
                  <w:tcW w:w="1364" w:type="pct"/>
                  <w:tcBorders>
                    <w:tl2br w:val="nil"/>
                    <w:tr2bl w:val="nil"/>
                  </w:tcBorders>
                  <w:vAlign w:val="center"/>
                </w:tcPr>
                <w:p w14:paraId="115AE0D9">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浮油</w:t>
                  </w:r>
                </w:p>
              </w:tc>
              <w:tc>
                <w:tcPr>
                  <w:tcW w:w="696" w:type="pct"/>
                  <w:tcBorders>
                    <w:tl2br w:val="nil"/>
                    <w:tr2bl w:val="nil"/>
                  </w:tcBorders>
                  <w:vAlign w:val="center"/>
                </w:tcPr>
                <w:p w14:paraId="6D68C83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0.2</w:t>
                  </w:r>
                </w:p>
              </w:tc>
              <w:tc>
                <w:tcPr>
                  <w:tcW w:w="1049" w:type="pct"/>
                  <w:tcBorders>
                    <w:tl2br w:val="nil"/>
                    <w:tr2bl w:val="nil"/>
                  </w:tcBorders>
                  <w:vAlign w:val="center"/>
                </w:tcPr>
                <w:p w14:paraId="02A68FF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0.017</w:t>
                  </w:r>
                </w:p>
              </w:tc>
              <w:tc>
                <w:tcPr>
                  <w:tcW w:w="539" w:type="pct"/>
                  <w:tcBorders>
                    <w:tl2br w:val="nil"/>
                    <w:tr2bl w:val="nil"/>
                  </w:tcBorders>
                  <w:vAlign w:val="center"/>
                </w:tcPr>
                <w:p w14:paraId="518CA4B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6B10228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0.00034</w:t>
                  </w:r>
                </w:p>
              </w:tc>
            </w:tr>
            <w:tr w14:paraId="3F76B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384" w:type="pct"/>
                  <w:tcBorders>
                    <w:tl2br w:val="nil"/>
                    <w:tr2bl w:val="nil"/>
                  </w:tcBorders>
                  <w:vAlign w:val="center"/>
                </w:tcPr>
                <w:p w14:paraId="3AAC329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15</w:t>
                  </w:r>
                </w:p>
              </w:tc>
              <w:tc>
                <w:tcPr>
                  <w:tcW w:w="1364" w:type="pct"/>
                  <w:tcBorders>
                    <w:tl2br w:val="nil"/>
                    <w:tr2bl w:val="nil"/>
                  </w:tcBorders>
                  <w:vAlign w:val="center"/>
                </w:tcPr>
                <w:p w14:paraId="21E83FA6">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废漆渣</w:t>
                  </w:r>
                </w:p>
              </w:tc>
              <w:tc>
                <w:tcPr>
                  <w:tcW w:w="696" w:type="pct"/>
                  <w:tcBorders>
                    <w:tl2br w:val="nil"/>
                    <w:tr2bl w:val="nil"/>
                  </w:tcBorders>
                  <w:vAlign w:val="center"/>
                </w:tcPr>
                <w:p w14:paraId="7B9CD3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1.6524</w:t>
                  </w:r>
                </w:p>
              </w:tc>
              <w:tc>
                <w:tcPr>
                  <w:tcW w:w="1049" w:type="pct"/>
                  <w:tcBorders>
                    <w:tl2br w:val="nil"/>
                    <w:tr2bl w:val="nil"/>
                  </w:tcBorders>
                  <w:vAlign w:val="center"/>
                </w:tcPr>
                <w:p w14:paraId="42FCB92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0.138</w:t>
                  </w:r>
                </w:p>
              </w:tc>
              <w:tc>
                <w:tcPr>
                  <w:tcW w:w="539" w:type="pct"/>
                  <w:tcBorders>
                    <w:tl2br w:val="nil"/>
                    <w:tr2bl w:val="nil"/>
                  </w:tcBorders>
                  <w:vAlign w:val="center"/>
                </w:tcPr>
                <w:p w14:paraId="4706566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4E2F994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0.00276</w:t>
                  </w:r>
                </w:p>
              </w:tc>
            </w:tr>
            <w:tr w14:paraId="13C48A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384" w:type="pct"/>
                  <w:tcBorders>
                    <w:tl2br w:val="nil"/>
                    <w:tr2bl w:val="nil"/>
                  </w:tcBorders>
                  <w:vAlign w:val="center"/>
                </w:tcPr>
                <w:p w14:paraId="04C2062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cs="Times New Roman"/>
                      <w:color w:val="auto"/>
                      <w:position w:val="1"/>
                      <w:sz w:val="21"/>
                      <w:szCs w:val="20"/>
                      <w:highlight w:val="none"/>
                      <w:lang w:val="en-US" w:eastAsia="zh-CN"/>
                    </w:rPr>
                  </w:pPr>
                  <w:r>
                    <w:rPr>
                      <w:rFonts w:hint="eastAsia" w:cs="Times New Roman"/>
                      <w:color w:val="auto"/>
                      <w:position w:val="1"/>
                      <w:sz w:val="21"/>
                      <w:szCs w:val="20"/>
                      <w:highlight w:val="none"/>
                      <w:lang w:val="en-US" w:eastAsia="zh-CN"/>
                    </w:rPr>
                    <w:t>16</w:t>
                  </w:r>
                </w:p>
              </w:tc>
              <w:tc>
                <w:tcPr>
                  <w:tcW w:w="1364" w:type="pct"/>
                  <w:tcBorders>
                    <w:tl2br w:val="nil"/>
                    <w:tr2bl w:val="nil"/>
                  </w:tcBorders>
                  <w:vAlign w:val="center"/>
                </w:tcPr>
                <w:p w14:paraId="66CD7BD7">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auto"/>
                      <w:spacing w:val="-9"/>
                      <w:sz w:val="21"/>
                      <w:highlight w:val="none"/>
                      <w:lang w:val="en-US" w:eastAsia="zh-CN"/>
                    </w:rPr>
                  </w:pPr>
                  <w:r>
                    <w:rPr>
                      <w:rFonts w:hint="eastAsia" w:ascii="Times New Roman" w:hAnsi="Times New Roman"/>
                      <w:color w:val="auto"/>
                      <w:spacing w:val="-9"/>
                      <w:sz w:val="21"/>
                      <w:highlight w:val="none"/>
                      <w:lang w:val="en-US" w:eastAsia="zh-CN"/>
                    </w:rPr>
                    <w:t>废槽液</w:t>
                  </w:r>
                </w:p>
              </w:tc>
              <w:tc>
                <w:tcPr>
                  <w:tcW w:w="696" w:type="pct"/>
                  <w:tcBorders>
                    <w:tl2br w:val="nil"/>
                    <w:tr2bl w:val="nil"/>
                  </w:tcBorders>
                  <w:vAlign w:val="center"/>
                </w:tcPr>
                <w:p w14:paraId="2E952BB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3"/>
                      <w:position w:val="1"/>
                      <w:sz w:val="21"/>
                      <w:szCs w:val="20"/>
                      <w:highlight w:val="none"/>
                      <w:lang w:val="en-US" w:eastAsia="zh-CN"/>
                    </w:rPr>
                  </w:pPr>
                  <w:r>
                    <w:rPr>
                      <w:rFonts w:hint="eastAsia" w:cs="Times New Roman"/>
                      <w:color w:val="auto"/>
                      <w:spacing w:val="3"/>
                      <w:position w:val="1"/>
                      <w:sz w:val="21"/>
                      <w:szCs w:val="20"/>
                      <w:highlight w:val="none"/>
                      <w:lang w:val="en-US" w:eastAsia="zh-CN"/>
                    </w:rPr>
                    <w:t>83.18</w:t>
                  </w:r>
                </w:p>
              </w:tc>
              <w:tc>
                <w:tcPr>
                  <w:tcW w:w="1049" w:type="pct"/>
                  <w:tcBorders>
                    <w:tl2br w:val="nil"/>
                    <w:tr2bl w:val="nil"/>
                  </w:tcBorders>
                  <w:vAlign w:val="center"/>
                </w:tcPr>
                <w:p w14:paraId="0543639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position w:val="1"/>
                      <w:sz w:val="21"/>
                      <w:szCs w:val="20"/>
                      <w:highlight w:val="none"/>
                      <w:lang w:val="en-US" w:eastAsia="zh-CN"/>
                    </w:rPr>
                  </w:pPr>
                  <w:r>
                    <w:rPr>
                      <w:rFonts w:hint="eastAsia" w:cs="Times New Roman"/>
                      <w:color w:val="auto"/>
                      <w:spacing w:val="2"/>
                      <w:position w:val="1"/>
                      <w:sz w:val="21"/>
                      <w:szCs w:val="20"/>
                      <w:highlight w:val="none"/>
                      <w:lang w:val="en-US" w:eastAsia="zh-CN"/>
                    </w:rPr>
                    <w:t>0（不储存）</w:t>
                  </w:r>
                </w:p>
              </w:tc>
              <w:tc>
                <w:tcPr>
                  <w:tcW w:w="539" w:type="pct"/>
                  <w:tcBorders>
                    <w:tl2br w:val="nil"/>
                    <w:tr2bl w:val="nil"/>
                  </w:tcBorders>
                  <w:vAlign w:val="center"/>
                </w:tcPr>
                <w:p w14:paraId="3E331AD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pacing w:val="-8"/>
                      <w:position w:val="1"/>
                      <w:sz w:val="21"/>
                      <w:szCs w:val="20"/>
                      <w:highlight w:val="none"/>
                    </w:rPr>
                  </w:pPr>
                  <w:r>
                    <w:rPr>
                      <w:rFonts w:hint="eastAsia" w:cs="Times New Roman"/>
                      <w:color w:val="auto"/>
                      <w:spacing w:val="-8"/>
                      <w:position w:val="1"/>
                      <w:sz w:val="21"/>
                      <w:szCs w:val="20"/>
                      <w:highlight w:val="none"/>
                      <w:lang w:val="en-US" w:eastAsia="zh-CN"/>
                    </w:rPr>
                    <w:t>50</w:t>
                  </w:r>
                </w:p>
              </w:tc>
              <w:tc>
                <w:tcPr>
                  <w:tcW w:w="966" w:type="pct"/>
                  <w:tcBorders>
                    <w:tl2br w:val="nil"/>
                    <w:tr2bl w:val="nil"/>
                  </w:tcBorders>
                  <w:vAlign w:val="center"/>
                </w:tcPr>
                <w:p w14:paraId="5CB6C08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w:t>
                  </w:r>
                </w:p>
              </w:tc>
            </w:tr>
            <w:tr w14:paraId="00CEA3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033" w:type="pct"/>
                  <w:gridSpan w:val="5"/>
                  <w:tcBorders>
                    <w:tl2br w:val="nil"/>
                    <w:tr2bl w:val="nil"/>
                  </w:tcBorders>
                  <w:vAlign w:val="center"/>
                </w:tcPr>
                <w:p w14:paraId="48DDC19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color w:val="auto"/>
                      <w:sz w:val="21"/>
                      <w:highlight w:val="none"/>
                    </w:rPr>
                  </w:pPr>
                  <w:r>
                    <w:rPr>
                      <w:rFonts w:ascii="Times New Roman" w:hAnsi="Times New Roman" w:eastAsia="宋体"/>
                      <w:color w:val="auto"/>
                      <w:spacing w:val="14"/>
                      <w:position w:val="2"/>
                      <w:sz w:val="21"/>
                      <w:highlight w:val="none"/>
                    </w:rPr>
                    <w:t>项目</w:t>
                  </w:r>
                  <w:r>
                    <w:rPr>
                      <w:rFonts w:ascii="Times New Roman" w:hAnsi="Times New Roman" w:eastAsia="宋体" w:cs="Times New Roman"/>
                      <w:color w:val="auto"/>
                      <w:spacing w:val="14"/>
                      <w:position w:val="2"/>
                      <w:sz w:val="21"/>
                      <w:highlight w:val="none"/>
                    </w:rPr>
                    <w:t>Q</w:t>
                  </w:r>
                  <w:r>
                    <w:rPr>
                      <w:rFonts w:ascii="Times New Roman" w:hAnsi="Times New Roman" w:eastAsia="宋体"/>
                      <w:color w:val="auto"/>
                      <w:spacing w:val="14"/>
                      <w:position w:val="2"/>
                      <w:sz w:val="21"/>
                      <w:highlight w:val="none"/>
                    </w:rPr>
                    <w:t>值</w:t>
                  </w:r>
                  <w:r>
                    <w:rPr>
                      <w:rFonts w:ascii="Times New Roman" w:hAnsi="Times New Roman" w:eastAsia="宋体" w:cs="Times New Roman"/>
                      <w:color w:val="auto"/>
                      <w:spacing w:val="14"/>
                      <w:position w:val="2"/>
                      <w:sz w:val="21"/>
                      <w:highlight w:val="none"/>
                    </w:rPr>
                    <w:t>∑</w:t>
                  </w:r>
                </w:p>
              </w:tc>
              <w:tc>
                <w:tcPr>
                  <w:tcW w:w="966" w:type="pct"/>
                  <w:tcBorders>
                    <w:tl2br w:val="nil"/>
                    <w:tr2bl w:val="nil"/>
                  </w:tcBorders>
                  <w:shd w:val="clear" w:color="auto" w:fill="auto"/>
                  <w:vAlign w:val="center"/>
                </w:tcPr>
                <w:p w14:paraId="5FE1D1B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0.058948</w:t>
                  </w:r>
                </w:p>
              </w:tc>
            </w:tr>
            <w:tr w14:paraId="11D971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5000" w:type="pct"/>
                  <w:gridSpan w:val="6"/>
                  <w:tcBorders>
                    <w:tl2br w:val="nil"/>
                    <w:tr2bl w:val="nil"/>
                  </w:tcBorders>
                  <w:vAlign w:val="center"/>
                </w:tcPr>
                <w:p w14:paraId="11D5DAF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kern w:val="0"/>
                      <w:sz w:val="18"/>
                      <w:szCs w:val="18"/>
                    </w:rPr>
                    <w:t>备注：</w:t>
                  </w:r>
                  <w:r>
                    <w:rPr>
                      <w:rFonts w:hint="eastAsia" w:ascii="宋体" w:hAnsi="宋体" w:eastAsia="宋体" w:cs="宋体"/>
                      <w:color w:val="auto"/>
                      <w:kern w:val="0"/>
                      <w:sz w:val="18"/>
                      <w:szCs w:val="18"/>
                      <w:lang w:val="en-US" w:eastAsia="zh-CN" w:bidi="ar"/>
                    </w:rPr>
                    <w:t>危险废物临界量参考《建设项目环境风险评价技术导则》（</w:t>
                  </w:r>
                  <w:r>
                    <w:rPr>
                      <w:rFonts w:hint="default" w:ascii="Times New Roman" w:hAnsi="Times New Roman" w:eastAsia="宋体" w:cs="Times New Roman"/>
                      <w:color w:val="auto"/>
                      <w:kern w:val="0"/>
                      <w:sz w:val="18"/>
                      <w:szCs w:val="18"/>
                      <w:lang w:val="en-US" w:eastAsia="zh-CN" w:bidi="ar"/>
                    </w:rPr>
                    <w:t>HJ 169-2018</w:t>
                  </w:r>
                  <w:r>
                    <w:rPr>
                      <w:rFonts w:hint="eastAsia" w:ascii="宋体" w:hAnsi="宋体" w:eastAsia="宋体" w:cs="宋体"/>
                      <w:color w:val="auto"/>
                      <w:kern w:val="0"/>
                      <w:sz w:val="18"/>
                      <w:szCs w:val="18"/>
                      <w:lang w:val="en-US" w:eastAsia="zh-CN" w:bidi="ar"/>
                    </w:rPr>
                    <w:t>）附录</w:t>
                  </w:r>
                  <w:r>
                    <w:rPr>
                      <w:rFonts w:hint="default" w:ascii="Times New Roman" w:hAnsi="Times New Roman" w:eastAsia="宋体" w:cs="Times New Roman"/>
                      <w:color w:val="auto"/>
                      <w:kern w:val="0"/>
                      <w:sz w:val="18"/>
                      <w:szCs w:val="18"/>
                      <w:lang w:val="en-US" w:eastAsia="zh-CN" w:bidi="ar"/>
                    </w:rPr>
                    <w:t>B</w:t>
                  </w:r>
                  <w:r>
                    <w:rPr>
                      <w:rFonts w:hint="eastAsia" w:ascii="宋体" w:hAnsi="宋体" w:eastAsia="宋体" w:cs="宋体"/>
                      <w:color w:val="auto"/>
                      <w:kern w:val="0"/>
                      <w:sz w:val="18"/>
                      <w:szCs w:val="18"/>
                      <w:lang w:val="en-US" w:eastAsia="zh-CN" w:bidi="ar"/>
                    </w:rPr>
                    <w:t>的表</w:t>
                  </w:r>
                  <w:r>
                    <w:rPr>
                      <w:rFonts w:hint="default" w:ascii="Times New Roman" w:hAnsi="Times New Roman" w:eastAsia="宋体" w:cs="Times New Roman"/>
                      <w:color w:val="auto"/>
                      <w:kern w:val="0"/>
                      <w:sz w:val="18"/>
                      <w:szCs w:val="18"/>
                      <w:lang w:val="en-US" w:eastAsia="zh-CN" w:bidi="ar"/>
                    </w:rPr>
                    <w:t>B.2</w:t>
                  </w:r>
                  <w:r>
                    <w:rPr>
                      <w:rFonts w:hint="eastAsia" w:ascii="宋体" w:hAnsi="宋体" w:eastAsia="宋体" w:cs="宋体"/>
                      <w:color w:val="auto"/>
                      <w:kern w:val="0"/>
                      <w:sz w:val="18"/>
                      <w:szCs w:val="18"/>
                      <w:lang w:val="en-US" w:eastAsia="zh-CN" w:bidi="ar"/>
                    </w:rPr>
                    <w:t>中健康危险急性毒性物质（类别</w:t>
                  </w:r>
                  <w:r>
                    <w:rPr>
                      <w:rFonts w:hint="default" w:ascii="Times New Roman" w:hAnsi="Times New Roman" w:eastAsia="宋体" w:cs="Times New Roman"/>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，类别</w:t>
                  </w:r>
                  <w:r>
                    <w:rPr>
                      <w:rFonts w:hint="default" w:ascii="Times New Roman" w:hAnsi="Times New Roman" w:eastAsia="宋体" w:cs="Times New Roman"/>
                      <w:color w:val="auto"/>
                      <w:kern w:val="0"/>
                      <w:sz w:val="18"/>
                      <w:szCs w:val="18"/>
                      <w:lang w:val="en-US" w:eastAsia="zh-CN" w:bidi="ar"/>
                    </w:rPr>
                    <w:t>3</w:t>
                  </w:r>
                  <w:r>
                    <w:rPr>
                      <w:rFonts w:hint="eastAsia" w:ascii="宋体" w:hAnsi="宋体" w:eastAsia="宋体" w:cs="宋体"/>
                      <w:color w:val="auto"/>
                      <w:kern w:val="0"/>
                      <w:sz w:val="18"/>
                      <w:szCs w:val="18"/>
                      <w:lang w:val="en-US" w:eastAsia="zh-CN" w:bidi="ar"/>
                    </w:rPr>
                    <w:t>）的推荐临界量</w:t>
                  </w:r>
                  <w:r>
                    <w:rPr>
                      <w:rFonts w:hint="default" w:ascii="Times New Roman" w:hAnsi="Times New Roman" w:eastAsia="宋体" w:cs="Times New Roman"/>
                      <w:color w:val="auto"/>
                      <w:kern w:val="0"/>
                      <w:sz w:val="18"/>
                      <w:szCs w:val="18"/>
                      <w:lang w:val="en-US" w:eastAsia="zh-CN" w:bidi="ar"/>
                    </w:rPr>
                    <w:t>50t</w:t>
                  </w:r>
                </w:p>
              </w:tc>
            </w:tr>
          </w:tbl>
          <w:p w14:paraId="19873DCD">
            <w:pPr>
              <w:pStyle w:val="120"/>
              <w:rPr>
                <w:rFonts w:ascii="Times New Roman" w:hAnsi="Times New Roman"/>
                <w:color w:val="auto"/>
                <w:highlight w:val="none"/>
                <w:lang w:val="en-US" w:eastAsia="zh-CN"/>
              </w:rPr>
            </w:pPr>
            <w:r>
              <w:rPr>
                <w:rFonts w:ascii="Times New Roman" w:hAnsi="Times New Roman"/>
                <w:color w:val="auto"/>
                <w:kern w:val="0"/>
                <w:highlight w:val="none"/>
                <w:lang w:val="en-US" w:eastAsia="zh-CN"/>
              </w:rPr>
              <w:t>根据上表</w:t>
            </w:r>
            <w:r>
              <w:rPr>
                <w:rFonts w:hint="eastAsia" w:ascii="Times New Roman" w:hAnsi="Times New Roman"/>
                <w:color w:val="auto"/>
                <w:kern w:val="0"/>
                <w:highlight w:val="none"/>
                <w:lang w:val="en-US" w:eastAsia="zh-CN"/>
              </w:rPr>
              <w:t>计算</w:t>
            </w:r>
            <w:r>
              <w:rPr>
                <w:rFonts w:ascii="Times New Roman" w:hAnsi="Times New Roman"/>
                <w:color w:val="auto"/>
                <w:kern w:val="0"/>
                <w:highlight w:val="none"/>
                <w:lang w:val="en-US" w:eastAsia="zh-CN"/>
              </w:rPr>
              <w:t>Q=</w:t>
            </w:r>
            <w:r>
              <w:rPr>
                <w:rFonts w:hint="eastAsia"/>
                <w:color w:val="auto"/>
                <w:kern w:val="0"/>
                <w:highlight w:val="none"/>
                <w:lang w:val="en-US" w:eastAsia="zh-CN"/>
              </w:rPr>
              <w:t>0.058948</w:t>
            </w:r>
            <w:r>
              <w:rPr>
                <w:rFonts w:hint="eastAsia" w:ascii="Times New Roman" w:hAnsi="Times New Roman"/>
                <w:color w:val="auto"/>
                <w:kern w:val="0"/>
                <w:highlight w:val="none"/>
                <w:lang w:val="en-US" w:eastAsia="zh-CN"/>
              </w:rPr>
              <w:t>‬</w:t>
            </w:r>
            <w:r>
              <w:rPr>
                <w:rFonts w:ascii="Times New Roman" w:hAnsi="Times New Roman"/>
                <w:color w:val="auto"/>
                <w:kern w:val="0"/>
                <w:highlight w:val="none"/>
                <w:lang w:val="en-US" w:eastAsia="zh-CN"/>
              </w:rPr>
              <w:t>&lt;1</w:t>
            </w:r>
            <w:r>
              <w:rPr>
                <w:rFonts w:hint="eastAsia" w:ascii="Times New Roman" w:hAnsi="Times New Roman"/>
                <w:color w:val="auto"/>
                <w:kern w:val="0"/>
                <w:highlight w:val="none"/>
                <w:lang w:val="en-US" w:eastAsia="zh-CN"/>
              </w:rPr>
              <w:t>。因此</w:t>
            </w:r>
            <w:r>
              <w:rPr>
                <w:rFonts w:ascii="Times New Roman" w:hAnsi="Times New Roman"/>
                <w:color w:val="auto"/>
                <w:kern w:val="0"/>
                <w:highlight w:val="none"/>
                <w:lang w:val="en-US" w:eastAsia="zh-CN"/>
              </w:rPr>
              <w:t>，项目环境风险潜势为I。</w:t>
            </w:r>
            <w:r>
              <w:rPr>
                <w:rFonts w:hint="eastAsia" w:ascii="Times New Roman" w:hAnsi="Times New Roman"/>
                <w:color w:val="auto"/>
                <w:kern w:val="0"/>
                <w:highlight w:val="none"/>
                <w:lang w:val="en-US" w:eastAsia="zh-CN"/>
              </w:rPr>
              <w:t>根据《建设项目环境风险评价技术导则》（HJ169-2018）中关于环境风险评价工作等级划分表的判据，确定项目风险评价等级为简单分析。</w:t>
            </w:r>
          </w:p>
          <w:p w14:paraId="7B7FEA04">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环境风险影响分析及风险防范措施要求</w:t>
            </w:r>
          </w:p>
          <w:p w14:paraId="555C9905">
            <w:pPr>
              <w:pStyle w:val="120"/>
              <w:rPr>
                <w:rFonts w:hint="eastAsia"/>
                <w:color w:val="auto"/>
                <w:highlight w:val="none"/>
                <w:lang w:val="en-US" w:eastAsia="zh-CN"/>
              </w:rPr>
            </w:pPr>
            <w:r>
              <w:rPr>
                <w:rFonts w:hint="eastAsia"/>
                <w:color w:val="auto"/>
                <w:highlight w:val="none"/>
                <w:lang w:val="en-US" w:eastAsia="zh-CN"/>
              </w:rPr>
              <w:t>本项目环境风险主要来自火灾事故、助剂泄漏和废气事故排放，采取的环境风险防范措施如下：</w:t>
            </w:r>
          </w:p>
          <w:p w14:paraId="31A94904">
            <w:pPr>
              <w:pStyle w:val="120"/>
              <w:rPr>
                <w:rFonts w:hint="eastAsia"/>
                <w:color w:val="auto"/>
                <w:highlight w:val="none"/>
                <w:lang w:val="en-US" w:eastAsia="zh-CN"/>
              </w:rPr>
            </w:pPr>
            <w:r>
              <w:rPr>
                <w:rFonts w:hint="eastAsia"/>
                <w:color w:val="auto"/>
                <w:highlight w:val="none"/>
                <w:lang w:val="en-US" w:eastAsia="zh-CN"/>
              </w:rPr>
              <w:t>（1）泄漏事故风险防范措施：</w:t>
            </w:r>
          </w:p>
          <w:p w14:paraId="461DBBF5">
            <w:pPr>
              <w:pStyle w:val="120"/>
              <w:rPr>
                <w:rFonts w:hint="eastAsia"/>
                <w:color w:val="auto"/>
                <w:highlight w:val="none"/>
                <w:lang w:val="en-US" w:eastAsia="zh-CN"/>
              </w:rPr>
            </w:pPr>
            <w:r>
              <w:rPr>
                <w:rFonts w:hint="eastAsia"/>
                <w:color w:val="auto"/>
                <w:highlight w:val="none"/>
                <w:lang w:val="en-US" w:eastAsia="zh-CN"/>
              </w:rPr>
              <w:t>①危废贮存库四周设置导流沟，地面采取防渗，设置警示标识等。</w:t>
            </w:r>
          </w:p>
          <w:p w14:paraId="5275D7C3">
            <w:pPr>
              <w:pStyle w:val="120"/>
              <w:rPr>
                <w:rFonts w:hint="eastAsia"/>
                <w:color w:val="auto"/>
                <w:highlight w:val="none"/>
                <w:lang w:val="en-US" w:eastAsia="zh-CN"/>
              </w:rPr>
            </w:pPr>
            <w:r>
              <w:rPr>
                <w:rFonts w:hint="eastAsia"/>
                <w:color w:val="auto"/>
                <w:highlight w:val="none"/>
                <w:lang w:val="en-US" w:eastAsia="zh-CN"/>
              </w:rPr>
              <w:t>②严禁明火，严格遵守操作规程，避免因操作失误发生事故。</w:t>
            </w:r>
          </w:p>
          <w:p w14:paraId="7ACCA491">
            <w:pPr>
              <w:pStyle w:val="120"/>
              <w:rPr>
                <w:rFonts w:hint="eastAsia"/>
                <w:color w:val="auto"/>
                <w:highlight w:val="none"/>
                <w:lang w:val="en-US" w:eastAsia="zh-CN"/>
              </w:rPr>
            </w:pPr>
            <w:r>
              <w:rPr>
                <w:rFonts w:hint="eastAsia"/>
                <w:color w:val="auto"/>
                <w:highlight w:val="none"/>
                <w:lang w:val="en-US" w:eastAsia="zh-CN"/>
              </w:rPr>
              <w:t>③配备相应的堵漏材料（沙袋、吸油毡等）。</w:t>
            </w:r>
          </w:p>
          <w:p w14:paraId="596A25EA">
            <w:pPr>
              <w:pStyle w:val="120"/>
              <w:rPr>
                <w:rFonts w:hint="eastAsia"/>
                <w:color w:val="auto"/>
                <w:highlight w:val="none"/>
                <w:lang w:val="en-US" w:eastAsia="zh-CN"/>
              </w:rPr>
            </w:pPr>
            <w:r>
              <w:rPr>
                <w:rFonts w:hint="eastAsia"/>
                <w:color w:val="auto"/>
                <w:highlight w:val="none"/>
                <w:lang w:val="en-US" w:eastAsia="zh-CN"/>
              </w:rPr>
              <w:t>（2）火灾事故风险防范措施</w:t>
            </w:r>
          </w:p>
          <w:p w14:paraId="46BC81BE">
            <w:pPr>
              <w:pStyle w:val="120"/>
              <w:rPr>
                <w:rFonts w:hint="eastAsia"/>
                <w:color w:val="auto"/>
                <w:highlight w:val="none"/>
                <w:lang w:val="en-US" w:eastAsia="zh-CN"/>
              </w:rPr>
            </w:pPr>
            <w:r>
              <w:rPr>
                <w:rFonts w:hint="eastAsia"/>
                <w:color w:val="auto"/>
                <w:highlight w:val="none"/>
                <w:lang w:val="en-US" w:eastAsia="zh-CN"/>
              </w:rPr>
              <w:t>①加强消防设施和灭火器材的配备，严格落实有关消防技术规范的规定，加强人员疏散设施管理，保证疏散通道畅通。</w:t>
            </w:r>
          </w:p>
          <w:p w14:paraId="16FA4FF8">
            <w:pPr>
              <w:pStyle w:val="120"/>
              <w:rPr>
                <w:rFonts w:hint="eastAsia"/>
                <w:color w:val="auto"/>
                <w:highlight w:val="none"/>
                <w:lang w:val="en-US" w:eastAsia="zh-CN"/>
              </w:rPr>
            </w:pPr>
            <w:r>
              <w:rPr>
                <w:rFonts w:hint="eastAsia"/>
                <w:color w:val="auto"/>
                <w:highlight w:val="none"/>
                <w:lang w:val="en-US" w:eastAsia="zh-CN"/>
              </w:rPr>
              <w:t>②定期进行防火安全检查，确保消防设施完整好用。</w:t>
            </w:r>
          </w:p>
          <w:p w14:paraId="36A9928C">
            <w:pPr>
              <w:pStyle w:val="120"/>
              <w:rPr>
                <w:rFonts w:hint="eastAsia"/>
                <w:color w:val="auto"/>
                <w:highlight w:val="none"/>
                <w:lang w:val="en-US" w:eastAsia="zh-CN"/>
              </w:rPr>
            </w:pPr>
            <w:r>
              <w:rPr>
                <w:rFonts w:hint="eastAsia"/>
                <w:color w:val="auto"/>
                <w:highlight w:val="none"/>
                <w:lang w:val="en-US" w:eastAsia="zh-CN"/>
              </w:rPr>
              <w:t>③公司要求职工应遵守各项规章制度，作业时要遵守各项规定要求，确保安全生产。</w:t>
            </w:r>
          </w:p>
          <w:p w14:paraId="2AF2D17B">
            <w:pPr>
              <w:pStyle w:val="120"/>
              <w:rPr>
                <w:rFonts w:hint="eastAsia"/>
                <w:color w:val="auto"/>
                <w:highlight w:val="none"/>
                <w:lang w:val="en-US" w:eastAsia="zh-CN"/>
              </w:rPr>
            </w:pPr>
            <w:r>
              <w:rPr>
                <w:rFonts w:hint="eastAsia"/>
                <w:color w:val="auto"/>
                <w:highlight w:val="none"/>
                <w:lang w:val="en-US" w:eastAsia="zh-CN"/>
              </w:rPr>
              <w:t>④公司强化安全、消防和环保管理，完善环保安全管理机构，完善各项管理制度，加强日常监督检查；车间内严禁烟火。</w:t>
            </w:r>
          </w:p>
          <w:p w14:paraId="40D9A3B4">
            <w:pPr>
              <w:pStyle w:val="120"/>
              <w:ind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（3）废气事故排放防范措施</w:t>
            </w:r>
          </w:p>
          <w:p w14:paraId="3D140A1C">
            <w:pPr>
              <w:pStyle w:val="120"/>
              <w:ind w:firstLine="480"/>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a.定期对废气处理设施从设备到输送管道、阀门部件等进行检修，发现问题及时解决。</w:t>
            </w:r>
          </w:p>
          <w:p w14:paraId="78C010F5">
            <w:pPr>
              <w:pStyle w:val="120"/>
              <w:ind w:firstLine="480"/>
              <w:rPr>
                <w:rFonts w:hint="eastAsia"/>
                <w:color w:val="auto"/>
                <w:highlight w:val="none"/>
                <w:lang w:val="en-US" w:eastAsia="zh-CN"/>
              </w:rPr>
            </w:pPr>
            <w:r>
              <w:rPr>
                <w:rFonts w:hint="eastAsia" w:ascii="Times New Roman" w:hAnsi="Times New Roman" w:eastAsia="宋体"/>
                <w:color w:val="auto"/>
                <w:highlight w:val="none"/>
                <w:lang w:val="en-US" w:eastAsia="zh-CN"/>
              </w:rPr>
              <w:t>b.各生产岗位制定严格的操作规程和注意事项，车间工人需熟悉工作流程，严格按操作规程进行运行控制，防止操作失误导致废气事故排放</w:t>
            </w:r>
            <w:r>
              <w:rPr>
                <w:rFonts w:hint="eastAsia"/>
                <w:color w:val="auto"/>
                <w:highlight w:val="none"/>
                <w:lang w:val="en-US" w:eastAsia="zh-CN"/>
              </w:rPr>
              <w:t>。</w:t>
            </w:r>
          </w:p>
          <w:p w14:paraId="71E6DFFC">
            <w:pPr>
              <w:pStyle w:val="3"/>
              <w:numPr>
                <w:ilvl w:val="1"/>
                <w:numId w:val="1"/>
              </w:numPr>
              <w:bidi w:val="0"/>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排污</w:t>
            </w:r>
            <w:r>
              <w:rPr>
                <w:rFonts w:hint="eastAsia" w:ascii="Times New Roman" w:hAnsi="Times New Roman" w:eastAsia="宋体" w:cs="Times New Roman"/>
                <w:color w:val="auto"/>
                <w:highlight w:val="none"/>
                <w:lang w:val="en-US" w:eastAsia="zh-CN"/>
              </w:rPr>
              <w:t>许可申报及排污</w:t>
            </w:r>
            <w:r>
              <w:rPr>
                <w:rFonts w:hint="default" w:ascii="Times New Roman" w:hAnsi="Times New Roman" w:eastAsia="宋体" w:cs="Times New Roman"/>
                <w:color w:val="auto"/>
                <w:highlight w:val="none"/>
                <w:lang w:val="en-US" w:eastAsia="zh-CN"/>
              </w:rPr>
              <w:t>口规范化管理</w:t>
            </w:r>
          </w:p>
          <w:p w14:paraId="62B5BD56">
            <w:pPr>
              <w:pStyle w:val="4"/>
              <w:numPr>
                <w:ilvl w:val="2"/>
                <w:numId w:val="1"/>
              </w:numPr>
              <w:bidi w:val="0"/>
              <w:ind w:left="720" w:leftChars="0" w:hanging="72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申报要求</w:t>
            </w:r>
          </w:p>
          <w:p w14:paraId="7BFA4978">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olor w:val="auto"/>
                <w:sz w:val="24"/>
                <w:szCs w:val="24"/>
                <w:highlight w:val="none"/>
                <w:shd w:val="clear" w:color="auto" w:fill="auto"/>
              </w:rPr>
              <w:t>《排污许可管理办法》生态环境部部令第32号</w:t>
            </w:r>
            <w:r>
              <w:rPr>
                <w:rFonts w:hint="eastAsia"/>
                <w:color w:val="auto"/>
                <w:sz w:val="24"/>
                <w:szCs w:val="24"/>
                <w:highlight w:val="none"/>
                <w:shd w:val="clear" w:color="auto" w:fill="auto"/>
                <w:lang w:eastAsia="zh-CN"/>
              </w:rPr>
              <w:t>，</w:t>
            </w:r>
            <w:r>
              <w:rPr>
                <w:rFonts w:hint="eastAsia" w:ascii="Times New Roman" w:hAnsi="Times New Roman"/>
                <w:color w:val="auto"/>
                <w:sz w:val="24"/>
                <w:szCs w:val="24"/>
                <w:highlight w:val="none"/>
                <w:shd w:val="clear" w:color="auto" w:fill="auto"/>
              </w:rPr>
              <w:t>2023年</w:t>
            </w:r>
            <w:r>
              <w:rPr>
                <w:rFonts w:hint="eastAsia"/>
                <w:color w:val="auto"/>
                <w:sz w:val="24"/>
                <w:szCs w:val="24"/>
                <w:highlight w:val="none"/>
                <w:shd w:val="clear" w:color="auto" w:fill="auto"/>
                <w:lang w:eastAsia="zh-CN"/>
              </w:rPr>
              <w:t>4月1日</w:t>
            </w:r>
            <w:r>
              <w:rPr>
                <w:rFonts w:hint="eastAsia" w:ascii="Times New Roman" w:hAnsi="Times New Roman"/>
                <w:color w:val="auto"/>
                <w:sz w:val="24"/>
                <w:szCs w:val="24"/>
                <w:highlight w:val="none"/>
                <w:shd w:val="clear" w:color="auto" w:fill="auto"/>
              </w:rPr>
              <w:t>公布，2024年7月1日起施行。企业应当按照规定的时限申请并取得排污许可证</w:t>
            </w:r>
            <w:r>
              <w:rPr>
                <w:rFonts w:hint="default" w:ascii="Times New Roman" w:hAnsi="Times New Roman" w:eastAsia="宋体" w:cs="Times New Roman"/>
                <w:color w:val="auto"/>
                <w:sz w:val="24"/>
                <w:szCs w:val="24"/>
                <w:highlight w:val="none"/>
              </w:rPr>
              <w:t>。申请材料应当包括：</w:t>
            </w:r>
          </w:p>
          <w:p w14:paraId="12258524">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14:paraId="1EF0E2B0">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自行监测方案，自行监测方案应当包括以下内容：监测点位及示意图、监测指标、监测频次；使用的监测分析方法、采样方法</w:t>
            </w:r>
          </w:p>
          <w:p w14:paraId="7A8430DF">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由排污单位法定代表人或者主要负责人签字或者盖章的承诺书；</w:t>
            </w:r>
          </w:p>
          <w:p w14:paraId="1195A322">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排污单位有关排污口规范化的情况说明；</w:t>
            </w:r>
          </w:p>
          <w:p w14:paraId="069C1F80">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建设项目环境影响评价文件审批文号，或者按照有关国家规定经地方人民政府依法处理、整顿规范并符合要求的相关证明材料；</w:t>
            </w:r>
          </w:p>
          <w:p w14:paraId="2F7D94FE">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排污许可证申请前信息公开情况说明表；</w:t>
            </w:r>
          </w:p>
          <w:p w14:paraId="705BBE21">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在填报排污许可证</w:t>
            </w:r>
            <w:r>
              <w:rPr>
                <w:rFonts w:hint="eastAsia" w:ascii="Times New Roman" w:hAnsi="Times New Roman" w:cs="Times New Roman"/>
                <w:color w:val="auto"/>
                <w:sz w:val="24"/>
                <w:szCs w:val="24"/>
                <w:highlight w:val="none"/>
                <w:lang w:val="en-US" w:eastAsia="zh-CN"/>
              </w:rPr>
              <w:t>变更</w:t>
            </w:r>
            <w:r>
              <w:rPr>
                <w:rFonts w:hint="default" w:ascii="Times New Roman" w:hAnsi="Times New Roman" w:eastAsia="宋体" w:cs="Times New Roman"/>
                <w:color w:val="auto"/>
                <w:sz w:val="24"/>
                <w:szCs w:val="24"/>
                <w:highlight w:val="none"/>
              </w:rPr>
              <w:t>申请时，应承诺排污许可证申请材料是完整、真实和合法的；承诺按照排污许可证的规定排放污染物，落实排污许可证规定的环境管理要求，并由法定代表人或者主要负责人签字或者盖章。</w:t>
            </w:r>
          </w:p>
          <w:p w14:paraId="7BCF326E">
            <w:pPr>
              <w:pStyle w:val="4"/>
              <w:numPr>
                <w:ilvl w:val="2"/>
                <w:numId w:val="1"/>
              </w:numPr>
              <w:bidi w:val="0"/>
              <w:ind w:left="720" w:leftChars="0" w:hanging="72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排污许可管理要求</w:t>
            </w:r>
          </w:p>
          <w:p w14:paraId="7A3333AB">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根据《固定污染源排污许可分类管理名录</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2019年版</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生态环境部第11号</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可知，本项目实行排污许可登记管理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详见</w:t>
            </w:r>
            <w:r>
              <w:rPr>
                <w:rFonts w:hint="default"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因此，建设单位应在启动生产设施或者发生实际排污之前在全国排污许可证管理信息平台进行排污许可登记申报。</w:t>
            </w:r>
          </w:p>
          <w:p w14:paraId="61420CFC">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固定污染源排污许可分类管理名录</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摘录</w:t>
            </w:r>
            <w:r>
              <w:rPr>
                <w:rFonts w:hint="eastAsia" w:cs="Times New Roman"/>
                <w:color w:val="auto"/>
                <w:highlight w:val="none"/>
                <w:lang w:val="en-US" w:eastAsia="zh-CN"/>
              </w:rPr>
              <w:t>）</w:t>
            </w:r>
          </w:p>
          <w:tbl>
            <w:tblPr>
              <w:tblStyle w:val="86"/>
              <w:tblW w:w="4997"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16"/>
              <w:gridCol w:w="2132"/>
              <w:gridCol w:w="1011"/>
              <w:gridCol w:w="4172"/>
              <w:gridCol w:w="915"/>
            </w:tblGrid>
            <w:tr w14:paraId="5E8B05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95" w:type="pct"/>
                  <w:tcBorders>
                    <w:bottom w:val="single" w:color="000000" w:sz="12" w:space="0"/>
                  </w:tcBorders>
                  <w:vAlign w:val="center"/>
                </w:tcPr>
                <w:p w14:paraId="6179999E">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4"/>
                      <w:sz w:val="21"/>
                      <w:highlight w:val="none"/>
                    </w:rPr>
                    <w:t>序号</w:t>
                  </w:r>
                </w:p>
              </w:tc>
              <w:tc>
                <w:tcPr>
                  <w:tcW w:w="1219" w:type="pct"/>
                  <w:tcBorders>
                    <w:bottom w:val="single" w:color="000000" w:sz="12" w:space="0"/>
                  </w:tcBorders>
                  <w:vAlign w:val="center"/>
                </w:tcPr>
                <w:p w14:paraId="2A5B4DBF">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行业类别</w:t>
                  </w:r>
                </w:p>
              </w:tc>
              <w:tc>
                <w:tcPr>
                  <w:tcW w:w="578" w:type="pct"/>
                  <w:tcBorders>
                    <w:bottom w:val="single" w:color="000000" w:sz="12" w:space="0"/>
                  </w:tcBorders>
                  <w:vAlign w:val="center"/>
                </w:tcPr>
                <w:p w14:paraId="60DBAF2B">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6"/>
                      <w:sz w:val="21"/>
                      <w:highlight w:val="none"/>
                    </w:rPr>
                    <w:t>重点管理</w:t>
                  </w:r>
                </w:p>
              </w:tc>
              <w:tc>
                <w:tcPr>
                  <w:tcW w:w="2385" w:type="pct"/>
                  <w:tcBorders>
                    <w:bottom w:val="single" w:color="000000" w:sz="12" w:space="0"/>
                  </w:tcBorders>
                  <w:shd w:val="clear" w:color="auto" w:fill="auto"/>
                  <w:vAlign w:val="center"/>
                </w:tcPr>
                <w:p w14:paraId="27F93906">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简化管理</w:t>
                  </w:r>
                </w:p>
              </w:tc>
              <w:tc>
                <w:tcPr>
                  <w:tcW w:w="521" w:type="pct"/>
                  <w:tcBorders>
                    <w:bottom w:val="single" w:color="000000" w:sz="12" w:space="0"/>
                  </w:tcBorders>
                  <w:shd w:val="clear" w:color="auto" w:fill="D7D7D7" w:themeFill="background1" w:themeFillShade="D8"/>
                  <w:vAlign w:val="center"/>
                </w:tcPr>
                <w:p w14:paraId="6B07B3EE">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b/>
                      <w:bCs/>
                      <w:color w:val="auto"/>
                      <w:spacing w:val="5"/>
                      <w:sz w:val="21"/>
                      <w:highlight w:val="none"/>
                    </w:rPr>
                    <w:t>登记管理</w:t>
                  </w:r>
                </w:p>
              </w:tc>
            </w:tr>
            <w:tr w14:paraId="536573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5000" w:type="pct"/>
                  <w:gridSpan w:val="5"/>
                  <w:tcBorders>
                    <w:top w:val="single" w:color="000000" w:sz="12" w:space="0"/>
                    <w:tl2br w:val="nil"/>
                    <w:tr2bl w:val="nil"/>
                  </w:tcBorders>
                  <w:shd w:val="clear" w:color="auto" w:fill="D7D7D7" w:themeFill="background1" w:themeFillShade="D8"/>
                  <w:vAlign w:val="center"/>
                </w:tcPr>
                <w:p w14:paraId="6BBDDB51">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highlight w:val="none"/>
                    </w:rPr>
                  </w:pPr>
                  <w:r>
                    <w:rPr>
                      <w:rFonts w:ascii="Times New Roman" w:hAnsi="Times New Roman" w:eastAsia="宋体"/>
                      <w:color w:val="auto"/>
                      <w:spacing w:val="8"/>
                      <w:position w:val="1"/>
                      <w:sz w:val="21"/>
                      <w:highlight w:val="none"/>
                    </w:rPr>
                    <w:t>三十一、汽车制造业</w:t>
                  </w:r>
                  <w:r>
                    <w:rPr>
                      <w:rFonts w:ascii="Times New Roman" w:hAnsi="Times New Roman" w:eastAsia="宋体" w:cs="Times New Roman"/>
                      <w:color w:val="auto"/>
                      <w:spacing w:val="8"/>
                      <w:position w:val="1"/>
                      <w:sz w:val="21"/>
                      <w:highlight w:val="none"/>
                    </w:rPr>
                    <w:t>36</w:t>
                  </w:r>
                </w:p>
              </w:tc>
            </w:tr>
            <w:tr w14:paraId="555BE8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6" w:hRule="atLeast"/>
              </w:trPr>
              <w:tc>
                <w:tcPr>
                  <w:tcW w:w="295" w:type="pct"/>
                  <w:tcBorders>
                    <w:tl2br w:val="nil"/>
                    <w:tr2bl w:val="nil"/>
                  </w:tcBorders>
                  <w:vAlign w:val="center"/>
                </w:tcPr>
                <w:p w14:paraId="12F74E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0"/>
                      <w:highlight w:val="none"/>
                    </w:rPr>
                  </w:pPr>
                  <w:r>
                    <w:rPr>
                      <w:rFonts w:ascii="Times New Roman" w:hAnsi="Times New Roman" w:eastAsia="宋体" w:cs="Times New Roman"/>
                      <w:color w:val="auto"/>
                      <w:spacing w:val="-2"/>
                      <w:position w:val="2"/>
                      <w:sz w:val="21"/>
                      <w:szCs w:val="20"/>
                      <w:highlight w:val="none"/>
                    </w:rPr>
                    <w:t>85</w:t>
                  </w:r>
                </w:p>
              </w:tc>
              <w:tc>
                <w:tcPr>
                  <w:tcW w:w="1219" w:type="pct"/>
                  <w:tcBorders>
                    <w:tl2br w:val="nil"/>
                    <w:tr2bl w:val="nil"/>
                  </w:tcBorders>
                  <w:vAlign w:val="center"/>
                </w:tcPr>
                <w:p w14:paraId="30CB7281">
                  <w:pPr>
                    <w:pStyle w:val="115"/>
                    <w:keepNext w:val="0"/>
                    <w:keepLines w:val="0"/>
                    <w:pageBreakBefore w:val="0"/>
                    <w:widowControl w:val="0"/>
                    <w:kinsoku/>
                    <w:wordWrap/>
                    <w:overflowPunct/>
                    <w:topLinePunct w:val="0"/>
                    <w:autoSpaceDE/>
                    <w:autoSpaceDN/>
                    <w:bidi w:val="0"/>
                    <w:adjustRightInd/>
                    <w:snapToGrid/>
                    <w:spacing w:line="240" w:lineRule="auto"/>
                    <w:ind w:left="210" w:leftChars="100" w:right="210" w:rightChars="100"/>
                    <w:jc w:val="both"/>
                    <w:textAlignment w:val="auto"/>
                    <w:rPr>
                      <w:rFonts w:ascii="Times New Roman" w:hAnsi="Times New Roman" w:eastAsia="宋体" w:cs="Times New Roman"/>
                      <w:color w:val="auto"/>
                      <w:sz w:val="21"/>
                      <w:highlight w:val="none"/>
                    </w:rPr>
                  </w:pPr>
                  <w:r>
                    <w:rPr>
                      <w:rFonts w:ascii="Times New Roman" w:hAnsi="Times New Roman" w:eastAsia="宋体"/>
                      <w:color w:val="auto"/>
                      <w:spacing w:val="3"/>
                      <w:position w:val="1"/>
                      <w:sz w:val="21"/>
                      <w:highlight w:val="none"/>
                    </w:rPr>
                    <w:t>汽车整车制造</w:t>
                  </w:r>
                  <w:r>
                    <w:rPr>
                      <w:rFonts w:ascii="Times New Roman" w:hAnsi="Times New Roman" w:eastAsia="宋体" w:cs="Times New Roman"/>
                      <w:color w:val="auto"/>
                      <w:spacing w:val="3"/>
                      <w:position w:val="1"/>
                      <w:sz w:val="21"/>
                      <w:highlight w:val="none"/>
                    </w:rPr>
                    <w:t>361</w:t>
                  </w:r>
                  <w:r>
                    <w:rPr>
                      <w:rFonts w:ascii="Times New Roman" w:hAnsi="Times New Roman" w:eastAsia="宋体"/>
                      <w:color w:val="auto"/>
                      <w:spacing w:val="3"/>
                      <w:position w:val="1"/>
                      <w:sz w:val="21"/>
                      <w:highlight w:val="none"/>
                    </w:rPr>
                    <w:t>，汽车用发动机制造</w:t>
                  </w:r>
                  <w:r>
                    <w:rPr>
                      <w:rFonts w:ascii="Times New Roman" w:hAnsi="Times New Roman" w:eastAsia="宋体" w:cs="Times New Roman"/>
                      <w:color w:val="auto"/>
                      <w:spacing w:val="3"/>
                      <w:position w:val="1"/>
                      <w:sz w:val="21"/>
                      <w:highlight w:val="none"/>
                    </w:rPr>
                    <w:t>362</w:t>
                  </w:r>
                  <w:r>
                    <w:rPr>
                      <w:rFonts w:ascii="Times New Roman" w:hAnsi="Times New Roman" w:eastAsia="宋体"/>
                      <w:color w:val="auto"/>
                      <w:spacing w:val="3"/>
                      <w:position w:val="1"/>
                      <w:sz w:val="21"/>
                      <w:highlight w:val="none"/>
                    </w:rPr>
                    <w:t>，改装汽车制造</w:t>
                  </w:r>
                  <w:r>
                    <w:rPr>
                      <w:rFonts w:ascii="Times New Roman" w:hAnsi="Times New Roman" w:eastAsia="宋体" w:cs="Times New Roman"/>
                      <w:color w:val="auto"/>
                      <w:spacing w:val="5"/>
                      <w:position w:val="1"/>
                      <w:sz w:val="21"/>
                      <w:highlight w:val="none"/>
                    </w:rPr>
                    <w:t>363</w:t>
                  </w:r>
                  <w:r>
                    <w:rPr>
                      <w:rFonts w:ascii="Times New Roman" w:hAnsi="Times New Roman" w:eastAsia="宋体"/>
                      <w:color w:val="auto"/>
                      <w:spacing w:val="5"/>
                      <w:position w:val="1"/>
                      <w:sz w:val="21"/>
                      <w:highlight w:val="none"/>
                    </w:rPr>
                    <w:t>，低速汽车制造</w:t>
                  </w:r>
                  <w:r>
                    <w:rPr>
                      <w:rFonts w:ascii="Times New Roman" w:hAnsi="Times New Roman" w:eastAsia="宋体" w:cs="Times New Roman"/>
                      <w:color w:val="auto"/>
                      <w:spacing w:val="5"/>
                      <w:position w:val="1"/>
                      <w:sz w:val="21"/>
                      <w:highlight w:val="none"/>
                    </w:rPr>
                    <w:t>364</w:t>
                  </w:r>
                  <w:r>
                    <w:rPr>
                      <w:rFonts w:ascii="Times New Roman" w:hAnsi="Times New Roman" w:eastAsia="宋体"/>
                      <w:color w:val="auto"/>
                      <w:spacing w:val="5"/>
                      <w:position w:val="1"/>
                      <w:sz w:val="21"/>
                      <w:highlight w:val="none"/>
                    </w:rPr>
                    <w:t>，电</w:t>
                  </w:r>
                  <w:r>
                    <w:rPr>
                      <w:rFonts w:ascii="Times New Roman" w:hAnsi="Times New Roman" w:eastAsia="宋体"/>
                      <w:color w:val="auto"/>
                      <w:spacing w:val="3"/>
                      <w:position w:val="1"/>
                      <w:sz w:val="21"/>
                      <w:highlight w:val="none"/>
                    </w:rPr>
                    <w:t>车制造</w:t>
                  </w:r>
                  <w:r>
                    <w:rPr>
                      <w:rFonts w:ascii="Times New Roman" w:hAnsi="Times New Roman" w:eastAsia="宋体" w:cs="Times New Roman"/>
                      <w:color w:val="auto"/>
                      <w:spacing w:val="3"/>
                      <w:position w:val="1"/>
                      <w:sz w:val="21"/>
                      <w:highlight w:val="none"/>
                    </w:rPr>
                    <w:t>365</w:t>
                  </w:r>
                  <w:r>
                    <w:rPr>
                      <w:rFonts w:ascii="Times New Roman" w:hAnsi="Times New Roman" w:eastAsia="宋体"/>
                      <w:color w:val="auto"/>
                      <w:spacing w:val="3"/>
                      <w:position w:val="1"/>
                      <w:sz w:val="21"/>
                      <w:highlight w:val="none"/>
                    </w:rPr>
                    <w:t>，汽车车身、挂车制造</w:t>
                  </w:r>
                  <w:r>
                    <w:rPr>
                      <w:rFonts w:ascii="Times New Roman" w:hAnsi="Times New Roman" w:eastAsia="宋体" w:cs="Times New Roman"/>
                      <w:color w:val="auto"/>
                      <w:spacing w:val="3"/>
                      <w:position w:val="1"/>
                      <w:sz w:val="21"/>
                      <w:highlight w:val="none"/>
                    </w:rPr>
                    <w:t>366</w:t>
                  </w:r>
                  <w:r>
                    <w:rPr>
                      <w:rFonts w:ascii="Times New Roman" w:hAnsi="Times New Roman" w:eastAsia="宋体"/>
                      <w:color w:val="auto"/>
                      <w:spacing w:val="3"/>
                      <w:position w:val="1"/>
                      <w:sz w:val="21"/>
                      <w:highlight w:val="none"/>
                    </w:rPr>
                    <w:t>，汽车零部件及配件</w:t>
                  </w:r>
                  <w:r>
                    <w:rPr>
                      <w:rFonts w:ascii="Times New Roman" w:hAnsi="Times New Roman" w:eastAsia="宋体"/>
                      <w:color w:val="auto"/>
                      <w:spacing w:val="5"/>
                      <w:position w:val="1"/>
                      <w:sz w:val="21"/>
                      <w:highlight w:val="none"/>
                    </w:rPr>
                    <w:t>制造</w:t>
                  </w:r>
                  <w:r>
                    <w:rPr>
                      <w:rFonts w:ascii="Times New Roman" w:hAnsi="Times New Roman" w:eastAsia="宋体" w:cs="Times New Roman"/>
                      <w:color w:val="auto"/>
                      <w:spacing w:val="5"/>
                      <w:position w:val="1"/>
                      <w:sz w:val="21"/>
                      <w:highlight w:val="none"/>
                    </w:rPr>
                    <w:t>367</w:t>
                  </w:r>
                </w:p>
              </w:tc>
              <w:tc>
                <w:tcPr>
                  <w:tcW w:w="578" w:type="pct"/>
                  <w:tcBorders>
                    <w:tl2br w:val="nil"/>
                    <w:tr2bl w:val="nil"/>
                  </w:tcBorders>
                  <w:vAlign w:val="center"/>
                </w:tcPr>
                <w:p w14:paraId="7149C3EC">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7"/>
                      <w:sz w:val="21"/>
                      <w:highlight w:val="none"/>
                    </w:rPr>
                    <w:t>纳入重点排污单位名录</w:t>
                  </w:r>
                  <w:r>
                    <w:rPr>
                      <w:rFonts w:ascii="Times New Roman" w:hAnsi="Times New Roman" w:eastAsia="宋体"/>
                      <w:color w:val="auto"/>
                      <w:sz w:val="21"/>
                      <w:highlight w:val="none"/>
                    </w:rPr>
                    <w:t>的</w:t>
                  </w:r>
                </w:p>
              </w:tc>
              <w:tc>
                <w:tcPr>
                  <w:tcW w:w="2385" w:type="pct"/>
                  <w:tcBorders>
                    <w:tl2br w:val="nil"/>
                    <w:tr2bl w:val="nil"/>
                  </w:tcBorders>
                  <w:shd w:val="clear" w:color="auto" w:fill="auto"/>
                  <w:vAlign w:val="center"/>
                </w:tcPr>
                <w:p w14:paraId="720F8146">
                  <w:pPr>
                    <w:pStyle w:val="115"/>
                    <w:keepNext w:val="0"/>
                    <w:keepLines w:val="0"/>
                    <w:pageBreakBefore w:val="0"/>
                    <w:widowControl w:val="0"/>
                    <w:kinsoku/>
                    <w:wordWrap/>
                    <w:overflowPunct/>
                    <w:topLinePunct w:val="0"/>
                    <w:autoSpaceDE/>
                    <w:autoSpaceDN/>
                    <w:bidi w:val="0"/>
                    <w:adjustRightInd/>
                    <w:snapToGrid/>
                    <w:spacing w:line="240" w:lineRule="auto"/>
                    <w:ind w:left="210" w:leftChars="100" w:right="210" w:rightChars="100"/>
                    <w:jc w:val="center"/>
                    <w:textAlignment w:val="auto"/>
                    <w:rPr>
                      <w:rFonts w:ascii="Times New Roman" w:hAnsi="Times New Roman" w:eastAsia="宋体" w:cs="Times New Roman"/>
                      <w:color w:val="auto"/>
                      <w:sz w:val="21"/>
                      <w:highlight w:val="none"/>
                    </w:rPr>
                  </w:pPr>
                  <w:r>
                    <w:rPr>
                      <w:rFonts w:ascii="Times New Roman" w:hAnsi="Times New Roman" w:eastAsia="宋体"/>
                      <w:color w:val="auto"/>
                      <w:spacing w:val="8"/>
                      <w:sz w:val="21"/>
                      <w:highlight w:val="none"/>
                    </w:rPr>
                    <w:t>除重点管理以外的汽车整车制</w:t>
                  </w:r>
                  <w:r>
                    <w:rPr>
                      <w:rFonts w:ascii="Times New Roman" w:hAnsi="Times New Roman" w:eastAsia="宋体"/>
                      <w:color w:val="auto"/>
                      <w:spacing w:val="6"/>
                      <w:position w:val="1"/>
                      <w:sz w:val="21"/>
                      <w:highlight w:val="none"/>
                    </w:rPr>
                    <w:t>造</w:t>
                  </w:r>
                  <w:r>
                    <w:rPr>
                      <w:rFonts w:ascii="Times New Roman" w:hAnsi="Times New Roman" w:eastAsia="宋体" w:cs="Times New Roman"/>
                      <w:color w:val="auto"/>
                      <w:spacing w:val="6"/>
                      <w:position w:val="1"/>
                      <w:sz w:val="21"/>
                      <w:highlight w:val="none"/>
                    </w:rPr>
                    <w:t>361</w:t>
                  </w:r>
                  <w:r>
                    <w:rPr>
                      <w:rFonts w:ascii="Times New Roman" w:hAnsi="Times New Roman" w:eastAsia="宋体"/>
                      <w:color w:val="auto"/>
                      <w:spacing w:val="6"/>
                      <w:position w:val="1"/>
                      <w:sz w:val="21"/>
                      <w:highlight w:val="none"/>
                    </w:rPr>
                    <w:t>，除重点管理以外的年使</w:t>
                  </w:r>
                  <w:r>
                    <w:rPr>
                      <w:rFonts w:ascii="Times New Roman" w:hAnsi="Times New Roman" w:eastAsia="宋体"/>
                      <w:color w:val="auto"/>
                      <w:spacing w:val="8"/>
                      <w:position w:val="1"/>
                      <w:sz w:val="21"/>
                      <w:highlight w:val="none"/>
                    </w:rPr>
                    <w:t>用</w:t>
                  </w:r>
                  <w:r>
                    <w:rPr>
                      <w:rFonts w:ascii="Times New Roman" w:hAnsi="Times New Roman" w:eastAsia="宋体" w:cs="Times New Roman"/>
                      <w:color w:val="auto"/>
                      <w:spacing w:val="8"/>
                      <w:position w:val="1"/>
                      <w:sz w:val="21"/>
                      <w:highlight w:val="none"/>
                    </w:rPr>
                    <w:t>10</w:t>
                  </w:r>
                  <w:r>
                    <w:rPr>
                      <w:rFonts w:ascii="Times New Roman" w:hAnsi="Times New Roman" w:eastAsia="宋体"/>
                      <w:color w:val="auto"/>
                      <w:spacing w:val="8"/>
                      <w:position w:val="1"/>
                      <w:sz w:val="21"/>
                      <w:highlight w:val="none"/>
                    </w:rPr>
                    <w:t>吨及以上溶剂型涂料或者</w:t>
                  </w:r>
                  <w:r>
                    <w:rPr>
                      <w:rFonts w:ascii="Times New Roman" w:hAnsi="Times New Roman" w:eastAsia="宋体"/>
                      <w:color w:val="auto"/>
                      <w:spacing w:val="7"/>
                      <w:sz w:val="21"/>
                      <w:highlight w:val="none"/>
                    </w:rPr>
                    <w:t>胶黏剂（含稀释剂、固化剂、清</w:t>
                  </w:r>
                  <w:r>
                    <w:rPr>
                      <w:rFonts w:ascii="Times New Roman" w:hAnsi="Times New Roman" w:eastAsia="宋体"/>
                      <w:color w:val="auto"/>
                      <w:spacing w:val="9"/>
                      <w:sz w:val="21"/>
                      <w:highlight w:val="none"/>
                    </w:rPr>
                    <w:t>洗溶剂）的汽车用发动机制造</w:t>
                  </w:r>
                  <w:r>
                    <w:rPr>
                      <w:rFonts w:ascii="Times New Roman" w:hAnsi="Times New Roman" w:eastAsia="宋体" w:cs="Times New Roman"/>
                      <w:color w:val="auto"/>
                      <w:spacing w:val="3"/>
                      <w:position w:val="1"/>
                      <w:sz w:val="21"/>
                      <w:highlight w:val="none"/>
                    </w:rPr>
                    <w:t>362</w:t>
                  </w:r>
                  <w:r>
                    <w:rPr>
                      <w:rFonts w:ascii="Times New Roman" w:hAnsi="Times New Roman" w:eastAsia="宋体"/>
                      <w:color w:val="auto"/>
                      <w:spacing w:val="3"/>
                      <w:position w:val="1"/>
                      <w:sz w:val="21"/>
                      <w:highlight w:val="none"/>
                    </w:rPr>
                    <w:t>、改装汽车制造</w:t>
                  </w:r>
                  <w:r>
                    <w:rPr>
                      <w:rFonts w:ascii="Times New Roman" w:hAnsi="Times New Roman" w:eastAsia="宋体" w:cs="Times New Roman"/>
                      <w:color w:val="auto"/>
                      <w:spacing w:val="3"/>
                      <w:position w:val="1"/>
                      <w:sz w:val="21"/>
                      <w:highlight w:val="none"/>
                    </w:rPr>
                    <w:t>363</w:t>
                  </w:r>
                  <w:r>
                    <w:rPr>
                      <w:rFonts w:ascii="Times New Roman" w:hAnsi="Times New Roman" w:eastAsia="宋体"/>
                      <w:color w:val="auto"/>
                      <w:spacing w:val="3"/>
                      <w:position w:val="1"/>
                      <w:sz w:val="21"/>
                      <w:highlight w:val="none"/>
                    </w:rPr>
                    <w:t>、低速汽车制造</w:t>
                  </w:r>
                  <w:r>
                    <w:rPr>
                      <w:rFonts w:ascii="Times New Roman" w:hAnsi="Times New Roman" w:eastAsia="宋体" w:cs="Times New Roman"/>
                      <w:color w:val="auto"/>
                      <w:spacing w:val="3"/>
                      <w:position w:val="1"/>
                      <w:sz w:val="21"/>
                      <w:highlight w:val="none"/>
                    </w:rPr>
                    <w:t>364</w:t>
                  </w:r>
                  <w:r>
                    <w:rPr>
                      <w:rFonts w:ascii="Times New Roman" w:hAnsi="Times New Roman" w:eastAsia="宋体"/>
                      <w:color w:val="auto"/>
                      <w:spacing w:val="3"/>
                      <w:position w:val="1"/>
                      <w:sz w:val="21"/>
                      <w:highlight w:val="none"/>
                    </w:rPr>
                    <w:t>、电车制造</w:t>
                  </w:r>
                  <w:r>
                    <w:rPr>
                      <w:rFonts w:ascii="Times New Roman" w:hAnsi="Times New Roman" w:eastAsia="宋体" w:cs="Times New Roman"/>
                      <w:color w:val="auto"/>
                      <w:spacing w:val="3"/>
                      <w:position w:val="1"/>
                      <w:sz w:val="21"/>
                      <w:highlight w:val="none"/>
                    </w:rPr>
                    <w:t>365</w:t>
                  </w:r>
                  <w:r>
                    <w:rPr>
                      <w:rFonts w:ascii="Times New Roman" w:hAnsi="Times New Roman" w:eastAsia="宋体"/>
                      <w:color w:val="auto"/>
                      <w:spacing w:val="3"/>
                      <w:position w:val="1"/>
                      <w:sz w:val="21"/>
                      <w:highlight w:val="none"/>
                    </w:rPr>
                    <w:t>、汽车</w:t>
                  </w:r>
                  <w:r>
                    <w:rPr>
                      <w:rFonts w:ascii="Times New Roman" w:hAnsi="Times New Roman" w:eastAsia="宋体"/>
                      <w:color w:val="auto"/>
                      <w:spacing w:val="6"/>
                      <w:position w:val="1"/>
                      <w:sz w:val="21"/>
                      <w:highlight w:val="none"/>
                    </w:rPr>
                    <w:t>车身、挂车制造</w:t>
                  </w:r>
                  <w:r>
                    <w:rPr>
                      <w:rFonts w:ascii="Times New Roman" w:hAnsi="Times New Roman" w:eastAsia="宋体" w:cs="Times New Roman"/>
                      <w:color w:val="auto"/>
                      <w:spacing w:val="6"/>
                      <w:position w:val="1"/>
                      <w:sz w:val="21"/>
                      <w:highlight w:val="none"/>
                    </w:rPr>
                    <w:t>366</w:t>
                  </w:r>
                  <w:r>
                    <w:rPr>
                      <w:rFonts w:ascii="Times New Roman" w:hAnsi="Times New Roman" w:eastAsia="宋体"/>
                      <w:color w:val="auto"/>
                      <w:spacing w:val="6"/>
                      <w:position w:val="1"/>
                      <w:sz w:val="21"/>
                      <w:highlight w:val="none"/>
                    </w:rPr>
                    <w:t>、汽车零部</w:t>
                  </w:r>
                  <w:r>
                    <w:rPr>
                      <w:rFonts w:ascii="Times New Roman" w:hAnsi="Times New Roman" w:eastAsia="宋体"/>
                      <w:color w:val="auto"/>
                      <w:spacing w:val="7"/>
                      <w:position w:val="1"/>
                      <w:sz w:val="21"/>
                      <w:highlight w:val="none"/>
                    </w:rPr>
                    <w:t>件及配件制造</w:t>
                  </w:r>
                  <w:r>
                    <w:rPr>
                      <w:rFonts w:ascii="Times New Roman" w:hAnsi="Times New Roman" w:eastAsia="宋体" w:cs="Times New Roman"/>
                      <w:color w:val="auto"/>
                      <w:spacing w:val="7"/>
                      <w:position w:val="1"/>
                      <w:sz w:val="21"/>
                      <w:highlight w:val="none"/>
                    </w:rPr>
                    <w:t>367</w:t>
                  </w:r>
                </w:p>
              </w:tc>
              <w:tc>
                <w:tcPr>
                  <w:tcW w:w="521" w:type="pct"/>
                  <w:tcBorders>
                    <w:tl2br w:val="nil"/>
                    <w:tr2bl w:val="nil"/>
                  </w:tcBorders>
                  <w:shd w:val="clear" w:color="auto" w:fill="D7D7D7" w:themeFill="background1" w:themeFillShade="D8"/>
                  <w:vAlign w:val="center"/>
                </w:tcPr>
                <w:p w14:paraId="534A0702">
                  <w:pPr>
                    <w:pStyle w:val="11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olor w:val="auto"/>
                      <w:sz w:val="21"/>
                      <w:highlight w:val="none"/>
                    </w:rPr>
                  </w:pPr>
                  <w:r>
                    <w:rPr>
                      <w:rFonts w:ascii="Times New Roman" w:hAnsi="Times New Roman" w:eastAsia="宋体"/>
                      <w:color w:val="auto"/>
                      <w:spacing w:val="4"/>
                      <w:sz w:val="21"/>
                      <w:highlight w:val="none"/>
                    </w:rPr>
                    <w:t>其他</w:t>
                  </w:r>
                </w:p>
              </w:tc>
            </w:tr>
          </w:tbl>
          <w:p w14:paraId="7B880D68">
            <w:pPr>
              <w:rPr>
                <w:rFonts w:hint="default"/>
                <w:color w:val="auto"/>
                <w:highlight w:val="none"/>
                <w:lang w:val="en-US" w:eastAsia="zh-CN"/>
              </w:rPr>
            </w:pPr>
          </w:p>
          <w:p w14:paraId="0BD31808">
            <w:pPr>
              <w:pStyle w:val="3"/>
              <w:numPr>
                <w:ilvl w:val="1"/>
                <w:numId w:val="1"/>
              </w:numPr>
              <w:bidi w:val="0"/>
              <w:ind w:left="0"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排污口规范化管理</w:t>
            </w:r>
          </w:p>
          <w:p w14:paraId="2C38419C">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污口规范化是实施污染物总量控制管理的基础工作，也是总量控制不可缺少的一项内容，排污口规范化对于污染源管理，现场监督检查，促进厂家企业强化环保管理，促进污染治理，实现科学化、定量化都有极大的现实意义。</w:t>
            </w:r>
          </w:p>
          <w:p w14:paraId="7727A9D2">
            <w:pPr>
              <w:spacing w:line="360" w:lineRule="auto"/>
              <w:ind w:firstLine="48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项目需规范的排污口主要有</w:t>
            </w:r>
            <w:r>
              <w:rPr>
                <w:rFonts w:hint="eastAsia"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rPr>
              <w:t>排放口、废气排气筒、固废临时堆放点</w:t>
            </w:r>
            <w:r>
              <w:rPr>
                <w:rFonts w:hint="eastAsia"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w:t>
            </w:r>
          </w:p>
          <w:p w14:paraId="1744752B">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rPr>
              <w:t>排放口：本项目</w:t>
            </w:r>
            <w:r>
              <w:rPr>
                <w:rFonts w:hint="eastAsia" w:cs="Times New Roman"/>
                <w:color w:val="auto"/>
                <w:sz w:val="24"/>
                <w:szCs w:val="24"/>
                <w:highlight w:val="none"/>
                <w:lang w:val="en-US" w:eastAsia="zh-CN"/>
              </w:rPr>
              <w:t>生活污水经化粪池处理后进入福清市第二污水处理厂</w:t>
            </w:r>
            <w:r>
              <w:rPr>
                <w:rFonts w:hint="eastAsia" w:ascii="Times New Roman" w:hAnsi="Times New Roman" w:eastAsia="宋体" w:cs="Times New Roman"/>
                <w:color w:val="auto"/>
                <w:sz w:val="24"/>
                <w:szCs w:val="24"/>
                <w:highlight w:val="none"/>
                <w:lang w:val="en-US" w:eastAsia="zh-CN"/>
              </w:rPr>
              <w:t>集中处理</w:t>
            </w:r>
            <w:r>
              <w:rPr>
                <w:rFonts w:hint="default" w:ascii="Times New Roman" w:hAnsi="Times New Roman" w:eastAsia="宋体" w:cs="Times New Roman"/>
                <w:color w:val="auto"/>
                <w:sz w:val="24"/>
                <w:szCs w:val="24"/>
                <w:highlight w:val="none"/>
              </w:rPr>
              <w:t>。排污口设置符合对排污口的规范化的要求。具体有以下要求的内容：</w:t>
            </w:r>
          </w:p>
          <w:p w14:paraId="62815714">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A</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按《污水综合排放标准》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GB8978—1996</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和《污水监测技术规范》（HJ 91.1-2019）的规定，在排污单位的排放口设置采样点。</w:t>
            </w:r>
          </w:p>
          <w:p w14:paraId="3029C448">
            <w:pPr>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应尽量安装污水流量计，堰槽式测流装置满足《</w:t>
            </w:r>
            <w:r>
              <w:rPr>
                <w:rFonts w:hint="eastAsia" w:cs="Times New Roman"/>
                <w:color w:val="auto"/>
                <w:sz w:val="24"/>
                <w:szCs w:val="24"/>
                <w:highlight w:val="none"/>
                <w:lang w:eastAsia="zh-CN"/>
              </w:rPr>
              <w:t>明渠堰槽流量计（试行）检定规程</w:t>
            </w:r>
            <w:r>
              <w:rPr>
                <w:rFonts w:hint="default" w:ascii="Times New Roman" w:hAnsi="Times New Roman" w:eastAsia="宋体" w:cs="Times New Roman"/>
                <w:color w:val="auto"/>
                <w:sz w:val="24"/>
                <w:szCs w:val="24"/>
                <w:highlight w:val="none"/>
                <w:lang w:eastAsia="zh-CN"/>
              </w:rPr>
              <w:t>》（JJG711-90）标准要求。</w:t>
            </w:r>
          </w:p>
          <w:p w14:paraId="650B5532">
            <w:pPr>
              <w:spacing w:line="360" w:lineRule="auto"/>
              <w:ind w:firstLine="48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废水排放口环境保护图形标志牌设在排放口附近醒目处。</w:t>
            </w:r>
          </w:p>
          <w:p w14:paraId="39C91642">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（2）废气排放口：各烟囱或烟道应设置永久采样孔，并安装采样监测平台，废气采样口设置必须符合《</w:t>
            </w:r>
            <w:r>
              <w:rPr>
                <w:rFonts w:hint="eastAsia" w:ascii="Times New Roman" w:hAnsi="Times New Roman"/>
                <w:color w:val="auto"/>
                <w:sz w:val="24"/>
                <w:szCs w:val="24"/>
                <w:highlight w:val="none"/>
              </w:rPr>
              <w:t>固定源废气监测技术规范</w:t>
            </w:r>
            <w:r>
              <w:rPr>
                <w:rFonts w:hint="default" w:ascii="Times New Roman" w:hAnsi="Times New Roman" w:eastAsia="宋体" w:cs="Times New Roman"/>
                <w:color w:val="auto"/>
                <w:sz w:val="24"/>
                <w:szCs w:val="24"/>
                <w:highlight w:val="none"/>
              </w:rPr>
              <w:t>》</w:t>
            </w:r>
            <w:r>
              <w:rPr>
                <w:rFonts w:hint="eastAsia" w:ascii="Times New Roman" w:hAnsi="Times New Roman"/>
                <w:color w:val="auto"/>
                <w:sz w:val="24"/>
                <w:szCs w:val="24"/>
                <w:highlight w:val="none"/>
                <w:lang w:eastAsia="zh-CN"/>
              </w:rPr>
              <w:t>（</w:t>
            </w:r>
            <w:r>
              <w:rPr>
                <w:rFonts w:hint="eastAsia"/>
                <w:color w:val="auto"/>
                <w:sz w:val="24"/>
                <w:szCs w:val="24"/>
                <w:highlight w:val="none"/>
                <w:lang w:eastAsia="zh-CN"/>
              </w:rPr>
              <w:t>HJ/T 397-2007</w:t>
            </w:r>
            <w:r>
              <w:rPr>
                <w:rFonts w:hint="eastAsia" w:ascii="Times New Roman" w:hAnsi="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规定的高度和要求，便于采样、监测的要求，并得到授权的环境监察支队和环境监测中心站共同确认。具体有以下要求的内容：</w:t>
            </w:r>
          </w:p>
          <w:p w14:paraId="4AD6F1AB">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采样口位置原则上应避开烟道弯头和断面急剧变化的部位。对颗粒物采集或连续测定，应设置在距弯头、阀门、变径管下游方向不小于</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倍直径，和距上述部件上游方向不小于</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倍直径处；对气态污染物采集或连续测定，应设置在距弯头、阀门、变径管道下游方向不小于2倍直径处，和距上述部件上游方向不小于</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倍直径处。</w:t>
            </w:r>
          </w:p>
          <w:p w14:paraId="00A3D78F">
            <w:pPr>
              <w:spacing w:line="360" w:lineRule="auto"/>
              <w:ind w:firstLine="48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采样口径一般不少于</w:t>
            </w:r>
            <w:r>
              <w:rPr>
                <w:rFonts w:hint="eastAsia"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毫米。当采取有毒或变温气体且采样点烟道处于正压状态时，应加设防喷装置。烟气排放连续监测系统的采样口径应按产品说明书要求确定</w:t>
            </w:r>
            <w:r>
              <w:rPr>
                <w:rFonts w:hint="eastAsia" w:ascii="Times New Roman" w:hAnsi="Times New Roman" w:eastAsia="宋体" w:cs="Times New Roman"/>
                <w:color w:val="auto"/>
                <w:sz w:val="24"/>
                <w:szCs w:val="24"/>
                <w:highlight w:val="none"/>
                <w:lang w:eastAsia="zh-CN"/>
              </w:rPr>
              <w:t>。</w:t>
            </w:r>
          </w:p>
          <w:p w14:paraId="0C64F462">
            <w:pPr>
              <w:spacing w:line="360" w:lineRule="auto"/>
              <w:ind w:firstLine="48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C</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废气排放口的环境保护图形标志牌应设在排气筒附近地面醒目处</w:t>
            </w:r>
            <w:r>
              <w:rPr>
                <w:rFonts w:hint="eastAsia" w:ascii="Times New Roman" w:hAnsi="Times New Roman" w:eastAsia="宋体" w:cs="Times New Roman"/>
                <w:color w:val="auto"/>
                <w:sz w:val="24"/>
                <w:szCs w:val="24"/>
                <w:highlight w:val="none"/>
                <w:lang w:eastAsia="zh-CN"/>
              </w:rPr>
              <w:t>。</w:t>
            </w:r>
          </w:p>
          <w:p w14:paraId="4F7685B6">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（3）固定噪声排放源</w:t>
            </w:r>
          </w:p>
          <w:p w14:paraId="0823A0E5">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按规定对固定噪声进行治理，并在边界噪声敏感点</w:t>
            </w:r>
            <w:r>
              <w:rPr>
                <w:rFonts w:hint="eastAsia" w:cs="Times New Roman"/>
                <w:color w:val="auto"/>
                <w:sz w:val="24"/>
                <w:szCs w:val="24"/>
                <w:highlight w:val="none"/>
                <w:lang w:eastAsia="zh-CN"/>
              </w:rPr>
              <w:t>且</w:t>
            </w:r>
            <w:r>
              <w:rPr>
                <w:rFonts w:hint="default" w:ascii="Times New Roman" w:hAnsi="Times New Roman" w:eastAsia="宋体" w:cs="Times New Roman"/>
                <w:color w:val="auto"/>
                <w:sz w:val="24"/>
                <w:szCs w:val="24"/>
                <w:highlight w:val="none"/>
              </w:rPr>
              <w:t>对外界影响最大处设置标志牌。</w:t>
            </w:r>
          </w:p>
          <w:p w14:paraId="2D3C32D2">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（4）固体废物贮存处置</w:t>
            </w:r>
          </w:p>
          <w:p w14:paraId="57A4C543">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对各种固体废物应分类收集，设置暂存点应有防扬尘、防流失、防渗漏等措施。</w:t>
            </w:r>
          </w:p>
          <w:p w14:paraId="66157F2C">
            <w:pPr>
              <w:pStyle w:val="44"/>
              <w:keepNext/>
              <w:keepLines/>
              <w:pageBreakBefore w:val="0"/>
              <w:widowControl w:val="0"/>
              <w:numPr>
                <w:ilvl w:val="7"/>
                <w:numId w:val="11"/>
              </w:numPr>
              <w:tabs>
                <w:tab w:val="left" w:pos="0"/>
              </w:tabs>
              <w:kinsoku/>
              <w:wordWrap/>
              <w:overflowPunct/>
              <w:topLinePunct w:val="0"/>
              <w:autoSpaceDE/>
              <w:autoSpaceDN/>
              <w:bidi w:val="0"/>
              <w:adjustRightInd/>
              <w:snapToGrid/>
              <w:spacing w:before="0" w:after="0"/>
              <w:ind w:left="630" w:leftChars="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排放口图形标志</w:t>
            </w:r>
          </w:p>
          <w:tbl>
            <w:tblPr>
              <w:tblStyle w:val="34"/>
              <w:tblW w:w="86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97"/>
              <w:gridCol w:w="1540"/>
              <w:gridCol w:w="1364"/>
              <w:gridCol w:w="1473"/>
              <w:gridCol w:w="1969"/>
            </w:tblGrid>
            <w:tr w14:paraId="05C0F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4" w:type="dxa"/>
                  <w:tcBorders>
                    <w:bottom w:val="single" w:color="auto" w:sz="12" w:space="0"/>
                  </w:tcBorders>
                  <w:noWrap w:val="0"/>
                  <w:tcMar>
                    <w:left w:w="28" w:type="dxa"/>
                    <w:right w:w="28" w:type="dxa"/>
                  </w:tcMar>
                  <w:vAlign w:val="center"/>
                </w:tcPr>
                <w:p w14:paraId="7CC27436">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名称</w:t>
                  </w:r>
                </w:p>
              </w:tc>
              <w:tc>
                <w:tcPr>
                  <w:tcW w:w="1497" w:type="dxa"/>
                  <w:tcBorders>
                    <w:bottom w:val="single" w:color="auto" w:sz="12" w:space="0"/>
                  </w:tcBorders>
                  <w:noWrap w:val="0"/>
                  <w:tcMar>
                    <w:left w:w="28" w:type="dxa"/>
                    <w:right w:w="28" w:type="dxa"/>
                  </w:tcMar>
                  <w:vAlign w:val="center"/>
                </w:tcPr>
                <w:p w14:paraId="78DBC3A0">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废气排放口</w:t>
                  </w:r>
                </w:p>
              </w:tc>
              <w:tc>
                <w:tcPr>
                  <w:tcW w:w="1540" w:type="dxa"/>
                  <w:tcBorders>
                    <w:bottom w:val="single" w:color="auto" w:sz="12" w:space="0"/>
                  </w:tcBorders>
                  <w:noWrap w:val="0"/>
                  <w:tcMar>
                    <w:left w:w="28" w:type="dxa"/>
                    <w:right w:w="28" w:type="dxa"/>
                  </w:tcMar>
                  <w:vAlign w:val="center"/>
                </w:tcPr>
                <w:p w14:paraId="591C633C">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噪声排放源</w:t>
                  </w:r>
                </w:p>
              </w:tc>
              <w:tc>
                <w:tcPr>
                  <w:tcW w:w="1364" w:type="dxa"/>
                  <w:tcBorders>
                    <w:bottom w:val="single" w:color="auto" w:sz="12" w:space="0"/>
                  </w:tcBorders>
                  <w:noWrap w:val="0"/>
                  <w:tcMar>
                    <w:left w:w="28" w:type="dxa"/>
                    <w:right w:w="28" w:type="dxa"/>
                  </w:tcMar>
                  <w:vAlign w:val="center"/>
                </w:tcPr>
                <w:p w14:paraId="451494BE">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一般固体废物</w:t>
                  </w:r>
                </w:p>
              </w:tc>
              <w:tc>
                <w:tcPr>
                  <w:tcW w:w="1473" w:type="dxa"/>
                  <w:tcBorders>
                    <w:bottom w:val="single" w:color="auto" w:sz="12" w:space="0"/>
                  </w:tcBorders>
                  <w:noWrap w:val="0"/>
                  <w:tcMar>
                    <w:left w:w="28" w:type="dxa"/>
                    <w:right w:w="28" w:type="dxa"/>
                  </w:tcMar>
                  <w:vAlign w:val="center"/>
                </w:tcPr>
                <w:p w14:paraId="6F5487CF">
                  <w:pPr>
                    <w:spacing w:line="240" w:lineRule="auto"/>
                    <w:ind w:firstLine="0" w:firstLineChars="0"/>
                    <w:jc w:val="center"/>
                    <w:rPr>
                      <w:rFonts w:hint="default" w:ascii="Times New Roman" w:hAnsi="Times New Roman" w:eastAsia="宋体"/>
                      <w:b/>
                      <w:bCs/>
                      <w:iCs/>
                      <w:color w:val="auto"/>
                      <w:sz w:val="21"/>
                      <w:szCs w:val="21"/>
                      <w:highlight w:val="none"/>
                      <w:lang w:val="en-US" w:eastAsia="zh-CN"/>
                    </w:rPr>
                  </w:pPr>
                  <w:r>
                    <w:rPr>
                      <w:rFonts w:hint="eastAsia"/>
                      <w:b/>
                      <w:bCs/>
                      <w:iCs/>
                      <w:color w:val="auto"/>
                      <w:sz w:val="21"/>
                      <w:szCs w:val="21"/>
                      <w:highlight w:val="none"/>
                      <w:lang w:val="en-US" w:eastAsia="zh-CN"/>
                    </w:rPr>
                    <w:t>废水排放口</w:t>
                  </w:r>
                </w:p>
              </w:tc>
              <w:tc>
                <w:tcPr>
                  <w:tcW w:w="1969" w:type="dxa"/>
                  <w:tcBorders>
                    <w:bottom w:val="single" w:color="auto" w:sz="12" w:space="0"/>
                  </w:tcBorders>
                  <w:noWrap w:val="0"/>
                  <w:tcMar>
                    <w:left w:w="28" w:type="dxa"/>
                    <w:right w:w="28" w:type="dxa"/>
                  </w:tcMar>
                  <w:vAlign w:val="center"/>
                </w:tcPr>
                <w:p w14:paraId="111FA5A9">
                  <w:pPr>
                    <w:spacing w:line="240" w:lineRule="auto"/>
                    <w:ind w:firstLine="0" w:firstLineChars="0"/>
                    <w:jc w:val="center"/>
                    <w:rPr>
                      <w:rFonts w:ascii="Times New Roman" w:hAnsi="Times New Roman"/>
                      <w:b/>
                      <w:bCs/>
                      <w:iCs/>
                      <w:color w:val="auto"/>
                      <w:sz w:val="21"/>
                      <w:szCs w:val="21"/>
                      <w:highlight w:val="none"/>
                    </w:rPr>
                  </w:pPr>
                  <w:r>
                    <w:rPr>
                      <w:rFonts w:ascii="Times New Roman" w:hAnsi="Times New Roman"/>
                      <w:b/>
                      <w:bCs/>
                      <w:iCs/>
                      <w:color w:val="auto"/>
                      <w:sz w:val="21"/>
                      <w:szCs w:val="21"/>
                      <w:highlight w:val="none"/>
                    </w:rPr>
                    <w:t>危险废物</w:t>
                  </w:r>
                </w:p>
              </w:tc>
            </w:tr>
            <w:tr w14:paraId="4CCBC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804" w:type="dxa"/>
                  <w:tcBorders>
                    <w:top w:val="single" w:color="auto" w:sz="12" w:space="0"/>
                    <w:tl2br w:val="nil"/>
                    <w:tr2bl w:val="nil"/>
                  </w:tcBorders>
                  <w:noWrap w:val="0"/>
                  <w:tcMar>
                    <w:left w:w="28" w:type="dxa"/>
                    <w:right w:w="28" w:type="dxa"/>
                  </w:tcMar>
                  <w:vAlign w:val="center"/>
                </w:tcPr>
                <w:p w14:paraId="6828F272">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提示图形符号</w:t>
                  </w:r>
                </w:p>
              </w:tc>
              <w:tc>
                <w:tcPr>
                  <w:tcW w:w="1497" w:type="dxa"/>
                  <w:tcBorders>
                    <w:top w:val="single" w:color="auto" w:sz="12" w:space="0"/>
                    <w:tl2br w:val="nil"/>
                    <w:tr2bl w:val="nil"/>
                  </w:tcBorders>
                  <w:noWrap w:val="0"/>
                  <w:tcMar>
                    <w:left w:w="28" w:type="dxa"/>
                    <w:right w:w="28" w:type="dxa"/>
                  </w:tcMar>
                  <w:vAlign w:val="center"/>
                </w:tcPr>
                <w:p w14:paraId="43BC00B6">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color w:val="auto"/>
                      <w:sz w:val="21"/>
                      <w:szCs w:val="21"/>
                      <w:highlight w:val="none"/>
                    </w:rPr>
                    <w:drawing>
                      <wp:inline distT="0" distB="0" distL="114300" distR="114300">
                        <wp:extent cx="828040" cy="685165"/>
                        <wp:effectExtent l="0" t="0" r="10160" b="635"/>
                        <wp:docPr id="127" name="图片 25" descr="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5" descr="废气排放口1"/>
                                <pic:cNvPicPr>
                                  <a:picLocks noChangeAspect="1"/>
                                </pic:cNvPicPr>
                              </pic:nvPicPr>
                              <pic:blipFill>
                                <a:blip r:embed="rId34"/>
                                <a:stretch>
                                  <a:fillRect/>
                                </a:stretch>
                              </pic:blipFill>
                              <pic:spPr>
                                <a:xfrm>
                                  <a:off x="0" y="0"/>
                                  <a:ext cx="828040" cy="685165"/>
                                </a:xfrm>
                                <a:prstGeom prst="rect">
                                  <a:avLst/>
                                </a:prstGeom>
                                <a:noFill/>
                                <a:ln>
                                  <a:noFill/>
                                </a:ln>
                              </pic:spPr>
                            </pic:pic>
                          </a:graphicData>
                        </a:graphic>
                      </wp:inline>
                    </w:drawing>
                  </w:r>
                </w:p>
              </w:tc>
              <w:tc>
                <w:tcPr>
                  <w:tcW w:w="1540" w:type="dxa"/>
                  <w:tcBorders>
                    <w:top w:val="single" w:color="auto" w:sz="12" w:space="0"/>
                    <w:tl2br w:val="nil"/>
                    <w:tr2bl w:val="nil"/>
                  </w:tcBorders>
                  <w:noWrap w:val="0"/>
                  <w:tcMar>
                    <w:left w:w="28" w:type="dxa"/>
                    <w:right w:w="28" w:type="dxa"/>
                  </w:tcMar>
                  <w:vAlign w:val="center"/>
                </w:tcPr>
                <w:p w14:paraId="026CA6EF">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color w:val="auto"/>
                      <w:sz w:val="21"/>
                      <w:szCs w:val="21"/>
                      <w:highlight w:val="none"/>
                    </w:rPr>
                    <w:drawing>
                      <wp:inline distT="0" distB="0" distL="114300" distR="114300">
                        <wp:extent cx="781685" cy="694690"/>
                        <wp:effectExtent l="0" t="0" r="18415" b="10160"/>
                        <wp:docPr id="41" name="图片 26" descr="噪声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噪声排放口1"/>
                                <pic:cNvPicPr>
                                  <a:picLocks noChangeAspect="1"/>
                                </pic:cNvPicPr>
                              </pic:nvPicPr>
                              <pic:blipFill>
                                <a:blip r:embed="rId35"/>
                                <a:stretch>
                                  <a:fillRect/>
                                </a:stretch>
                              </pic:blipFill>
                              <pic:spPr>
                                <a:xfrm>
                                  <a:off x="0" y="0"/>
                                  <a:ext cx="781685" cy="694690"/>
                                </a:xfrm>
                                <a:prstGeom prst="rect">
                                  <a:avLst/>
                                </a:prstGeom>
                                <a:noFill/>
                                <a:ln>
                                  <a:noFill/>
                                </a:ln>
                              </pic:spPr>
                            </pic:pic>
                          </a:graphicData>
                        </a:graphic>
                      </wp:inline>
                    </w:drawing>
                  </w:r>
                </w:p>
              </w:tc>
              <w:tc>
                <w:tcPr>
                  <w:tcW w:w="1364" w:type="dxa"/>
                  <w:tcBorders>
                    <w:top w:val="single" w:color="auto" w:sz="12" w:space="0"/>
                    <w:tl2br w:val="nil"/>
                    <w:tr2bl w:val="nil"/>
                  </w:tcBorders>
                  <w:noWrap w:val="0"/>
                  <w:tcMar>
                    <w:left w:w="28" w:type="dxa"/>
                    <w:right w:w="28" w:type="dxa"/>
                  </w:tcMar>
                  <w:vAlign w:val="center"/>
                </w:tcPr>
                <w:p w14:paraId="4A3C1F6C">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color w:val="auto"/>
                      <w:sz w:val="21"/>
                      <w:szCs w:val="21"/>
                      <w:highlight w:val="none"/>
                    </w:rPr>
                    <w:drawing>
                      <wp:inline distT="0" distB="0" distL="114300" distR="114300">
                        <wp:extent cx="805180" cy="744855"/>
                        <wp:effectExtent l="0" t="0" r="13970" b="17145"/>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pic:cNvPicPr>
                              </pic:nvPicPr>
                              <pic:blipFill>
                                <a:blip r:embed="rId36"/>
                                <a:stretch>
                                  <a:fillRect/>
                                </a:stretch>
                              </pic:blipFill>
                              <pic:spPr>
                                <a:xfrm>
                                  <a:off x="0" y="0"/>
                                  <a:ext cx="805180" cy="744855"/>
                                </a:xfrm>
                                <a:prstGeom prst="rect">
                                  <a:avLst/>
                                </a:prstGeom>
                                <a:noFill/>
                                <a:ln>
                                  <a:noFill/>
                                </a:ln>
                              </pic:spPr>
                            </pic:pic>
                          </a:graphicData>
                        </a:graphic>
                      </wp:inline>
                    </w:drawing>
                  </w:r>
                </w:p>
              </w:tc>
              <w:tc>
                <w:tcPr>
                  <w:tcW w:w="1473" w:type="dxa"/>
                  <w:tcBorders>
                    <w:top w:val="single" w:color="auto" w:sz="12" w:space="0"/>
                    <w:tl2br w:val="nil"/>
                    <w:tr2bl w:val="nil"/>
                  </w:tcBorders>
                  <w:noWrap w:val="0"/>
                  <w:tcMar>
                    <w:left w:w="28" w:type="dxa"/>
                    <w:right w:w="28" w:type="dxa"/>
                  </w:tcMar>
                  <w:vAlign w:val="center"/>
                </w:tcPr>
                <w:p w14:paraId="15D7B5F1">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position w:val="-25"/>
                      <w:highlight w:val="none"/>
                    </w:rPr>
                    <w:drawing>
                      <wp:inline distT="0" distB="0" distL="114300" distR="114300">
                        <wp:extent cx="749935" cy="699135"/>
                        <wp:effectExtent l="0" t="0" r="12065" b="5715"/>
                        <wp:docPr id="105" name="图片 31"/>
                        <wp:cNvGraphicFramePr/>
                        <a:graphic xmlns:a="http://schemas.openxmlformats.org/drawingml/2006/main">
                          <a:graphicData uri="http://schemas.openxmlformats.org/drawingml/2006/picture">
                            <pic:pic xmlns:pic="http://schemas.openxmlformats.org/drawingml/2006/picture">
                              <pic:nvPicPr>
                                <pic:cNvPr id="105" name="图片 31"/>
                                <pic:cNvPicPr/>
                              </pic:nvPicPr>
                              <pic:blipFill>
                                <a:blip r:embed="rId37"/>
                                <a:stretch>
                                  <a:fillRect/>
                                </a:stretch>
                              </pic:blipFill>
                              <pic:spPr>
                                <a:xfrm>
                                  <a:off x="0" y="0"/>
                                  <a:ext cx="749935" cy="699135"/>
                                </a:xfrm>
                                <a:prstGeom prst="rect">
                                  <a:avLst/>
                                </a:prstGeom>
                                <a:noFill/>
                                <a:ln>
                                  <a:noFill/>
                                </a:ln>
                              </pic:spPr>
                            </pic:pic>
                          </a:graphicData>
                        </a:graphic>
                      </wp:inline>
                    </w:drawing>
                  </w:r>
                </w:p>
              </w:tc>
              <w:tc>
                <w:tcPr>
                  <w:tcW w:w="1969" w:type="dxa"/>
                  <w:tcBorders>
                    <w:top w:val="single" w:color="auto" w:sz="12" w:space="0"/>
                    <w:tl2br w:val="nil"/>
                    <w:tr2bl w:val="nil"/>
                  </w:tcBorders>
                  <w:noWrap w:val="0"/>
                  <w:tcMar>
                    <w:left w:w="28" w:type="dxa"/>
                    <w:right w:w="28" w:type="dxa"/>
                  </w:tcMar>
                  <w:vAlign w:val="center"/>
                </w:tcPr>
                <w:p w14:paraId="2D274E2C">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color w:val="auto"/>
                      <w:highlight w:val="none"/>
                    </w:rPr>
                    <w:drawing>
                      <wp:inline distT="0" distB="0" distL="114300" distR="114300">
                        <wp:extent cx="1051560" cy="667385"/>
                        <wp:effectExtent l="0" t="0" r="15240" b="18415"/>
                        <wp:docPr id="1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8"/>
                                <pic:cNvPicPr>
                                  <a:picLocks noChangeAspect="1"/>
                                </pic:cNvPicPr>
                              </pic:nvPicPr>
                              <pic:blipFill>
                                <a:blip r:embed="rId38"/>
                                <a:stretch>
                                  <a:fillRect/>
                                </a:stretch>
                              </pic:blipFill>
                              <pic:spPr>
                                <a:xfrm>
                                  <a:off x="0" y="0"/>
                                  <a:ext cx="1051560" cy="667385"/>
                                </a:xfrm>
                                <a:prstGeom prst="rect">
                                  <a:avLst/>
                                </a:prstGeom>
                                <a:noFill/>
                                <a:ln>
                                  <a:noFill/>
                                </a:ln>
                              </pic:spPr>
                            </pic:pic>
                          </a:graphicData>
                        </a:graphic>
                      </wp:inline>
                    </w:drawing>
                  </w:r>
                </w:p>
              </w:tc>
            </w:tr>
            <w:tr w14:paraId="56BC6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04" w:type="dxa"/>
                  <w:tcBorders>
                    <w:tl2br w:val="nil"/>
                    <w:tr2bl w:val="nil"/>
                  </w:tcBorders>
                  <w:noWrap w:val="0"/>
                  <w:tcMar>
                    <w:left w:w="28" w:type="dxa"/>
                    <w:right w:w="28" w:type="dxa"/>
                  </w:tcMar>
                  <w:vAlign w:val="center"/>
                </w:tcPr>
                <w:p w14:paraId="0CFC6FE8">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功能</w:t>
                  </w:r>
                </w:p>
                <w:p w14:paraId="1D1ED5D5">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表示</w:t>
                  </w:r>
                </w:p>
              </w:tc>
              <w:tc>
                <w:tcPr>
                  <w:tcW w:w="1497" w:type="dxa"/>
                  <w:tcBorders>
                    <w:tl2br w:val="nil"/>
                    <w:tr2bl w:val="nil"/>
                  </w:tcBorders>
                  <w:noWrap w:val="0"/>
                  <w:tcMar>
                    <w:left w:w="28" w:type="dxa"/>
                    <w:right w:w="28" w:type="dxa"/>
                  </w:tcMar>
                  <w:vAlign w:val="center"/>
                </w:tcPr>
                <w:p w14:paraId="76CF79BD">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向大气环境排放废气</w:t>
                  </w:r>
                </w:p>
              </w:tc>
              <w:tc>
                <w:tcPr>
                  <w:tcW w:w="1540" w:type="dxa"/>
                  <w:tcBorders>
                    <w:tl2br w:val="nil"/>
                    <w:tr2bl w:val="nil"/>
                  </w:tcBorders>
                  <w:noWrap w:val="0"/>
                  <w:tcMar>
                    <w:left w:w="28" w:type="dxa"/>
                    <w:right w:w="28" w:type="dxa"/>
                  </w:tcMar>
                  <w:vAlign w:val="center"/>
                </w:tcPr>
                <w:p w14:paraId="2701FA9A">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向外环境排放噪声</w:t>
                  </w:r>
                </w:p>
              </w:tc>
              <w:tc>
                <w:tcPr>
                  <w:tcW w:w="1364" w:type="dxa"/>
                  <w:tcBorders>
                    <w:tl2br w:val="nil"/>
                    <w:tr2bl w:val="nil"/>
                  </w:tcBorders>
                  <w:noWrap w:val="0"/>
                  <w:tcMar>
                    <w:left w:w="28" w:type="dxa"/>
                    <w:right w:w="28" w:type="dxa"/>
                  </w:tcMar>
                  <w:vAlign w:val="center"/>
                </w:tcPr>
                <w:p w14:paraId="67725F04">
                  <w:pPr>
                    <w:spacing w:line="240" w:lineRule="auto"/>
                    <w:ind w:firstLine="0" w:firstLineChars="0"/>
                    <w:jc w:val="center"/>
                    <w:rPr>
                      <w:rFonts w:ascii="Times New Roman" w:hAnsi="Times New Roman"/>
                      <w:iCs/>
                      <w:color w:val="auto"/>
                      <w:sz w:val="21"/>
                      <w:szCs w:val="21"/>
                      <w:highlight w:val="none"/>
                    </w:rPr>
                  </w:pPr>
                  <w:r>
                    <w:rPr>
                      <w:rFonts w:ascii="Times New Roman" w:hAnsi="Times New Roman"/>
                      <w:iCs/>
                      <w:color w:val="auto"/>
                      <w:sz w:val="21"/>
                      <w:szCs w:val="21"/>
                      <w:highlight w:val="none"/>
                    </w:rPr>
                    <w:t>一般固体废物贮存、处置场</w:t>
                  </w:r>
                </w:p>
              </w:tc>
              <w:tc>
                <w:tcPr>
                  <w:tcW w:w="1473" w:type="dxa"/>
                  <w:tcBorders>
                    <w:tl2br w:val="nil"/>
                    <w:tr2bl w:val="nil"/>
                  </w:tcBorders>
                  <w:noWrap w:val="0"/>
                  <w:tcMar>
                    <w:left w:w="28" w:type="dxa"/>
                    <w:right w:w="28" w:type="dxa"/>
                  </w:tcMar>
                  <w:vAlign w:val="center"/>
                </w:tcPr>
                <w:p w14:paraId="43942077">
                  <w:pPr>
                    <w:spacing w:line="240" w:lineRule="auto"/>
                    <w:ind w:firstLine="0" w:firstLineChars="0"/>
                    <w:jc w:val="center"/>
                    <w:rPr>
                      <w:rFonts w:hint="eastAsia" w:ascii="Times New Roman" w:hAnsi="Times New Roman" w:eastAsia="宋体"/>
                      <w:iCs/>
                      <w:color w:val="auto"/>
                      <w:sz w:val="21"/>
                      <w:szCs w:val="21"/>
                      <w:highlight w:val="none"/>
                      <w:lang w:val="en-US" w:eastAsia="zh-CN"/>
                    </w:rPr>
                  </w:pPr>
                  <w:r>
                    <w:rPr>
                      <w:rFonts w:ascii="Times New Roman" w:hAnsi="Times New Roman"/>
                      <w:iCs/>
                      <w:color w:val="auto"/>
                      <w:sz w:val="21"/>
                      <w:szCs w:val="21"/>
                      <w:highlight w:val="none"/>
                    </w:rPr>
                    <w:t>向</w:t>
                  </w:r>
                  <w:r>
                    <w:rPr>
                      <w:rFonts w:hint="eastAsia" w:ascii="Times New Roman" w:hAnsi="Times New Roman"/>
                      <w:iCs/>
                      <w:color w:val="auto"/>
                      <w:sz w:val="21"/>
                      <w:szCs w:val="21"/>
                      <w:highlight w:val="none"/>
                      <w:lang w:val="en-US" w:eastAsia="zh-CN"/>
                    </w:rPr>
                    <w:t>水</w:t>
                  </w:r>
                  <w:r>
                    <w:rPr>
                      <w:rFonts w:ascii="Times New Roman" w:hAnsi="Times New Roman"/>
                      <w:iCs/>
                      <w:color w:val="auto"/>
                      <w:sz w:val="21"/>
                      <w:szCs w:val="21"/>
                      <w:highlight w:val="none"/>
                    </w:rPr>
                    <w:t>环境</w:t>
                  </w:r>
                  <w:r>
                    <w:rPr>
                      <w:rFonts w:hint="eastAsia" w:ascii="Times New Roman" w:hAnsi="Times New Roman"/>
                      <w:iCs/>
                      <w:color w:val="auto"/>
                      <w:sz w:val="21"/>
                      <w:szCs w:val="21"/>
                      <w:highlight w:val="none"/>
                      <w:lang w:val="en-US" w:eastAsia="zh-CN"/>
                    </w:rPr>
                    <w:t>或污水处理单位</w:t>
                  </w:r>
                  <w:r>
                    <w:rPr>
                      <w:rFonts w:ascii="Times New Roman" w:hAnsi="Times New Roman"/>
                      <w:iCs/>
                      <w:color w:val="auto"/>
                      <w:sz w:val="21"/>
                      <w:szCs w:val="21"/>
                      <w:highlight w:val="none"/>
                    </w:rPr>
                    <w:t>排放废</w:t>
                  </w:r>
                  <w:r>
                    <w:rPr>
                      <w:rFonts w:hint="eastAsia" w:ascii="Times New Roman" w:hAnsi="Times New Roman"/>
                      <w:iCs/>
                      <w:color w:val="auto"/>
                      <w:sz w:val="21"/>
                      <w:szCs w:val="21"/>
                      <w:highlight w:val="none"/>
                      <w:lang w:val="en-US" w:eastAsia="zh-CN"/>
                    </w:rPr>
                    <w:t>水</w:t>
                  </w:r>
                </w:p>
              </w:tc>
              <w:tc>
                <w:tcPr>
                  <w:tcW w:w="1969" w:type="dxa"/>
                  <w:tcBorders>
                    <w:tl2br w:val="nil"/>
                    <w:tr2bl w:val="nil"/>
                  </w:tcBorders>
                  <w:noWrap w:val="0"/>
                  <w:tcMar>
                    <w:left w:w="28" w:type="dxa"/>
                    <w:right w:w="28" w:type="dxa"/>
                  </w:tcMar>
                  <w:vAlign w:val="center"/>
                </w:tcPr>
                <w:p w14:paraId="3B212DC9">
                  <w:pPr>
                    <w:spacing w:line="240" w:lineRule="auto"/>
                    <w:ind w:firstLine="0" w:firstLineChars="0"/>
                    <w:jc w:val="center"/>
                    <w:rPr>
                      <w:rFonts w:hint="eastAsia" w:ascii="Times New Roman" w:hAnsi="Times New Roman" w:eastAsia="宋体"/>
                      <w:iCs/>
                      <w:color w:val="auto"/>
                      <w:sz w:val="21"/>
                      <w:szCs w:val="21"/>
                      <w:highlight w:val="none"/>
                      <w:lang w:val="en-US" w:eastAsia="zh-CN"/>
                    </w:rPr>
                  </w:pPr>
                  <w:r>
                    <w:rPr>
                      <w:rFonts w:ascii="Times New Roman" w:hAnsi="Times New Roman"/>
                      <w:iCs/>
                      <w:color w:val="auto"/>
                      <w:sz w:val="21"/>
                      <w:szCs w:val="21"/>
                      <w:highlight w:val="none"/>
                    </w:rPr>
                    <w:t>危险废物贮存</w:t>
                  </w:r>
                  <w:r>
                    <w:rPr>
                      <w:rFonts w:hint="eastAsia" w:ascii="Times New Roman" w:hAnsi="Times New Roman"/>
                      <w:iCs/>
                      <w:color w:val="auto"/>
                      <w:sz w:val="21"/>
                      <w:szCs w:val="21"/>
                      <w:highlight w:val="none"/>
                      <w:lang w:val="en-US" w:eastAsia="zh-CN"/>
                    </w:rPr>
                    <w:t>设施</w:t>
                  </w:r>
                </w:p>
              </w:tc>
            </w:tr>
          </w:tbl>
          <w:p w14:paraId="494E1B4A">
            <w:pPr>
              <w:pStyle w:val="46"/>
              <w:ind w:left="0" w:leftChars="0" w:firstLine="0" w:firstLineChars="0"/>
              <w:rPr>
                <w:rFonts w:hint="eastAsia" w:ascii="宋体" w:hAnsi="宋体" w:cs="宋体"/>
                <w:bCs/>
                <w:color w:val="auto"/>
                <w:szCs w:val="21"/>
                <w:highlight w:val="none"/>
              </w:rPr>
            </w:pPr>
          </w:p>
        </w:tc>
      </w:tr>
    </w:tbl>
    <w:p w14:paraId="47654DF2">
      <w:pPr>
        <w:adjustRightInd w:val="0"/>
        <w:snapToGrid w:val="0"/>
        <w:spacing w:line="360" w:lineRule="auto"/>
        <w:rPr>
          <w:rFonts w:ascii="宋体" w:cs="宋体"/>
          <w:b/>
          <w:color w:val="auto"/>
          <w:kern w:val="0"/>
          <w:sz w:val="28"/>
          <w:szCs w:val="28"/>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60837358">
      <w:pPr>
        <w:pStyle w:val="2"/>
        <w:keepNext/>
        <w:keepLines w:val="0"/>
        <w:pageBreakBefore w:val="0"/>
        <w:widowControl w:val="0"/>
        <w:numPr>
          <w:ilvl w:val="0"/>
          <w:numId w:val="14"/>
        </w:numPr>
        <w:tabs>
          <w:tab w:val="left" w:pos="0"/>
        </w:tabs>
        <w:kinsoku/>
        <w:wordWrap/>
        <w:overflowPunct w:val="0"/>
        <w:topLinePunct w:val="0"/>
        <w:autoSpaceDE/>
        <w:autoSpaceDN/>
        <w:bidi w:val="0"/>
        <w:adjustRightInd/>
        <w:snapToGrid w:val="0"/>
        <w:spacing w:line="240" w:lineRule="auto"/>
        <w:ind w:left="431" w:leftChars="0" w:hanging="431" w:firstLineChars="0"/>
        <w:textAlignment w:val="auto"/>
        <w:rPr>
          <w:rFonts w:hint="eastAsia" w:eastAsia="宋体"/>
          <w:color w:val="auto"/>
          <w:highlight w:val="none"/>
        </w:rPr>
      </w:pPr>
      <w:bookmarkStart w:id="61" w:name="_Toc25031"/>
      <w:bookmarkStart w:id="62" w:name="_Toc16374"/>
      <w:bookmarkStart w:id="63" w:name="_Toc28314"/>
      <w:bookmarkStart w:id="64" w:name="_Toc8930"/>
      <w:bookmarkStart w:id="65" w:name="_Hlk54167917"/>
      <w:bookmarkStart w:id="66" w:name="_Toc28252"/>
      <w:r>
        <w:rPr>
          <w:rFonts w:hint="eastAsia" w:eastAsia="宋体"/>
          <w:color w:val="auto"/>
          <w:highlight w:val="none"/>
        </w:rPr>
        <w:t>环境保护措施监督检查清单</w:t>
      </w:r>
      <w:bookmarkEnd w:id="61"/>
      <w:bookmarkEnd w:id="62"/>
      <w:bookmarkEnd w:id="63"/>
      <w:bookmarkEnd w:id="64"/>
      <w:bookmarkEnd w:id="65"/>
      <w:bookmarkEnd w:id="66"/>
    </w:p>
    <w:tbl>
      <w:tblPr>
        <w:tblStyle w:val="34"/>
        <w:tblW w:w="89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350"/>
        <w:gridCol w:w="1391"/>
        <w:gridCol w:w="2059"/>
        <w:gridCol w:w="3311"/>
      </w:tblGrid>
      <w:tr w14:paraId="0544E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tcBorders>
              <w:tl2br w:val="single" w:color="auto" w:sz="4" w:space="0"/>
            </w:tcBorders>
            <w:vAlign w:val="center"/>
          </w:tcPr>
          <w:p w14:paraId="6FAB724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right"/>
              <w:textAlignment w:val="auto"/>
              <w:rPr>
                <w:rFonts w:ascii="宋体" w:hAnsi="宋体" w:cs="宋体"/>
                <w:color w:val="auto"/>
                <w:szCs w:val="21"/>
                <w:highlight w:val="none"/>
              </w:rPr>
            </w:pPr>
            <w:r>
              <w:rPr>
                <w:rFonts w:hint="eastAsia" w:ascii="宋体" w:hAnsi="宋体" w:cs="宋体"/>
                <w:color w:val="auto"/>
                <w:szCs w:val="21"/>
                <w:highlight w:val="none"/>
              </w:rPr>
              <w:t>内容</w:t>
            </w:r>
          </w:p>
          <w:p w14:paraId="6EED3F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eastAsia" w:ascii="宋体" w:hAnsi="宋体" w:cs="宋体"/>
                <w:color w:val="auto"/>
                <w:szCs w:val="21"/>
                <w:highlight w:val="none"/>
              </w:rPr>
            </w:pPr>
          </w:p>
          <w:p w14:paraId="0E095C8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ascii="宋体" w:hAnsi="宋体" w:cs="宋体"/>
                <w:color w:val="auto"/>
                <w:szCs w:val="21"/>
                <w:highlight w:val="none"/>
              </w:rPr>
            </w:pPr>
            <w:r>
              <w:rPr>
                <w:rFonts w:hint="eastAsia" w:ascii="宋体" w:hAnsi="宋体" w:cs="宋体"/>
                <w:color w:val="auto"/>
                <w:szCs w:val="21"/>
                <w:highlight w:val="none"/>
              </w:rPr>
              <w:t>要素</w:t>
            </w:r>
          </w:p>
        </w:tc>
        <w:tc>
          <w:tcPr>
            <w:tcW w:w="1350" w:type="dxa"/>
            <w:vAlign w:val="center"/>
          </w:tcPr>
          <w:p w14:paraId="25669CC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排放口</w:t>
            </w:r>
            <w:r>
              <w:rPr>
                <w:rFonts w:hint="eastAsia" w:ascii="宋体" w:hAnsi="宋体" w:cs="宋体"/>
                <w:color w:val="auto"/>
                <w:szCs w:val="21"/>
                <w:highlight w:val="none"/>
                <w:lang w:eastAsia="zh-CN"/>
              </w:rPr>
              <w:t>（</w:t>
            </w:r>
            <w:r>
              <w:rPr>
                <w:rFonts w:hint="eastAsia" w:ascii="宋体" w:hAnsi="宋体" w:cs="宋体"/>
                <w:color w:val="auto"/>
                <w:szCs w:val="21"/>
                <w:highlight w:val="none"/>
              </w:rPr>
              <w:t>编号、名称</w:t>
            </w:r>
            <w:r>
              <w:rPr>
                <w:rFonts w:hint="eastAsia" w:ascii="宋体" w:hAnsi="宋体" w:cs="宋体"/>
                <w:color w:val="auto"/>
                <w:szCs w:val="21"/>
                <w:highlight w:val="none"/>
                <w:lang w:eastAsia="zh-CN"/>
              </w:rPr>
              <w:t>）</w:t>
            </w:r>
            <w:r>
              <w:rPr>
                <w:rFonts w:hint="eastAsia" w:ascii="宋体" w:hAnsi="宋体" w:cs="宋体"/>
                <w:color w:val="auto"/>
                <w:szCs w:val="21"/>
                <w:highlight w:val="none"/>
              </w:rPr>
              <w:t>/污染源</w:t>
            </w:r>
          </w:p>
        </w:tc>
        <w:tc>
          <w:tcPr>
            <w:tcW w:w="1391" w:type="dxa"/>
            <w:vAlign w:val="center"/>
          </w:tcPr>
          <w:p w14:paraId="5C7E6A4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污染物项目</w:t>
            </w:r>
          </w:p>
        </w:tc>
        <w:tc>
          <w:tcPr>
            <w:tcW w:w="2059" w:type="dxa"/>
            <w:vAlign w:val="center"/>
          </w:tcPr>
          <w:p w14:paraId="5EADB0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环境保护措施</w:t>
            </w:r>
          </w:p>
        </w:tc>
        <w:tc>
          <w:tcPr>
            <w:tcW w:w="3311" w:type="dxa"/>
            <w:vAlign w:val="center"/>
          </w:tcPr>
          <w:p w14:paraId="5042864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执行标准</w:t>
            </w:r>
          </w:p>
        </w:tc>
      </w:tr>
      <w:tr w14:paraId="21A15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1" w:hRule="atLeast"/>
          <w:jc w:val="center"/>
        </w:trPr>
        <w:tc>
          <w:tcPr>
            <w:tcW w:w="860" w:type="dxa"/>
            <w:vMerge w:val="restart"/>
            <w:vAlign w:val="center"/>
          </w:tcPr>
          <w:p w14:paraId="279DF5E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大气</w:t>
            </w:r>
          </w:p>
          <w:p w14:paraId="101C3BB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环境</w:t>
            </w:r>
          </w:p>
        </w:tc>
        <w:tc>
          <w:tcPr>
            <w:tcW w:w="1350" w:type="dxa"/>
            <w:shd w:val="clear" w:color="auto" w:fill="auto"/>
            <w:vAlign w:val="center"/>
          </w:tcPr>
          <w:p w14:paraId="0A9E3B7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eastAsia="宋体"/>
                <w:color w:val="auto"/>
                <w:spacing w:val="-1"/>
                <w:lang w:val="en-US" w:eastAsia="zh-CN"/>
              </w:rPr>
            </w:pPr>
            <w:r>
              <w:rPr>
                <w:rFonts w:ascii="Times New Roman" w:hAnsi="Times New Roman" w:eastAsia="Times New Roman" w:cs="Times New Roman"/>
                <w:color w:val="auto"/>
              </w:rPr>
              <w:t>DA</w:t>
            </w:r>
            <w:r>
              <w:rPr>
                <w:rFonts w:ascii="Times New Roman" w:hAnsi="Times New Roman" w:eastAsia="Times New Roman" w:cs="Times New Roman"/>
                <w:color w:val="auto"/>
                <w:spacing w:val="8"/>
              </w:rPr>
              <w:t>001/</w:t>
            </w:r>
            <w:r>
              <w:rPr>
                <w:color w:val="auto"/>
                <w:spacing w:val="8"/>
              </w:rPr>
              <w:t>电泳</w:t>
            </w:r>
            <w:r>
              <w:rPr>
                <w:rFonts w:hint="eastAsia"/>
                <w:color w:val="auto"/>
                <w:spacing w:val="8"/>
                <w:lang w:val="en-US" w:eastAsia="zh-CN"/>
              </w:rPr>
              <w:t>废气</w:t>
            </w:r>
            <w:r>
              <w:rPr>
                <w:color w:val="auto"/>
                <w:spacing w:val="8"/>
              </w:rPr>
              <w:t>、电泳固</w:t>
            </w:r>
            <w:r>
              <w:rPr>
                <w:color w:val="auto"/>
                <w:spacing w:val="-1"/>
              </w:rPr>
              <w:t>化废气、</w:t>
            </w:r>
            <w:r>
              <w:rPr>
                <w:rFonts w:hint="eastAsia"/>
                <w:color w:val="auto"/>
                <w:spacing w:val="-1"/>
                <w:highlight w:val="none"/>
                <w:lang w:eastAsia="zh-CN"/>
              </w:rPr>
              <w:t>（</w:t>
            </w:r>
            <w:r>
              <w:rPr>
                <w:rFonts w:hint="eastAsia"/>
                <w:color w:val="auto"/>
                <w:spacing w:val="-1"/>
                <w:highlight w:val="none"/>
                <w:lang w:val="en-US" w:eastAsia="zh-CN"/>
              </w:rPr>
              <w:t>电泳）天然气</w:t>
            </w:r>
            <w:r>
              <w:rPr>
                <w:color w:val="auto"/>
                <w:spacing w:val="-1"/>
                <w:highlight w:val="none"/>
              </w:rPr>
              <w:t>燃烧</w:t>
            </w:r>
            <w:r>
              <w:rPr>
                <w:rFonts w:hint="eastAsia"/>
                <w:color w:val="auto"/>
                <w:spacing w:val="-1"/>
                <w:highlight w:val="none"/>
                <w:lang w:val="en-US" w:eastAsia="zh-CN"/>
              </w:rPr>
              <w:t>废</w:t>
            </w:r>
            <w:r>
              <w:rPr>
                <w:color w:val="auto"/>
                <w:spacing w:val="-1"/>
                <w:highlight w:val="none"/>
              </w:rPr>
              <w:t>气</w:t>
            </w:r>
          </w:p>
          <w:p w14:paraId="5071BF2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p>
        </w:tc>
        <w:tc>
          <w:tcPr>
            <w:tcW w:w="1391" w:type="dxa"/>
            <w:shd w:val="clear" w:color="auto" w:fill="auto"/>
            <w:vAlign w:val="center"/>
          </w:tcPr>
          <w:p w14:paraId="28FFDA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ascii="宋体" w:hAnsi="宋体" w:cs="宋体"/>
                <w:color w:val="auto"/>
                <w:szCs w:val="21"/>
                <w:highlight w:val="none"/>
              </w:rPr>
              <w:t>非甲烷总烃、</w:t>
            </w:r>
            <w:r>
              <w:rPr>
                <w:rFonts w:hint="eastAsia" w:eastAsia="宋体"/>
                <w:color w:val="auto"/>
                <w:highlight w:val="none"/>
                <w:lang w:eastAsia="zh-CN"/>
              </w:rPr>
              <w:t>烟（粉）尘、</w:t>
            </w:r>
            <w:r>
              <w:rPr>
                <w:rFonts w:ascii="宋体" w:hAnsi="宋体" w:cs="宋体"/>
                <w:color w:val="auto"/>
                <w:szCs w:val="21"/>
                <w:highlight w:val="none"/>
              </w:rPr>
              <w:t>二氧化硫、氮氧化物</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烟气黑度</w:t>
            </w:r>
          </w:p>
        </w:tc>
        <w:tc>
          <w:tcPr>
            <w:tcW w:w="2059" w:type="dxa"/>
            <w:shd w:val="clear" w:color="auto" w:fill="auto"/>
            <w:vAlign w:val="center"/>
          </w:tcPr>
          <w:p w14:paraId="0C774C6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8"/>
                <w:sz w:val="21"/>
              </w:rPr>
            </w:pPr>
            <w:r>
              <w:rPr>
                <w:color w:val="auto"/>
                <w:spacing w:val="-8"/>
                <w:sz w:val="21"/>
              </w:rPr>
              <w:t>电泳废</w:t>
            </w:r>
            <w:r>
              <w:rPr>
                <w:color w:val="auto"/>
                <w:spacing w:val="-8"/>
                <w:sz w:val="21"/>
                <w:highlight w:val="none"/>
              </w:rPr>
              <w:t>气</w:t>
            </w:r>
            <w:r>
              <w:rPr>
                <w:color w:val="auto"/>
                <w:spacing w:val="-8"/>
                <w:sz w:val="21"/>
              </w:rPr>
              <w:t>、</w:t>
            </w:r>
            <w:r>
              <w:rPr>
                <w:rFonts w:hint="eastAsia"/>
                <w:color w:val="auto"/>
                <w:spacing w:val="-8"/>
                <w:sz w:val="21"/>
                <w:lang w:val="en-US" w:eastAsia="zh-CN"/>
              </w:rPr>
              <w:t>电泳</w:t>
            </w:r>
            <w:r>
              <w:rPr>
                <w:color w:val="auto"/>
                <w:spacing w:val="-8"/>
                <w:sz w:val="21"/>
              </w:rPr>
              <w:t>固化废</w:t>
            </w:r>
            <w:r>
              <w:rPr>
                <w:color w:val="auto"/>
                <w:spacing w:val="-8"/>
                <w:sz w:val="21"/>
                <w:highlight w:val="none"/>
              </w:rPr>
              <w:t>气经</w:t>
            </w:r>
            <w:r>
              <w:rPr>
                <w:rFonts w:hint="eastAsia"/>
                <w:color w:val="auto"/>
                <w:spacing w:val="-8"/>
                <w:sz w:val="21"/>
                <w:highlight w:val="none"/>
                <w:lang w:val="en-US" w:eastAsia="zh-CN"/>
              </w:rPr>
              <w:t>收集后采用“喷淋塔+过滤棉+二级活性炭吸附”</w:t>
            </w:r>
            <w:r>
              <w:rPr>
                <w:color w:val="auto"/>
                <w:spacing w:val="-8"/>
                <w:sz w:val="21"/>
                <w:highlight w:val="none"/>
              </w:rPr>
              <w:t>处理后</w:t>
            </w:r>
            <w:r>
              <w:rPr>
                <w:color w:val="auto"/>
                <w:spacing w:val="-8"/>
                <w:sz w:val="21"/>
              </w:rPr>
              <w:t>，</w:t>
            </w:r>
            <w:r>
              <w:rPr>
                <w:rFonts w:hint="eastAsia"/>
                <w:color w:val="auto"/>
                <w:spacing w:val="-8"/>
                <w:sz w:val="21"/>
                <w:lang w:val="en-US" w:eastAsia="zh-CN"/>
              </w:rPr>
              <w:t>通过</w:t>
            </w:r>
            <w:r>
              <w:rPr>
                <w:color w:val="auto"/>
                <w:spacing w:val="-8"/>
                <w:sz w:val="21"/>
              </w:rPr>
              <w:t>1根</w:t>
            </w:r>
            <w:r>
              <w:rPr>
                <w:rFonts w:hint="eastAsia"/>
                <w:color w:val="auto"/>
                <w:spacing w:val="-8"/>
                <w:sz w:val="21"/>
                <w:lang w:eastAsia="zh-CN"/>
              </w:rPr>
              <w:t>15m</w:t>
            </w:r>
            <w:r>
              <w:rPr>
                <w:color w:val="auto"/>
                <w:spacing w:val="-8"/>
                <w:sz w:val="21"/>
              </w:rPr>
              <w:t>高排气筒达标排放（DA001）</w:t>
            </w:r>
            <w:r>
              <w:rPr>
                <w:color w:val="auto"/>
                <w:spacing w:val="-8"/>
                <w:sz w:val="21"/>
                <w:highlight w:val="none"/>
              </w:rPr>
              <w:t>；</w:t>
            </w:r>
            <w:r>
              <w:rPr>
                <w:rFonts w:hint="eastAsia"/>
                <w:color w:val="auto"/>
                <w:spacing w:val="-1"/>
                <w:highlight w:val="none"/>
                <w:lang w:eastAsia="zh-CN"/>
              </w:rPr>
              <w:t>（</w:t>
            </w:r>
            <w:r>
              <w:rPr>
                <w:rFonts w:hint="eastAsia"/>
                <w:color w:val="auto"/>
                <w:spacing w:val="-1"/>
                <w:highlight w:val="none"/>
                <w:lang w:val="en-US" w:eastAsia="zh-CN"/>
              </w:rPr>
              <w:t>电泳）天然气</w:t>
            </w:r>
            <w:r>
              <w:rPr>
                <w:color w:val="auto"/>
                <w:spacing w:val="-1"/>
                <w:highlight w:val="none"/>
              </w:rPr>
              <w:t>燃烧</w:t>
            </w:r>
            <w:r>
              <w:rPr>
                <w:rFonts w:hint="eastAsia"/>
                <w:color w:val="auto"/>
                <w:spacing w:val="-1"/>
                <w:highlight w:val="none"/>
                <w:lang w:val="en-US" w:eastAsia="zh-CN"/>
              </w:rPr>
              <w:t>废</w:t>
            </w:r>
            <w:r>
              <w:rPr>
                <w:color w:val="auto"/>
                <w:spacing w:val="-1"/>
                <w:highlight w:val="none"/>
              </w:rPr>
              <w:t>气</w:t>
            </w:r>
            <w:r>
              <w:rPr>
                <w:color w:val="auto"/>
                <w:spacing w:val="-8"/>
                <w:sz w:val="21"/>
              </w:rPr>
              <w:t>通过1根</w:t>
            </w:r>
            <w:r>
              <w:rPr>
                <w:rFonts w:hint="eastAsia"/>
                <w:color w:val="auto"/>
                <w:spacing w:val="-8"/>
                <w:sz w:val="21"/>
                <w:lang w:eastAsia="zh-CN"/>
              </w:rPr>
              <w:t>15m</w:t>
            </w:r>
            <w:r>
              <w:rPr>
                <w:color w:val="auto"/>
                <w:spacing w:val="-8"/>
                <w:sz w:val="21"/>
              </w:rPr>
              <w:t>高排气筒达标排放（DA001）；</w:t>
            </w:r>
          </w:p>
          <w:p w14:paraId="7D8A9C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p>
        </w:tc>
        <w:tc>
          <w:tcPr>
            <w:tcW w:w="3311" w:type="dxa"/>
            <w:shd w:val="clear" w:color="auto" w:fill="auto"/>
            <w:vAlign w:val="center"/>
          </w:tcPr>
          <w:p w14:paraId="0B8EBCC0">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DA001排放</w:t>
            </w:r>
            <w:r>
              <w:rPr>
                <w:rFonts w:hint="eastAsia" w:ascii="Times New Roman" w:hAnsi="Times New Roman" w:eastAsia="宋体" w:cs="Times New Roman"/>
                <w:b/>
                <w:bCs/>
                <w:color w:val="auto"/>
                <w:highlight w:val="none"/>
                <w:lang w:eastAsia="zh-CN"/>
              </w:rPr>
              <w:t>非甲烷总烃有组织排放</w:t>
            </w:r>
            <w:r>
              <w:rPr>
                <w:rFonts w:hint="eastAsia" w:ascii="Times New Roman" w:hAnsi="Times New Roman" w:eastAsia="宋体" w:cs="Times New Roman"/>
                <w:color w:val="auto"/>
                <w:highlight w:val="none"/>
                <w:lang w:eastAsia="zh-CN"/>
              </w:rPr>
              <w:t>执行</w:t>
            </w:r>
            <w:r>
              <w:rPr>
                <w:rFonts w:hint="eastAsia" w:ascii="Times New Roman" w:hAnsi="Times New Roman" w:eastAsia="宋体" w:cs="Times New Roman"/>
                <w:color w:val="auto"/>
                <w:highlight w:val="none"/>
                <w:lang w:val="en-US" w:eastAsia="zh-CN"/>
              </w:rPr>
              <w:t>《工业涂装工序挥发性有机物排放标准》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DB35/1783-2018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中表1标准限值</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即非甲烷总烃</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60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p w14:paraId="0AED38EE">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b/>
                <w:bCs/>
                <w:color w:val="auto"/>
                <w:highlight w:val="none"/>
                <w:lang w:val="en-US" w:eastAsia="zh-CN"/>
              </w:rPr>
              <w:t>无组织排放的非甲烷总烃</w:t>
            </w:r>
            <w:r>
              <w:rPr>
                <w:rFonts w:hint="eastAsia" w:ascii="Times New Roman" w:hAnsi="Times New Roman" w:eastAsia="宋体" w:cs="Times New Roman"/>
                <w:color w:val="auto"/>
                <w:highlight w:val="none"/>
                <w:lang w:val="en-US" w:eastAsia="zh-CN"/>
              </w:rPr>
              <w:t>执行《工业涂装工序挥发性有机物排放标准》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DB35/1783-2018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中表3、表4标准限值及《挥发性有机物无组织排放控制标准》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 37822-2019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中附录A表A.1标准限值</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即企业边界非甲烷总烃</w:t>
            </w:r>
            <w:r>
              <w:rPr>
                <w:rFonts w:hint="default" w:ascii="Times New Roman" w:hAnsi="Times New Roman" w:cs="Times New Roman"/>
                <w:color w:val="auto"/>
                <w:spacing w:val="0"/>
                <w:sz w:val="21"/>
                <w:szCs w:val="21"/>
                <w:lang w:val="en-US" w:eastAsia="zh-CN"/>
              </w:rPr>
              <w:t>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厂内监控点1h平均浓度值</w:t>
            </w:r>
            <w:r>
              <w:rPr>
                <w:rFonts w:hint="eastAsia" w:cs="Times New Roman"/>
                <w:color w:val="auto"/>
                <w:szCs w:val="21"/>
                <w:highlight w:val="none"/>
                <w:lang w:eastAsia="zh-CN"/>
              </w:rPr>
              <w:t>≤</w:t>
            </w:r>
            <w:r>
              <w:rPr>
                <w:rFonts w:hint="eastAsia" w:cs="Times New Roman"/>
                <w:color w:val="auto"/>
                <w:szCs w:val="21"/>
                <w:highlight w:val="none"/>
                <w:lang w:val="en-US" w:eastAsia="zh-CN"/>
              </w:rPr>
              <w:t>8.0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厂内监控点任意一次浓度值</w:t>
            </w:r>
            <w:r>
              <w:rPr>
                <w:rFonts w:hint="eastAsia" w:cs="Times New Roman"/>
                <w:color w:val="auto"/>
                <w:szCs w:val="21"/>
                <w:highlight w:val="none"/>
                <w:lang w:eastAsia="zh-CN"/>
              </w:rPr>
              <w:t>≤</w:t>
            </w:r>
            <w:r>
              <w:rPr>
                <w:rFonts w:hint="eastAsia" w:cs="Times New Roman"/>
                <w:color w:val="auto"/>
                <w:szCs w:val="21"/>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p w14:paraId="47DCA738">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eastAsia="宋体"/>
                <w:color w:val="auto"/>
                <w:highlight w:val="none"/>
                <w:lang w:eastAsia="zh-CN"/>
              </w:rPr>
            </w:pPr>
            <w:r>
              <w:rPr>
                <w:rFonts w:hint="eastAsia" w:ascii="Times New Roman" w:hAnsi="Times New Roman" w:eastAsia="宋体" w:cs="Times New Roman"/>
                <w:b/>
                <w:bCs/>
                <w:color w:val="auto"/>
                <w:highlight w:val="none"/>
                <w:lang w:eastAsia="zh-CN"/>
              </w:rPr>
              <w:t>烟（粉）尘、二氧化硫、氮氧化物</w:t>
            </w:r>
            <w:r>
              <w:rPr>
                <w:rFonts w:hint="eastAsia" w:ascii="Times New Roman" w:hAnsi="Times New Roman" w:eastAsia="宋体" w:cs="Times New Roman"/>
                <w:color w:val="auto"/>
                <w:highlight w:val="none"/>
                <w:lang w:eastAsia="zh-CN"/>
              </w:rPr>
              <w:t>排放标准执行</w:t>
            </w:r>
            <w:r>
              <w:rPr>
                <w:rFonts w:hint="eastAsia" w:ascii="Times New Roman" w:hAnsi="Times New Roman" w:eastAsia="宋体" w:cs="Times New Roman"/>
                <w:color w:val="auto"/>
                <w:highlight w:val="none"/>
                <w:lang w:val="en-US" w:eastAsia="zh-CN"/>
              </w:rPr>
              <w:t>《福建省工业炉窑大气污染综合治理方案》（闽环保大气〔2019〕10号）中明确规定的重点区域限值</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即颗粒物</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二氧化硫</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200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olor w:val="auto"/>
                <w:highlight w:val="none"/>
                <w:lang w:val="en-US" w:eastAsia="zh-CN"/>
              </w:rPr>
              <w:t>氮氧化物</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300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r>
              <w:rPr>
                <w:rFonts w:hint="eastAsia"/>
                <w:color w:val="auto"/>
                <w:lang w:eastAsia="zh-CN"/>
              </w:rPr>
              <w:t>鉴于该方案未对燃烧废气烟气黑度进行规定，</w:t>
            </w:r>
            <w:r>
              <w:rPr>
                <w:rFonts w:hint="eastAsia"/>
                <w:b/>
                <w:bCs/>
                <w:color w:val="auto"/>
                <w:lang w:eastAsia="zh-CN"/>
              </w:rPr>
              <w:t>烟气黑度</w:t>
            </w:r>
            <w:r>
              <w:rPr>
                <w:rFonts w:hint="eastAsia"/>
                <w:color w:val="auto"/>
                <w:lang w:eastAsia="zh-CN"/>
              </w:rPr>
              <w:t>参照执行《工业炉窑大气污染物排放标准》（GB9078-1996）表2标准限值（</w:t>
            </w:r>
            <w:r>
              <w:rPr>
                <w:rFonts w:hint="eastAsia"/>
                <w:color w:val="auto"/>
                <w:lang w:val="en-US" w:eastAsia="zh-CN"/>
              </w:rPr>
              <w:t>即烟气黑度≤1级（林格曼黑度）</w:t>
            </w:r>
          </w:p>
        </w:tc>
      </w:tr>
      <w:tr w14:paraId="40D073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860" w:type="dxa"/>
            <w:vMerge w:val="continue"/>
            <w:vAlign w:val="center"/>
          </w:tcPr>
          <w:p w14:paraId="744326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6E474F9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rPr>
            </w:pPr>
            <w:r>
              <w:rPr>
                <w:rFonts w:ascii="Times New Roman" w:hAnsi="Times New Roman" w:eastAsia="Times New Roman" w:cs="Times New Roman"/>
                <w:color w:val="auto"/>
              </w:rPr>
              <w:t>DA</w:t>
            </w:r>
            <w:r>
              <w:rPr>
                <w:rFonts w:ascii="Times New Roman" w:hAnsi="Times New Roman" w:eastAsia="Times New Roman" w:cs="Times New Roman"/>
                <w:color w:val="auto"/>
                <w:spacing w:val="13"/>
              </w:rPr>
              <w:t>002/</w:t>
            </w:r>
            <w:r>
              <w:rPr>
                <w:color w:val="auto"/>
                <w:spacing w:val="13"/>
              </w:rPr>
              <w:t>焊接废气</w:t>
            </w:r>
          </w:p>
        </w:tc>
        <w:tc>
          <w:tcPr>
            <w:tcW w:w="1391" w:type="dxa"/>
            <w:shd w:val="clear" w:color="auto" w:fill="auto"/>
            <w:vAlign w:val="center"/>
          </w:tcPr>
          <w:p w14:paraId="7072C0F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rPr>
            </w:pPr>
            <w:r>
              <w:rPr>
                <w:rFonts w:ascii="宋体" w:hAnsi="宋体" w:cs="宋体"/>
                <w:color w:val="auto"/>
                <w:szCs w:val="21"/>
                <w:highlight w:val="none"/>
              </w:rPr>
              <w:t>颗粒物</w:t>
            </w:r>
          </w:p>
        </w:tc>
        <w:tc>
          <w:tcPr>
            <w:tcW w:w="2059" w:type="dxa"/>
            <w:shd w:val="clear" w:color="auto" w:fill="auto"/>
            <w:vAlign w:val="center"/>
          </w:tcPr>
          <w:p w14:paraId="1847AE6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8"/>
                <w:sz w:val="21"/>
              </w:rPr>
            </w:pPr>
            <w:r>
              <w:rPr>
                <w:color w:val="auto"/>
                <w:spacing w:val="-8"/>
                <w:sz w:val="21"/>
              </w:rPr>
              <w:t>焊接废气</w:t>
            </w:r>
            <w:r>
              <w:rPr>
                <w:color w:val="auto"/>
                <w:spacing w:val="-8"/>
                <w:sz w:val="21"/>
                <w:highlight w:val="none"/>
              </w:rPr>
              <w:t>经</w:t>
            </w:r>
            <w:r>
              <w:rPr>
                <w:rFonts w:hint="eastAsia"/>
                <w:color w:val="auto"/>
                <w:spacing w:val="-8"/>
                <w:sz w:val="21"/>
                <w:highlight w:val="none"/>
                <w:lang w:val="en-US" w:eastAsia="zh-CN"/>
              </w:rPr>
              <w:t>收集后采用“</w:t>
            </w:r>
            <w:r>
              <w:rPr>
                <w:rFonts w:hint="eastAsia"/>
                <w:color w:val="auto"/>
                <w:spacing w:val="-8"/>
                <w:sz w:val="21"/>
                <w:highlight w:val="none"/>
                <w:lang w:eastAsia="zh-CN"/>
              </w:rPr>
              <w:t>布袋</w:t>
            </w:r>
            <w:r>
              <w:rPr>
                <w:color w:val="auto"/>
                <w:spacing w:val="-8"/>
                <w:sz w:val="21"/>
                <w:highlight w:val="none"/>
              </w:rPr>
              <w:t>除尘器</w:t>
            </w:r>
            <w:r>
              <w:rPr>
                <w:rFonts w:hint="eastAsia"/>
                <w:color w:val="auto"/>
                <w:spacing w:val="-8"/>
                <w:sz w:val="21"/>
                <w:highlight w:val="none"/>
                <w:lang w:eastAsia="zh-CN"/>
              </w:rPr>
              <w:t>”</w:t>
            </w:r>
            <w:r>
              <w:rPr>
                <w:color w:val="auto"/>
                <w:spacing w:val="-8"/>
                <w:sz w:val="21"/>
                <w:highlight w:val="none"/>
              </w:rPr>
              <w:t>处理后，</w:t>
            </w:r>
            <w:r>
              <w:rPr>
                <w:color w:val="auto"/>
                <w:spacing w:val="-8"/>
                <w:sz w:val="21"/>
              </w:rPr>
              <w:t>通过1根</w:t>
            </w:r>
            <w:r>
              <w:rPr>
                <w:rFonts w:hint="eastAsia"/>
                <w:color w:val="auto"/>
                <w:spacing w:val="-8"/>
                <w:sz w:val="21"/>
                <w:lang w:val="en-US" w:eastAsia="zh-CN"/>
              </w:rPr>
              <w:t>15</w:t>
            </w:r>
            <w:r>
              <w:rPr>
                <w:color w:val="auto"/>
                <w:spacing w:val="-8"/>
                <w:sz w:val="21"/>
              </w:rPr>
              <w:t>m高排气筒达标排放（DA002）；</w:t>
            </w:r>
          </w:p>
          <w:p w14:paraId="13A0D95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color w:val="auto"/>
              </w:rPr>
            </w:pPr>
          </w:p>
        </w:tc>
        <w:tc>
          <w:tcPr>
            <w:tcW w:w="3311" w:type="dxa"/>
            <w:shd w:val="clear" w:color="auto" w:fill="auto"/>
            <w:vAlign w:val="center"/>
          </w:tcPr>
          <w:p w14:paraId="63746E62">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eastAsia="宋体"/>
                <w:color w:val="auto"/>
                <w:highlight w:val="none"/>
                <w:lang w:eastAsia="zh-CN"/>
              </w:rPr>
              <w:t>DA002排放</w:t>
            </w:r>
            <w:r>
              <w:rPr>
                <w:rFonts w:hint="eastAsia" w:eastAsia="宋体"/>
                <w:b/>
                <w:bCs/>
                <w:color w:val="auto"/>
                <w:highlight w:val="none"/>
                <w:lang w:eastAsia="zh-CN"/>
              </w:rPr>
              <w:t>颗粒物</w:t>
            </w:r>
            <w:r>
              <w:rPr>
                <w:rFonts w:hint="eastAsia"/>
                <w:b/>
                <w:bCs/>
                <w:color w:val="auto"/>
                <w:highlight w:val="none"/>
                <w:lang w:val="en-US" w:eastAsia="zh-CN"/>
              </w:rPr>
              <w:t>有组织排放</w:t>
            </w:r>
            <w:r>
              <w:rPr>
                <w:rFonts w:hint="eastAsia" w:eastAsia="宋体"/>
                <w:color w:val="auto"/>
                <w:highlight w:val="none"/>
                <w:lang w:eastAsia="zh-CN"/>
              </w:rPr>
              <w:t>执行《大气污染物综合排放标准》（GB16297-1996）表2标准；</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即颗粒物</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120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p w14:paraId="69E04585">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ascii="Times New Roman" w:hAnsi="Times New Roman" w:eastAsia="Times New Roman" w:cs="Times New Roman"/>
                <w:color w:val="auto"/>
                <w:highlight w:val="none"/>
              </w:rPr>
            </w:pPr>
            <w:r>
              <w:rPr>
                <w:rFonts w:hint="eastAsia" w:cs="Times New Roman"/>
                <w:b/>
                <w:bCs/>
                <w:color w:val="auto"/>
                <w:szCs w:val="21"/>
                <w:highlight w:val="none"/>
                <w:lang w:val="en-US" w:eastAsia="zh-CN"/>
              </w:rPr>
              <w:t>颗粒物无组织排放</w:t>
            </w:r>
            <w:r>
              <w:rPr>
                <w:rFonts w:hint="eastAsia" w:cs="Times New Roman"/>
                <w:color w:val="auto"/>
                <w:szCs w:val="21"/>
                <w:highlight w:val="none"/>
                <w:lang w:val="en-US" w:eastAsia="zh-CN"/>
              </w:rPr>
              <w:t>执行</w:t>
            </w:r>
            <w:r>
              <w:rPr>
                <w:rFonts w:hint="eastAsia" w:eastAsia="宋体"/>
                <w:color w:val="auto"/>
                <w:highlight w:val="none"/>
                <w:lang w:eastAsia="zh-CN"/>
              </w:rPr>
              <w:t>《大气污染物综合排放标准》（GB16297-1996）表2标准；</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即颗粒物周界外浓度最高点</w:t>
            </w:r>
            <w:r>
              <w:rPr>
                <w:rFonts w:hint="eastAsia" w:cs="Times New Roman"/>
                <w:color w:val="auto"/>
                <w:szCs w:val="21"/>
                <w:highlight w:val="none"/>
                <w:lang w:eastAsia="zh-CN"/>
              </w:rPr>
              <w:t>≤</w:t>
            </w:r>
            <w:r>
              <w:rPr>
                <w:rFonts w:hint="eastAsia" w:cs="Times New Roman"/>
                <w:color w:val="auto"/>
                <w:szCs w:val="21"/>
                <w:highlight w:val="none"/>
                <w:lang w:val="en-US" w:eastAsia="zh-CN"/>
              </w:rPr>
              <w:t>1.0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tc>
      </w:tr>
      <w:tr w14:paraId="26CBC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60" w:type="dxa"/>
            <w:vMerge w:val="continue"/>
            <w:vAlign w:val="center"/>
          </w:tcPr>
          <w:p w14:paraId="0C6F7F2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5627CB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eastAsia="宋体"/>
                <w:color w:val="auto"/>
                <w:spacing w:val="-8"/>
                <w:sz w:val="21"/>
                <w:lang w:val="en-US" w:eastAsia="zh-CN"/>
              </w:rPr>
            </w:pPr>
            <w:r>
              <w:rPr>
                <w:rFonts w:hint="eastAsia"/>
                <w:color w:val="auto"/>
                <w:spacing w:val="-8"/>
                <w:sz w:val="21"/>
                <w:lang w:val="en-US" w:eastAsia="zh-CN"/>
              </w:rPr>
              <w:t>DA002/喷粉废气</w:t>
            </w:r>
          </w:p>
        </w:tc>
        <w:tc>
          <w:tcPr>
            <w:tcW w:w="1391" w:type="dxa"/>
            <w:shd w:val="clear" w:color="auto" w:fill="auto"/>
            <w:vAlign w:val="center"/>
          </w:tcPr>
          <w:p w14:paraId="5B359D4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eastAsia="宋体"/>
                <w:color w:val="auto"/>
                <w:highlight w:val="none"/>
                <w:lang w:eastAsia="zh-CN"/>
              </w:rPr>
            </w:pPr>
            <w:r>
              <w:rPr>
                <w:rFonts w:ascii="宋体" w:hAnsi="宋体" w:cs="宋体"/>
                <w:color w:val="auto"/>
                <w:szCs w:val="21"/>
                <w:highlight w:val="none"/>
              </w:rPr>
              <w:t>颗粒物</w:t>
            </w:r>
          </w:p>
        </w:tc>
        <w:tc>
          <w:tcPr>
            <w:tcW w:w="2059" w:type="dxa"/>
            <w:shd w:val="clear" w:color="auto" w:fill="auto"/>
            <w:vAlign w:val="center"/>
          </w:tcPr>
          <w:p w14:paraId="31FF5F1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eastAsia="宋体"/>
                <w:color w:val="auto"/>
                <w:spacing w:val="-8"/>
                <w:sz w:val="21"/>
                <w:lang w:val="en-US" w:eastAsia="zh-CN"/>
              </w:rPr>
            </w:pPr>
            <w:r>
              <w:rPr>
                <w:rFonts w:hint="eastAsia"/>
                <w:color w:val="auto"/>
                <w:spacing w:val="-8"/>
                <w:sz w:val="21"/>
                <w:lang w:val="en-US" w:eastAsia="zh-CN"/>
              </w:rPr>
              <w:t>喷粉废气</w:t>
            </w:r>
            <w:r>
              <w:rPr>
                <w:color w:val="auto"/>
                <w:spacing w:val="-8"/>
                <w:sz w:val="21"/>
                <w:highlight w:val="none"/>
              </w:rPr>
              <w:t>经</w:t>
            </w:r>
            <w:r>
              <w:rPr>
                <w:rFonts w:hint="eastAsia"/>
                <w:color w:val="auto"/>
                <w:spacing w:val="-8"/>
                <w:sz w:val="21"/>
                <w:highlight w:val="none"/>
                <w:lang w:val="en-US" w:eastAsia="zh-CN"/>
              </w:rPr>
              <w:t>收集后</w:t>
            </w:r>
            <w:r>
              <w:rPr>
                <w:rFonts w:hint="eastAsia"/>
                <w:color w:val="auto"/>
                <w:spacing w:val="-8"/>
                <w:sz w:val="21"/>
                <w:lang w:val="en-US" w:eastAsia="zh-CN"/>
              </w:rPr>
              <w:t>采用“滤芯除尘器”处理后，通过15m排气筒达标排放（DA002）</w:t>
            </w:r>
          </w:p>
        </w:tc>
        <w:tc>
          <w:tcPr>
            <w:tcW w:w="3311" w:type="dxa"/>
            <w:shd w:val="clear" w:color="auto" w:fill="auto"/>
            <w:vAlign w:val="center"/>
          </w:tcPr>
          <w:p w14:paraId="30C14F23">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eastAsia="宋体"/>
                <w:color w:val="auto"/>
                <w:highlight w:val="none"/>
                <w:lang w:eastAsia="zh-CN"/>
              </w:rPr>
              <w:t>DA00</w:t>
            </w:r>
            <w:r>
              <w:rPr>
                <w:rFonts w:hint="eastAsia"/>
                <w:color w:val="auto"/>
                <w:highlight w:val="none"/>
                <w:lang w:val="en-US" w:eastAsia="zh-CN"/>
              </w:rPr>
              <w:t>2</w:t>
            </w:r>
            <w:r>
              <w:rPr>
                <w:rFonts w:hint="eastAsia" w:eastAsia="宋体"/>
                <w:color w:val="auto"/>
                <w:highlight w:val="none"/>
                <w:lang w:eastAsia="zh-CN"/>
              </w:rPr>
              <w:t>排放</w:t>
            </w:r>
            <w:r>
              <w:rPr>
                <w:rFonts w:hint="eastAsia" w:eastAsia="宋体"/>
                <w:b/>
                <w:bCs/>
                <w:color w:val="auto"/>
                <w:highlight w:val="none"/>
                <w:lang w:eastAsia="zh-CN"/>
              </w:rPr>
              <w:t>颗粒物</w:t>
            </w:r>
            <w:r>
              <w:rPr>
                <w:rFonts w:hint="eastAsia"/>
                <w:b/>
                <w:bCs/>
                <w:color w:val="auto"/>
                <w:highlight w:val="none"/>
                <w:lang w:val="en-US" w:eastAsia="zh-CN"/>
              </w:rPr>
              <w:t>有组织排放</w:t>
            </w:r>
            <w:r>
              <w:rPr>
                <w:rFonts w:hint="eastAsia" w:eastAsia="宋体"/>
                <w:color w:val="auto"/>
                <w:highlight w:val="none"/>
                <w:lang w:eastAsia="zh-CN"/>
              </w:rPr>
              <w:t>执行《大气污染物综合排放标准》（GB16297-1996）表2标准；</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即颗粒物</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120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p w14:paraId="6B0BC86B">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eastAsia="宋体"/>
                <w:color w:val="auto"/>
                <w:highlight w:val="none"/>
                <w:lang w:eastAsia="zh-CN"/>
              </w:rPr>
            </w:pPr>
            <w:r>
              <w:rPr>
                <w:rFonts w:hint="eastAsia" w:cs="Times New Roman"/>
                <w:b/>
                <w:bCs/>
                <w:color w:val="auto"/>
                <w:szCs w:val="21"/>
                <w:highlight w:val="none"/>
                <w:lang w:val="en-US" w:eastAsia="zh-CN"/>
              </w:rPr>
              <w:t>颗粒物无组织排放</w:t>
            </w:r>
            <w:r>
              <w:rPr>
                <w:rFonts w:hint="eastAsia" w:cs="Times New Roman"/>
                <w:color w:val="auto"/>
                <w:szCs w:val="21"/>
                <w:highlight w:val="none"/>
                <w:lang w:val="en-US" w:eastAsia="zh-CN"/>
              </w:rPr>
              <w:t>执行</w:t>
            </w:r>
            <w:r>
              <w:rPr>
                <w:rFonts w:hint="eastAsia" w:eastAsia="宋体"/>
                <w:color w:val="auto"/>
                <w:highlight w:val="none"/>
                <w:lang w:eastAsia="zh-CN"/>
              </w:rPr>
              <w:t>《大气污染物综合排放标准》（GB16297-1996）表2标准；</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即颗粒物周界外浓度最高点</w:t>
            </w:r>
            <w:r>
              <w:rPr>
                <w:rFonts w:hint="eastAsia" w:cs="Times New Roman"/>
                <w:color w:val="auto"/>
                <w:szCs w:val="21"/>
                <w:highlight w:val="none"/>
                <w:lang w:eastAsia="zh-CN"/>
              </w:rPr>
              <w:t>≤</w:t>
            </w:r>
            <w:r>
              <w:rPr>
                <w:rFonts w:hint="eastAsia" w:cs="Times New Roman"/>
                <w:color w:val="auto"/>
                <w:szCs w:val="21"/>
                <w:highlight w:val="none"/>
                <w:lang w:val="en-US" w:eastAsia="zh-CN"/>
              </w:rPr>
              <w:t>1.0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tc>
      </w:tr>
      <w:tr w14:paraId="36415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60" w:type="dxa"/>
            <w:vMerge w:val="continue"/>
            <w:vAlign w:val="center"/>
          </w:tcPr>
          <w:p w14:paraId="37DD0F4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43DEA4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eastAsia="宋体"/>
                <w:color w:val="auto"/>
                <w:spacing w:val="-8"/>
                <w:sz w:val="21"/>
                <w:lang w:val="en-US" w:eastAsia="zh-CN"/>
              </w:rPr>
            </w:pPr>
            <w:r>
              <w:rPr>
                <w:rFonts w:hint="eastAsia"/>
                <w:color w:val="auto"/>
                <w:spacing w:val="-8"/>
                <w:sz w:val="21"/>
                <w:lang w:val="en-US" w:eastAsia="zh-CN"/>
              </w:rPr>
              <w:t>DA002/喷粉固化废气；调漆废气、喷漆废气、喷漆固化废气</w:t>
            </w:r>
          </w:p>
        </w:tc>
        <w:tc>
          <w:tcPr>
            <w:tcW w:w="1391" w:type="dxa"/>
            <w:shd w:val="clear" w:color="auto" w:fill="auto"/>
            <w:vAlign w:val="center"/>
          </w:tcPr>
          <w:p w14:paraId="4A1D4C7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eastAsia="宋体"/>
                <w:color w:val="auto"/>
                <w:highlight w:val="none"/>
                <w:lang w:eastAsia="zh-CN"/>
              </w:rPr>
            </w:pPr>
            <w:r>
              <w:rPr>
                <w:rFonts w:ascii="宋体" w:hAnsi="宋体" w:cs="宋体"/>
                <w:color w:val="auto"/>
                <w:szCs w:val="21"/>
                <w:highlight w:val="none"/>
              </w:rPr>
              <w:t>非甲烷总烃、</w:t>
            </w:r>
            <w:r>
              <w:rPr>
                <w:rFonts w:hint="eastAsia" w:ascii="宋体" w:hAnsi="宋体" w:cs="宋体"/>
                <w:color w:val="auto"/>
                <w:szCs w:val="21"/>
                <w:highlight w:val="none"/>
                <w:lang w:val="en-US" w:eastAsia="zh-CN"/>
              </w:rPr>
              <w:t>颗粒物</w:t>
            </w:r>
          </w:p>
        </w:tc>
        <w:tc>
          <w:tcPr>
            <w:tcW w:w="2059" w:type="dxa"/>
            <w:shd w:val="clear" w:color="auto" w:fill="auto"/>
            <w:vAlign w:val="center"/>
          </w:tcPr>
          <w:p w14:paraId="5922288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pacing w:val="-8"/>
                <w:sz w:val="21"/>
              </w:rPr>
            </w:pPr>
            <w:r>
              <w:rPr>
                <w:rFonts w:hint="eastAsia"/>
                <w:color w:val="auto"/>
                <w:spacing w:val="-8"/>
                <w:sz w:val="21"/>
                <w:lang w:val="en-US" w:eastAsia="zh-CN"/>
              </w:rPr>
              <w:t>喷粉固化废气；调漆废气、喷漆废气、喷漆固化废气</w:t>
            </w:r>
            <w:r>
              <w:rPr>
                <w:color w:val="auto"/>
                <w:spacing w:val="-8"/>
                <w:sz w:val="21"/>
                <w:highlight w:val="none"/>
              </w:rPr>
              <w:t>经</w:t>
            </w:r>
            <w:r>
              <w:rPr>
                <w:rFonts w:hint="eastAsia"/>
                <w:color w:val="auto"/>
                <w:spacing w:val="-8"/>
                <w:sz w:val="21"/>
                <w:highlight w:val="none"/>
                <w:lang w:val="en-US" w:eastAsia="zh-CN"/>
              </w:rPr>
              <w:t>收集后采用“喷淋塔+过滤棉+二级活性炭吸附”</w:t>
            </w:r>
            <w:r>
              <w:rPr>
                <w:color w:val="auto"/>
                <w:spacing w:val="-8"/>
                <w:sz w:val="21"/>
              </w:rPr>
              <w:t>处理后，通过1根</w:t>
            </w:r>
            <w:r>
              <w:rPr>
                <w:rFonts w:hint="eastAsia"/>
                <w:color w:val="auto"/>
                <w:spacing w:val="-8"/>
                <w:sz w:val="21"/>
                <w:lang w:eastAsia="zh-CN"/>
              </w:rPr>
              <w:t>15m</w:t>
            </w:r>
            <w:r>
              <w:rPr>
                <w:color w:val="auto"/>
                <w:spacing w:val="-8"/>
                <w:sz w:val="21"/>
              </w:rPr>
              <w:t>高排气筒达标排放（DA00</w:t>
            </w:r>
            <w:r>
              <w:rPr>
                <w:rFonts w:hint="eastAsia"/>
                <w:color w:val="auto"/>
                <w:spacing w:val="-8"/>
                <w:sz w:val="21"/>
                <w:lang w:val="en-US" w:eastAsia="zh-CN"/>
              </w:rPr>
              <w:t>2</w:t>
            </w:r>
            <w:r>
              <w:rPr>
                <w:color w:val="auto"/>
                <w:spacing w:val="-8"/>
                <w:sz w:val="21"/>
              </w:rPr>
              <w:t>）</w:t>
            </w:r>
          </w:p>
        </w:tc>
        <w:tc>
          <w:tcPr>
            <w:tcW w:w="3311" w:type="dxa"/>
            <w:shd w:val="clear" w:color="auto" w:fill="auto"/>
            <w:vAlign w:val="center"/>
          </w:tcPr>
          <w:p w14:paraId="369412B8">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color w:val="auto"/>
                <w:highlight w:val="none"/>
                <w:lang w:eastAsia="zh-CN"/>
              </w:rPr>
              <w:t>DA00</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eastAsia="zh-CN"/>
              </w:rPr>
              <w:t>排放</w:t>
            </w:r>
            <w:r>
              <w:rPr>
                <w:rFonts w:hint="eastAsia" w:ascii="Times New Roman" w:hAnsi="Times New Roman" w:eastAsia="宋体" w:cs="Times New Roman"/>
                <w:b/>
                <w:bCs/>
                <w:color w:val="auto"/>
                <w:highlight w:val="none"/>
                <w:lang w:eastAsia="zh-CN"/>
              </w:rPr>
              <w:t>非甲烷总烃有组织排放</w:t>
            </w:r>
            <w:r>
              <w:rPr>
                <w:rFonts w:hint="eastAsia" w:ascii="Times New Roman" w:hAnsi="Times New Roman" w:eastAsia="宋体" w:cs="Times New Roman"/>
                <w:color w:val="auto"/>
                <w:highlight w:val="none"/>
                <w:lang w:eastAsia="zh-CN"/>
              </w:rPr>
              <w:t>执行</w:t>
            </w:r>
            <w:r>
              <w:rPr>
                <w:rFonts w:hint="eastAsia" w:ascii="Times New Roman" w:hAnsi="Times New Roman" w:eastAsia="宋体" w:cs="Times New Roman"/>
                <w:color w:val="auto"/>
                <w:highlight w:val="none"/>
                <w:lang w:val="en-US" w:eastAsia="zh-CN"/>
              </w:rPr>
              <w:t>《工业涂装工序挥发性有机物排放标准》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DB35/1783-2018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中表1标准限值</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即非甲烷总烃</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60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p w14:paraId="05C2B2CA">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color w:val="auto"/>
                <w:lang w:eastAsia="zh-CN"/>
              </w:rPr>
            </w:pPr>
            <w:r>
              <w:rPr>
                <w:rFonts w:hint="eastAsia" w:ascii="Times New Roman" w:hAnsi="Times New Roman" w:eastAsia="宋体" w:cs="Times New Roman"/>
                <w:b/>
                <w:bCs/>
                <w:color w:val="auto"/>
                <w:highlight w:val="none"/>
                <w:lang w:val="en-US" w:eastAsia="zh-CN"/>
              </w:rPr>
              <w:t>无组织排放的非甲烷总烃</w:t>
            </w:r>
            <w:r>
              <w:rPr>
                <w:rFonts w:hint="eastAsia" w:ascii="Times New Roman" w:hAnsi="Times New Roman" w:eastAsia="宋体" w:cs="Times New Roman"/>
                <w:color w:val="auto"/>
                <w:highlight w:val="none"/>
                <w:lang w:val="en-US" w:eastAsia="zh-CN"/>
              </w:rPr>
              <w:t>执行《工业涂装工序挥发性有机物排放标准》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DB35/1783-2018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中表3、表4标准限值及《挥发性有机物无组织排放控制标准》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 37822-2019</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中附录A表A.1标准限值</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即企业边界非甲烷总烃</w:t>
            </w:r>
            <w:r>
              <w:rPr>
                <w:rFonts w:hint="default" w:ascii="Times New Roman" w:hAnsi="Times New Roman" w:cs="Times New Roman"/>
                <w:color w:val="auto"/>
                <w:spacing w:val="0"/>
                <w:sz w:val="21"/>
                <w:szCs w:val="21"/>
                <w:lang w:val="en-US" w:eastAsia="zh-CN"/>
              </w:rPr>
              <w:t>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厂内监控点1h平均浓度值</w:t>
            </w:r>
            <w:r>
              <w:rPr>
                <w:rFonts w:hint="eastAsia" w:cs="Times New Roman"/>
                <w:color w:val="auto"/>
                <w:szCs w:val="21"/>
                <w:highlight w:val="none"/>
                <w:lang w:eastAsia="zh-CN"/>
              </w:rPr>
              <w:t>≤</w:t>
            </w:r>
            <w:r>
              <w:rPr>
                <w:rFonts w:hint="eastAsia" w:cs="Times New Roman"/>
                <w:color w:val="auto"/>
                <w:szCs w:val="21"/>
                <w:highlight w:val="none"/>
                <w:lang w:val="en-US" w:eastAsia="zh-CN"/>
              </w:rPr>
              <w:t>8.0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厂内监控点任意一次浓度值</w:t>
            </w:r>
            <w:r>
              <w:rPr>
                <w:rFonts w:hint="eastAsia" w:cs="Times New Roman"/>
                <w:color w:val="auto"/>
                <w:szCs w:val="21"/>
                <w:highlight w:val="none"/>
                <w:lang w:eastAsia="zh-CN"/>
              </w:rPr>
              <w:t>≤</w:t>
            </w:r>
            <w:r>
              <w:rPr>
                <w:rFonts w:hint="eastAsia" w:cs="Times New Roman"/>
                <w:color w:val="auto"/>
                <w:szCs w:val="21"/>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w:t>
            </w:r>
          </w:p>
          <w:p w14:paraId="0BC37180">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Times New Roman" w:hAnsi="Times New Roman" w:cs="Times New Roman"/>
                <w:color w:val="auto"/>
                <w:szCs w:val="21"/>
                <w:highlight w:val="none"/>
                <w:lang w:val="en-US" w:eastAsia="zh-CN"/>
              </w:rPr>
            </w:pPr>
            <w:r>
              <w:rPr>
                <w:rFonts w:hint="eastAsia" w:cs="Times New Roman"/>
                <w:b/>
                <w:bCs/>
                <w:color w:val="auto"/>
                <w:highlight w:val="none"/>
                <w:lang w:val="en-US" w:eastAsia="zh-CN"/>
              </w:rPr>
              <w:t>喷漆漆雾</w:t>
            </w:r>
            <w:r>
              <w:rPr>
                <w:rFonts w:hint="eastAsia" w:eastAsia="宋体"/>
                <w:b/>
                <w:bCs/>
                <w:color w:val="auto"/>
                <w:highlight w:val="none"/>
                <w:lang w:eastAsia="zh-CN"/>
              </w:rPr>
              <w:t>颗粒物</w:t>
            </w:r>
            <w:r>
              <w:rPr>
                <w:rFonts w:hint="eastAsia" w:eastAsia="宋体"/>
                <w:color w:val="auto"/>
                <w:highlight w:val="none"/>
                <w:lang w:eastAsia="zh-CN"/>
              </w:rPr>
              <w:t>执行《大气污染物综合排放标准》（GB16297-1996）表2标准</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即颗粒物</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120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w:t>
            </w:r>
          </w:p>
          <w:p w14:paraId="70D32E9F">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eastAsia="宋体"/>
                <w:color w:val="auto"/>
                <w:highlight w:val="none"/>
                <w:lang w:eastAsia="zh-CN"/>
              </w:rPr>
            </w:pPr>
            <w:r>
              <w:rPr>
                <w:rFonts w:hint="eastAsia" w:cs="Times New Roman"/>
                <w:b/>
                <w:bCs/>
                <w:color w:val="auto"/>
                <w:szCs w:val="21"/>
                <w:highlight w:val="none"/>
                <w:lang w:val="en-US" w:eastAsia="zh-CN"/>
              </w:rPr>
              <w:t>颗粒物无组织排放</w:t>
            </w:r>
            <w:r>
              <w:rPr>
                <w:rFonts w:hint="eastAsia" w:cs="Times New Roman"/>
                <w:color w:val="auto"/>
                <w:szCs w:val="21"/>
                <w:highlight w:val="none"/>
                <w:lang w:val="en-US" w:eastAsia="zh-CN"/>
              </w:rPr>
              <w:t>执行</w:t>
            </w:r>
            <w:r>
              <w:rPr>
                <w:rFonts w:hint="eastAsia" w:eastAsia="宋体"/>
                <w:color w:val="auto"/>
                <w:highlight w:val="none"/>
                <w:lang w:eastAsia="zh-CN"/>
              </w:rPr>
              <w:t>《大气污染物综合排放标准》（GB16297-1996）表2标准；</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即颗粒物周界外浓度最高点</w:t>
            </w:r>
            <w:r>
              <w:rPr>
                <w:rFonts w:hint="eastAsia" w:cs="Times New Roman"/>
                <w:color w:val="auto"/>
                <w:szCs w:val="21"/>
                <w:highlight w:val="none"/>
                <w:lang w:eastAsia="zh-CN"/>
              </w:rPr>
              <w:t>≤</w:t>
            </w:r>
            <w:r>
              <w:rPr>
                <w:rFonts w:hint="eastAsia" w:cs="Times New Roman"/>
                <w:color w:val="auto"/>
                <w:szCs w:val="21"/>
                <w:highlight w:val="none"/>
                <w:lang w:val="en-US" w:eastAsia="zh-CN"/>
              </w:rPr>
              <w:t>1.0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tc>
      </w:tr>
      <w:tr w14:paraId="73824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60" w:type="dxa"/>
            <w:vMerge w:val="continue"/>
            <w:vAlign w:val="center"/>
          </w:tcPr>
          <w:p w14:paraId="32FD70E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5FED95B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olor w:val="auto"/>
                <w:spacing w:val="-8"/>
                <w:sz w:val="21"/>
                <w:lang w:val="en-US" w:eastAsia="zh-CN"/>
              </w:rPr>
            </w:pPr>
            <w:r>
              <w:rPr>
                <w:rFonts w:hint="eastAsia"/>
                <w:color w:val="auto"/>
                <w:spacing w:val="-8"/>
                <w:sz w:val="21"/>
                <w:lang w:eastAsia="zh-CN"/>
              </w:rPr>
              <w:t>DA003</w:t>
            </w:r>
            <w:r>
              <w:rPr>
                <w:rFonts w:hint="eastAsia"/>
                <w:color w:val="auto"/>
                <w:spacing w:val="-8"/>
                <w:sz w:val="21"/>
                <w:lang w:val="en-US" w:eastAsia="zh-CN"/>
              </w:rPr>
              <w:t>/（喷粉、喷漆）天然气燃烧废气</w:t>
            </w:r>
          </w:p>
        </w:tc>
        <w:tc>
          <w:tcPr>
            <w:tcW w:w="1391" w:type="dxa"/>
            <w:shd w:val="clear" w:color="auto" w:fill="auto"/>
            <w:vAlign w:val="center"/>
          </w:tcPr>
          <w:p w14:paraId="08226EA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宋体" w:hAnsi="宋体" w:eastAsia="宋体" w:cs="宋体"/>
                <w:color w:val="auto"/>
                <w:szCs w:val="21"/>
                <w:highlight w:val="none"/>
                <w:lang w:val="en-US" w:eastAsia="zh-CN"/>
              </w:rPr>
            </w:pPr>
            <w:r>
              <w:rPr>
                <w:rFonts w:hint="eastAsia" w:eastAsia="宋体"/>
                <w:color w:val="auto"/>
                <w:highlight w:val="none"/>
                <w:lang w:eastAsia="zh-CN"/>
              </w:rPr>
              <w:t>烟（粉）尘、</w:t>
            </w:r>
            <w:r>
              <w:rPr>
                <w:rFonts w:ascii="宋体" w:hAnsi="宋体" w:cs="宋体"/>
                <w:color w:val="auto"/>
                <w:szCs w:val="21"/>
                <w:highlight w:val="none"/>
              </w:rPr>
              <w:t>二氧化硫、氮氧化物</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烟气黑度</w:t>
            </w:r>
          </w:p>
        </w:tc>
        <w:tc>
          <w:tcPr>
            <w:tcW w:w="2059" w:type="dxa"/>
            <w:shd w:val="clear" w:color="auto" w:fill="auto"/>
            <w:vAlign w:val="center"/>
          </w:tcPr>
          <w:p w14:paraId="1B03DA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olor w:val="auto"/>
                <w:spacing w:val="-8"/>
                <w:sz w:val="21"/>
                <w:lang w:val="en-US" w:eastAsia="zh-CN"/>
              </w:rPr>
            </w:pPr>
            <w:r>
              <w:rPr>
                <w:rFonts w:hint="eastAsia"/>
                <w:color w:val="auto"/>
                <w:spacing w:val="-8"/>
                <w:sz w:val="21"/>
                <w:highlight w:val="none"/>
                <w:lang w:val="en-US" w:eastAsia="zh-CN"/>
              </w:rPr>
              <w:t>（喷粉、喷漆）天然气燃烧废气</w:t>
            </w:r>
            <w:r>
              <w:rPr>
                <w:color w:val="auto"/>
                <w:spacing w:val="-8"/>
                <w:sz w:val="21"/>
                <w:highlight w:val="none"/>
              </w:rPr>
              <w:t>经</w:t>
            </w:r>
            <w:r>
              <w:rPr>
                <w:rFonts w:hint="eastAsia"/>
                <w:color w:val="auto"/>
                <w:spacing w:val="-8"/>
                <w:sz w:val="21"/>
                <w:highlight w:val="none"/>
                <w:lang w:val="en-US" w:eastAsia="zh-CN"/>
              </w:rPr>
              <w:t>收集后</w:t>
            </w:r>
            <w:r>
              <w:rPr>
                <w:color w:val="auto"/>
                <w:spacing w:val="-8"/>
                <w:sz w:val="21"/>
              </w:rPr>
              <w:t>通过1根</w:t>
            </w:r>
            <w:r>
              <w:rPr>
                <w:rFonts w:hint="eastAsia"/>
                <w:color w:val="auto"/>
                <w:spacing w:val="-8"/>
                <w:sz w:val="21"/>
                <w:lang w:val="en-US" w:eastAsia="zh-CN"/>
              </w:rPr>
              <w:t>15</w:t>
            </w:r>
            <w:r>
              <w:rPr>
                <w:rFonts w:hint="eastAsia"/>
                <w:color w:val="auto"/>
                <w:spacing w:val="-8"/>
                <w:sz w:val="21"/>
                <w:lang w:eastAsia="zh-CN"/>
              </w:rPr>
              <w:t>m</w:t>
            </w:r>
            <w:r>
              <w:rPr>
                <w:color w:val="auto"/>
                <w:spacing w:val="-8"/>
                <w:sz w:val="21"/>
              </w:rPr>
              <w:t>高排气筒达标排放（</w:t>
            </w:r>
            <w:r>
              <w:rPr>
                <w:rFonts w:hint="eastAsia"/>
                <w:color w:val="auto"/>
                <w:spacing w:val="-8"/>
                <w:sz w:val="21"/>
                <w:lang w:eastAsia="zh-CN"/>
              </w:rPr>
              <w:t>DA003</w:t>
            </w:r>
            <w:r>
              <w:rPr>
                <w:color w:val="auto"/>
                <w:spacing w:val="-8"/>
                <w:sz w:val="21"/>
              </w:rPr>
              <w:t>）</w:t>
            </w:r>
          </w:p>
        </w:tc>
        <w:tc>
          <w:tcPr>
            <w:tcW w:w="3311" w:type="dxa"/>
            <w:shd w:val="clear" w:color="auto" w:fill="auto"/>
            <w:vAlign w:val="center"/>
          </w:tcPr>
          <w:p w14:paraId="583CA606">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b/>
                <w:bCs/>
                <w:color w:val="auto"/>
                <w:highlight w:val="none"/>
                <w:lang w:eastAsia="zh-CN"/>
              </w:rPr>
              <w:t>烟（粉）尘、二氧化硫、氮氧化物</w:t>
            </w:r>
            <w:r>
              <w:rPr>
                <w:rFonts w:hint="eastAsia" w:ascii="Times New Roman" w:hAnsi="Times New Roman" w:eastAsia="宋体" w:cs="Times New Roman"/>
                <w:color w:val="auto"/>
                <w:highlight w:val="none"/>
                <w:lang w:eastAsia="zh-CN"/>
              </w:rPr>
              <w:t>排放标准执行</w:t>
            </w:r>
            <w:r>
              <w:rPr>
                <w:rFonts w:hint="eastAsia" w:ascii="Times New Roman" w:hAnsi="Times New Roman" w:eastAsia="宋体" w:cs="Times New Roman"/>
                <w:color w:val="auto"/>
                <w:highlight w:val="none"/>
                <w:lang w:val="en-US" w:eastAsia="zh-CN"/>
              </w:rPr>
              <w:t>《福建省工业炉窑大气污染综合治理方案》（闽环保大气〔2019〕10号）中明确规定的重点区域限值</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即（烟尘）颗粒物</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30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二氧化硫</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200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olor w:val="auto"/>
                <w:highlight w:val="none"/>
                <w:lang w:val="en-US" w:eastAsia="zh-CN"/>
              </w:rPr>
              <w:t>氮氧化物</w:t>
            </w:r>
            <w:r>
              <w:rPr>
                <w:rFonts w:hint="default" w:ascii="Times New Roman" w:hAnsi="Times New Roman" w:cs="Times New Roman"/>
                <w:color w:val="auto"/>
                <w:spacing w:val="0"/>
                <w:sz w:val="21"/>
                <w:szCs w:val="21"/>
                <w:lang w:val="en-US" w:eastAsia="zh-CN"/>
              </w:rPr>
              <w:t>最高浓度限值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300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val="en-US" w:eastAsia="zh-CN"/>
              </w:rPr>
              <w:t>）</w:t>
            </w:r>
          </w:p>
          <w:p w14:paraId="69B82E2A">
            <w:pPr>
              <w:rPr>
                <w:rFonts w:hint="default"/>
                <w:color w:val="auto"/>
                <w:lang w:val="en-US" w:eastAsia="zh-CN"/>
              </w:rPr>
            </w:pPr>
            <w:r>
              <w:rPr>
                <w:rFonts w:hint="eastAsia"/>
                <w:color w:val="auto"/>
                <w:lang w:eastAsia="zh-CN"/>
              </w:rPr>
              <w:t>鉴于该方案未对燃烧废气烟气黑度进行规定，</w:t>
            </w:r>
            <w:r>
              <w:rPr>
                <w:rFonts w:hint="eastAsia"/>
                <w:b/>
                <w:bCs/>
                <w:color w:val="auto"/>
                <w:lang w:eastAsia="zh-CN"/>
              </w:rPr>
              <w:t>烟气黑度</w:t>
            </w:r>
            <w:r>
              <w:rPr>
                <w:rFonts w:hint="eastAsia"/>
                <w:color w:val="auto"/>
                <w:lang w:eastAsia="zh-CN"/>
              </w:rPr>
              <w:t>参照执行《工业炉窑大气污染物排放标准》（GB9078-1996）表2标准限值（</w:t>
            </w:r>
            <w:r>
              <w:rPr>
                <w:rFonts w:hint="eastAsia"/>
                <w:color w:val="auto"/>
                <w:lang w:val="en-US" w:eastAsia="zh-CN"/>
              </w:rPr>
              <w:t>即烟气黑度≤1级（林格曼黑度）</w:t>
            </w:r>
          </w:p>
        </w:tc>
      </w:tr>
      <w:tr w14:paraId="70D10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60" w:type="dxa"/>
            <w:vMerge w:val="continue"/>
            <w:vAlign w:val="center"/>
          </w:tcPr>
          <w:p w14:paraId="50DBA6D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rPr>
            </w:pPr>
          </w:p>
        </w:tc>
        <w:tc>
          <w:tcPr>
            <w:tcW w:w="1350" w:type="dxa"/>
            <w:shd w:val="clear" w:color="auto" w:fill="auto"/>
            <w:vAlign w:val="center"/>
          </w:tcPr>
          <w:p w14:paraId="5A711A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Times New Roman" w:cs="Times New Roman"/>
                <w:color w:val="auto"/>
                <w:kern w:val="2"/>
                <w:sz w:val="21"/>
                <w:szCs w:val="24"/>
                <w:lang w:val="en-US" w:eastAsia="zh-CN" w:bidi="ar-SA"/>
              </w:rPr>
            </w:pPr>
            <w:r>
              <w:rPr>
                <w:rFonts w:hint="eastAsia" w:eastAsia="宋体"/>
                <w:color w:val="auto"/>
                <w:spacing w:val="-8"/>
                <w:sz w:val="21"/>
                <w:lang w:eastAsia="zh-CN"/>
              </w:rPr>
              <w:t>废水处理设施废气</w:t>
            </w:r>
          </w:p>
        </w:tc>
        <w:tc>
          <w:tcPr>
            <w:tcW w:w="1391" w:type="dxa"/>
            <w:shd w:val="clear" w:color="auto" w:fill="auto"/>
            <w:vAlign w:val="center"/>
          </w:tcPr>
          <w:p w14:paraId="6F636F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eastAsia="宋体"/>
                <w:color w:val="auto"/>
                <w:highlight w:val="none"/>
                <w:lang w:eastAsia="zh-CN"/>
              </w:rPr>
              <w:t>氨、硫化氢和臭气浓度</w:t>
            </w:r>
          </w:p>
        </w:tc>
        <w:tc>
          <w:tcPr>
            <w:tcW w:w="2059" w:type="dxa"/>
            <w:shd w:val="clear" w:color="auto" w:fill="auto"/>
            <w:vAlign w:val="center"/>
          </w:tcPr>
          <w:p w14:paraId="065C11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Times New Roman" w:hAnsi="Times New Roman" w:eastAsia="Times New Roman" w:cs="Times New Roman"/>
                <w:color w:val="auto"/>
                <w:kern w:val="2"/>
                <w:sz w:val="21"/>
                <w:szCs w:val="24"/>
                <w:lang w:val="en-US" w:eastAsia="zh-CN" w:bidi="ar-SA"/>
              </w:rPr>
            </w:pPr>
            <w:r>
              <w:rPr>
                <w:rFonts w:hint="eastAsia"/>
                <w:color w:val="auto"/>
                <w:spacing w:val="-8"/>
                <w:sz w:val="21"/>
                <w:lang w:val="en-US" w:eastAsia="zh-CN"/>
              </w:rPr>
              <w:t>废水处理设施产生的恶臭气体（氨、硫化氢、臭气浓度），采取加盖密闭措施进行控制，废气以无组织形式排放</w:t>
            </w:r>
          </w:p>
        </w:tc>
        <w:tc>
          <w:tcPr>
            <w:tcW w:w="3311" w:type="dxa"/>
            <w:shd w:val="clear" w:color="auto" w:fill="auto"/>
            <w:vAlign w:val="center"/>
          </w:tcPr>
          <w:p w14:paraId="514958DC">
            <w:pPr>
              <w:pStyle w:val="48"/>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both"/>
              <w:textAlignment w:val="auto"/>
              <w:rPr>
                <w:rFonts w:hint="eastAsia" w:eastAsia="宋体"/>
                <w:b/>
                <w:bCs/>
                <w:color w:val="auto"/>
                <w:highlight w:val="none"/>
                <w:lang w:eastAsia="zh-CN"/>
              </w:rPr>
            </w:pPr>
            <w:r>
              <w:rPr>
                <w:rFonts w:hint="eastAsia" w:eastAsia="宋体"/>
                <w:b/>
                <w:bCs/>
                <w:color w:val="auto"/>
                <w:highlight w:val="none"/>
                <w:lang w:eastAsia="zh-CN"/>
              </w:rPr>
              <w:t>氨、硫化氢和臭气浓度无组</w:t>
            </w:r>
          </w:p>
          <w:p w14:paraId="59C358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eastAsia="宋体"/>
                <w:b/>
                <w:bCs/>
                <w:color w:val="auto"/>
                <w:highlight w:val="none"/>
                <w:lang w:eastAsia="zh-CN"/>
              </w:rPr>
              <w:t>织排放</w:t>
            </w:r>
            <w:r>
              <w:rPr>
                <w:rFonts w:hint="eastAsia" w:eastAsia="宋体"/>
                <w:color w:val="auto"/>
                <w:highlight w:val="none"/>
                <w:lang w:eastAsia="zh-CN"/>
              </w:rPr>
              <w:t>执行《恶臭污染物排放标准》（GB14554-93）表1标准</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即厂界氨</w:t>
            </w:r>
            <w:r>
              <w:rPr>
                <w:rFonts w:hint="default" w:ascii="Times New Roman" w:hAnsi="Times New Roman" w:cs="Times New Roman"/>
                <w:color w:val="auto"/>
                <w:spacing w:val="0"/>
                <w:sz w:val="21"/>
                <w:szCs w:val="21"/>
                <w:lang w:val="en-US" w:eastAsia="zh-CN"/>
              </w:rPr>
              <w:t>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1.5</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eastAsia="zh-CN"/>
              </w:rPr>
              <w:t>，</w:t>
            </w:r>
            <w:r>
              <w:rPr>
                <w:rFonts w:hint="eastAsia"/>
                <w:color w:val="auto"/>
                <w:highlight w:val="none"/>
                <w:lang w:val="en-US" w:eastAsia="zh-CN"/>
              </w:rPr>
              <w:t>厂界硫化氢</w:t>
            </w:r>
            <w:r>
              <w:rPr>
                <w:rFonts w:hint="default" w:ascii="Times New Roman" w:hAnsi="Times New Roman" w:cs="Times New Roman"/>
                <w:color w:val="auto"/>
                <w:spacing w:val="0"/>
                <w:sz w:val="21"/>
                <w:szCs w:val="21"/>
                <w:highlight w:val="none"/>
                <w:lang w:val="en-US" w:eastAsia="zh-CN"/>
              </w:rPr>
              <w:t>浓度限值</w:t>
            </w:r>
            <w:r>
              <w:rPr>
                <w:rFonts w:hint="eastAsia" w:cs="Times New Roman"/>
                <w:color w:val="auto"/>
                <w:szCs w:val="21"/>
                <w:highlight w:val="none"/>
                <w:lang w:eastAsia="zh-CN"/>
              </w:rPr>
              <w:t>≤</w:t>
            </w:r>
            <w:r>
              <w:rPr>
                <w:rFonts w:hint="eastAsia" w:cs="Times New Roman"/>
                <w:color w:val="auto"/>
                <w:szCs w:val="21"/>
                <w:highlight w:val="none"/>
                <w:lang w:val="en-US" w:eastAsia="zh-CN"/>
              </w:rPr>
              <w:t>0.06</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eastAsia="zh-CN"/>
              </w:rPr>
              <w:t>，</w:t>
            </w:r>
            <w:r>
              <w:rPr>
                <w:rFonts w:hint="eastAsia"/>
                <w:color w:val="auto"/>
                <w:highlight w:val="none"/>
                <w:lang w:val="en-US" w:eastAsia="zh-CN"/>
              </w:rPr>
              <w:t>厂界臭气浓度</w:t>
            </w:r>
            <w:r>
              <w:rPr>
                <w:rFonts w:hint="default" w:ascii="Times New Roman" w:hAnsi="Times New Roman" w:cs="Times New Roman"/>
                <w:color w:val="auto"/>
                <w:spacing w:val="0"/>
                <w:sz w:val="21"/>
                <w:szCs w:val="21"/>
                <w:lang w:val="en-US" w:eastAsia="zh-CN"/>
              </w:rPr>
              <w:t>限值</w:t>
            </w:r>
            <w:r>
              <w:rPr>
                <w:rFonts w:hint="eastAsia" w:cs="Times New Roman"/>
                <w:color w:val="auto"/>
                <w:szCs w:val="21"/>
                <w:highlight w:val="none"/>
                <w:lang w:eastAsia="zh-CN"/>
              </w:rPr>
              <w:t>≤</w:t>
            </w:r>
            <w:r>
              <w:rPr>
                <w:rFonts w:hint="eastAsia" w:cs="Times New Roman"/>
                <w:color w:val="auto"/>
                <w:szCs w:val="21"/>
                <w:highlight w:val="none"/>
                <w:lang w:val="en-US" w:eastAsia="zh-CN"/>
              </w:rPr>
              <w:t>20（无量纲））</w:t>
            </w:r>
          </w:p>
        </w:tc>
      </w:tr>
      <w:tr w14:paraId="5F939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0" w:type="dxa"/>
            <w:vMerge w:val="restart"/>
            <w:vAlign w:val="center"/>
          </w:tcPr>
          <w:p w14:paraId="11A164C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color w:val="auto"/>
                <w:szCs w:val="21"/>
                <w:highlight w:val="none"/>
              </w:rPr>
              <w:t>地表水环境</w:t>
            </w:r>
          </w:p>
        </w:tc>
        <w:tc>
          <w:tcPr>
            <w:tcW w:w="1350" w:type="dxa"/>
            <w:vAlign w:val="center"/>
          </w:tcPr>
          <w:p w14:paraId="416E4E3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宋体" w:hAnsi="宋体" w:cs="宋体"/>
                <w:color w:val="auto"/>
                <w:szCs w:val="21"/>
                <w:highlight w:val="none"/>
                <w:lang w:val="en-US"/>
              </w:rPr>
            </w:pPr>
            <w:r>
              <w:rPr>
                <w:rFonts w:hint="eastAsia" w:ascii="Times New Roman" w:hAnsi="Times New Roman" w:cs="Times New Roman"/>
                <w:color w:val="auto"/>
                <w:sz w:val="21"/>
                <w:highlight w:val="none"/>
                <w:lang w:val="en-US" w:eastAsia="zh-CN"/>
              </w:rPr>
              <w:t>生活污水排放口</w:t>
            </w:r>
            <w:r>
              <w:rPr>
                <w:rFonts w:hint="eastAsia" w:cs="Times New Roman"/>
                <w:color w:val="auto"/>
                <w:sz w:val="21"/>
                <w:highlight w:val="none"/>
                <w:lang w:val="en-US" w:eastAsia="zh-CN"/>
              </w:rPr>
              <w:t>DW001</w:t>
            </w:r>
          </w:p>
        </w:tc>
        <w:tc>
          <w:tcPr>
            <w:tcW w:w="1391" w:type="dxa"/>
            <w:vAlign w:val="center"/>
          </w:tcPr>
          <w:p w14:paraId="0EBD58DC">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hint="eastAsia" w:eastAsia="宋体"/>
                <w:color w:val="auto"/>
                <w:szCs w:val="21"/>
                <w:highlight w:val="none"/>
                <w:lang w:eastAsia="zh-CN"/>
              </w:rPr>
            </w:pPr>
            <w:r>
              <w:rPr>
                <w:color w:val="auto"/>
                <w:szCs w:val="21"/>
                <w:highlight w:val="none"/>
              </w:rPr>
              <w:t>pH、COD、BOD</w:t>
            </w:r>
            <w:r>
              <w:rPr>
                <w:color w:val="auto"/>
                <w:szCs w:val="21"/>
                <w:highlight w:val="none"/>
                <w:vertAlign w:val="subscript"/>
              </w:rPr>
              <w:t>5</w:t>
            </w:r>
            <w:r>
              <w:rPr>
                <w:color w:val="auto"/>
                <w:szCs w:val="21"/>
                <w:highlight w:val="none"/>
              </w:rPr>
              <w:t>、SS、</w:t>
            </w:r>
            <w:r>
              <w:rPr>
                <w:rFonts w:hint="default" w:eastAsia="宋体"/>
                <w:color w:val="auto"/>
                <w:szCs w:val="21"/>
                <w:highlight w:val="none"/>
                <w:lang w:val="en-US" w:eastAsia="zh-CN"/>
              </w:rPr>
              <w:t>NH</w:t>
            </w:r>
            <w:r>
              <w:rPr>
                <w:rFonts w:hint="default" w:eastAsia="宋体"/>
                <w:color w:val="auto"/>
                <w:szCs w:val="21"/>
                <w:highlight w:val="none"/>
                <w:vertAlign w:val="subscript"/>
                <w:lang w:val="en-US" w:eastAsia="zh-CN"/>
              </w:rPr>
              <w:t>3</w:t>
            </w:r>
            <w:r>
              <w:rPr>
                <w:rFonts w:hint="default" w:eastAsia="宋体"/>
                <w:color w:val="auto"/>
                <w:szCs w:val="21"/>
                <w:highlight w:val="none"/>
                <w:lang w:val="en-US" w:eastAsia="zh-CN"/>
              </w:rPr>
              <w:t>-N</w:t>
            </w:r>
            <w:r>
              <w:rPr>
                <w:rFonts w:hint="eastAsia"/>
                <w:color w:val="auto"/>
                <w:szCs w:val="21"/>
                <w:highlight w:val="none"/>
                <w:lang w:eastAsia="zh-CN"/>
              </w:rPr>
              <w:t>、</w:t>
            </w:r>
            <w:r>
              <w:rPr>
                <w:rFonts w:hint="eastAsia" w:ascii="Times New Roman" w:hAnsi="Times New Roman" w:cs="Times New Roman"/>
                <w:color w:val="auto"/>
                <w:sz w:val="21"/>
                <w:highlight w:val="none"/>
                <w:lang w:val="en-US" w:eastAsia="zh-CN"/>
              </w:rPr>
              <w:t>TN</w:t>
            </w:r>
          </w:p>
        </w:tc>
        <w:tc>
          <w:tcPr>
            <w:tcW w:w="2059" w:type="dxa"/>
            <w:vAlign w:val="center"/>
          </w:tcPr>
          <w:p w14:paraId="2FA330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Cs w:val="21"/>
                <w:highlight w:val="none"/>
              </w:rPr>
            </w:pPr>
            <w:r>
              <w:rPr>
                <w:color w:val="auto"/>
                <w:szCs w:val="21"/>
                <w:highlight w:val="none"/>
              </w:rPr>
              <w:t>生活污水经化粪池预处理后排入市政污水管网，送往</w:t>
            </w:r>
            <w:r>
              <w:rPr>
                <w:rFonts w:hint="eastAsia"/>
                <w:color w:val="auto"/>
                <w:szCs w:val="21"/>
                <w:highlight w:val="none"/>
                <w:lang w:eastAsia="zh-CN"/>
              </w:rPr>
              <w:t>福清市第二污水处理厂</w:t>
            </w:r>
            <w:r>
              <w:rPr>
                <w:color w:val="auto"/>
                <w:szCs w:val="21"/>
                <w:highlight w:val="none"/>
              </w:rPr>
              <w:t>集中处理</w:t>
            </w:r>
          </w:p>
        </w:tc>
        <w:tc>
          <w:tcPr>
            <w:tcW w:w="3311" w:type="dxa"/>
            <w:vMerge w:val="restart"/>
            <w:vAlign w:val="center"/>
          </w:tcPr>
          <w:p w14:paraId="7DABC16A">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color w:val="auto"/>
                <w:highlight w:val="none"/>
              </w:rPr>
            </w:pPr>
            <w:r>
              <w:rPr>
                <w:color w:val="auto"/>
                <w:szCs w:val="21"/>
                <w:highlight w:val="none"/>
              </w:rPr>
              <w:t>《污水综合排放标准》（GB8978-1996）表4中的三级标准（NH</w:t>
            </w:r>
            <w:r>
              <w:rPr>
                <w:color w:val="auto"/>
                <w:szCs w:val="21"/>
                <w:highlight w:val="none"/>
                <w:vertAlign w:val="subscript"/>
              </w:rPr>
              <w:t>3</w:t>
            </w:r>
            <w:r>
              <w:rPr>
                <w:color w:val="auto"/>
                <w:szCs w:val="21"/>
                <w:highlight w:val="none"/>
              </w:rPr>
              <w:t>-N</w:t>
            </w:r>
            <w:r>
              <w:rPr>
                <w:rFonts w:hint="eastAsia"/>
                <w:color w:val="auto"/>
                <w:szCs w:val="21"/>
                <w:highlight w:val="none"/>
              </w:rPr>
              <w:t>、TP、TN</w:t>
            </w:r>
            <w:r>
              <w:rPr>
                <w:color w:val="auto"/>
                <w:szCs w:val="21"/>
                <w:highlight w:val="none"/>
              </w:rPr>
              <w:t>参照《污水排入城镇下水道水质标准》（GB/T 31962-2015）表1中B等级标准）</w:t>
            </w:r>
          </w:p>
        </w:tc>
      </w:tr>
      <w:tr w14:paraId="278D4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860" w:type="dxa"/>
            <w:vMerge w:val="continue"/>
            <w:vAlign w:val="center"/>
          </w:tcPr>
          <w:p w14:paraId="3B81D78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auto"/>
                <w:szCs w:val="21"/>
                <w:highlight w:val="none"/>
              </w:rPr>
            </w:pPr>
          </w:p>
        </w:tc>
        <w:tc>
          <w:tcPr>
            <w:tcW w:w="1350" w:type="dxa"/>
            <w:vAlign w:val="center"/>
          </w:tcPr>
          <w:p w14:paraId="17C732E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生产废水排放口DW002</w:t>
            </w:r>
          </w:p>
        </w:tc>
        <w:tc>
          <w:tcPr>
            <w:tcW w:w="1391" w:type="dxa"/>
            <w:vAlign w:val="center"/>
          </w:tcPr>
          <w:p w14:paraId="1FE8095D">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jc w:val="center"/>
              <w:textAlignment w:val="auto"/>
              <w:rPr>
                <w:rFonts w:hint="default" w:eastAsia="宋体"/>
                <w:color w:val="auto"/>
                <w:szCs w:val="21"/>
                <w:highlight w:val="none"/>
                <w:lang w:val="en-US" w:eastAsia="zh-CN"/>
              </w:rPr>
            </w:pPr>
            <w:r>
              <w:rPr>
                <w:rFonts w:hint="default" w:eastAsia="宋体"/>
                <w:color w:val="auto"/>
                <w:szCs w:val="21"/>
                <w:highlight w:val="none"/>
                <w:lang w:val="en-US" w:eastAsia="zh-CN"/>
              </w:rPr>
              <w:t>COD</w:t>
            </w:r>
            <w:r>
              <w:rPr>
                <w:rFonts w:hint="eastAsia"/>
                <w:color w:val="auto"/>
                <w:szCs w:val="21"/>
                <w:highlight w:val="none"/>
                <w:lang w:val="en-US" w:eastAsia="zh-CN"/>
              </w:rPr>
              <w:t>、</w:t>
            </w:r>
            <w:r>
              <w:rPr>
                <w:rFonts w:hint="default" w:eastAsia="宋体"/>
                <w:color w:val="auto"/>
                <w:szCs w:val="21"/>
                <w:highlight w:val="none"/>
                <w:lang w:val="en-US" w:eastAsia="zh-CN"/>
              </w:rPr>
              <w:t>BOD</w:t>
            </w:r>
            <w:r>
              <w:rPr>
                <w:rFonts w:hint="default" w:eastAsia="宋体"/>
                <w:color w:val="auto"/>
                <w:szCs w:val="21"/>
                <w:highlight w:val="none"/>
                <w:vertAlign w:val="subscript"/>
                <w:lang w:val="en-US" w:eastAsia="zh-CN"/>
              </w:rPr>
              <w:t>5</w:t>
            </w:r>
            <w:r>
              <w:rPr>
                <w:rFonts w:hint="default" w:eastAsia="宋体"/>
                <w:color w:val="auto"/>
                <w:szCs w:val="21"/>
                <w:highlight w:val="none"/>
                <w:lang w:val="en-US" w:eastAsia="zh-CN"/>
              </w:rPr>
              <w:t>、SS、石油类</w:t>
            </w:r>
            <w:r>
              <w:rPr>
                <w:rFonts w:hint="eastAsia"/>
                <w:color w:val="auto"/>
                <w:szCs w:val="21"/>
                <w:highlight w:val="none"/>
                <w:lang w:val="en-US" w:eastAsia="zh-CN"/>
              </w:rPr>
              <w:t>、</w:t>
            </w:r>
            <w:r>
              <w:rPr>
                <w:rFonts w:hint="default" w:eastAsia="宋体"/>
                <w:color w:val="auto"/>
                <w:szCs w:val="21"/>
                <w:highlight w:val="none"/>
                <w:lang w:val="en-US" w:eastAsia="zh-CN"/>
              </w:rPr>
              <w:t>LAS</w:t>
            </w:r>
            <w:r>
              <w:rPr>
                <w:rFonts w:hint="eastAsia"/>
                <w:color w:val="auto"/>
                <w:szCs w:val="21"/>
                <w:highlight w:val="none"/>
                <w:lang w:val="en-US" w:eastAsia="zh-CN"/>
              </w:rPr>
              <w:t>、</w:t>
            </w:r>
            <w:r>
              <w:rPr>
                <w:rFonts w:hint="default" w:eastAsia="宋体"/>
                <w:color w:val="auto"/>
                <w:szCs w:val="21"/>
                <w:highlight w:val="none"/>
                <w:lang w:val="en-US" w:eastAsia="zh-CN"/>
              </w:rPr>
              <w:t>NH</w:t>
            </w:r>
            <w:r>
              <w:rPr>
                <w:rFonts w:hint="default" w:eastAsia="宋体"/>
                <w:color w:val="auto"/>
                <w:szCs w:val="21"/>
                <w:highlight w:val="none"/>
                <w:vertAlign w:val="subscript"/>
                <w:lang w:val="en-US" w:eastAsia="zh-CN"/>
              </w:rPr>
              <w:t>3</w:t>
            </w:r>
            <w:r>
              <w:rPr>
                <w:rFonts w:hint="default" w:eastAsia="宋体"/>
                <w:color w:val="auto"/>
                <w:szCs w:val="21"/>
                <w:highlight w:val="none"/>
                <w:lang w:val="en-US" w:eastAsia="zh-CN"/>
              </w:rPr>
              <w:t>-N、TN</w:t>
            </w:r>
          </w:p>
        </w:tc>
        <w:tc>
          <w:tcPr>
            <w:tcW w:w="2059" w:type="dxa"/>
            <w:vAlign w:val="center"/>
          </w:tcPr>
          <w:p w14:paraId="0A59082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color w:val="auto"/>
                <w:sz w:val="21"/>
                <w:szCs w:val="21"/>
                <w:highlight w:val="none"/>
                <w:lang w:val="en-US" w:eastAsia="zh-CN"/>
              </w:rPr>
            </w:pPr>
            <w:r>
              <w:rPr>
                <w:rFonts w:hint="eastAsia"/>
                <w:color w:val="auto"/>
                <w:sz w:val="21"/>
                <w:szCs w:val="21"/>
                <w:highlight w:val="none"/>
                <w:lang w:val="en-US" w:eastAsia="zh-CN"/>
              </w:rPr>
              <w:t>生产废水</w:t>
            </w:r>
            <w:r>
              <w:rPr>
                <w:rFonts w:hint="eastAsia" w:ascii="Times New Roman" w:hAnsi="Times New Roman"/>
                <w:color w:val="auto"/>
                <w:sz w:val="21"/>
                <w:szCs w:val="21"/>
                <w:highlight w:val="none"/>
                <w:lang w:val="en-US" w:eastAsia="zh-CN"/>
              </w:rPr>
              <w:t>经</w:t>
            </w:r>
            <w:r>
              <w:rPr>
                <w:rFonts w:hint="eastAsia"/>
                <w:color w:val="auto"/>
                <w:spacing w:val="-8"/>
                <w:sz w:val="21"/>
                <w:highlight w:val="none"/>
                <w:lang w:val="en-US" w:eastAsia="zh-CN"/>
              </w:rPr>
              <w:t>废水处理设施</w:t>
            </w:r>
            <w:r>
              <w:rPr>
                <w:rFonts w:hint="eastAsia"/>
                <w:color w:val="auto"/>
                <w:sz w:val="21"/>
                <w:szCs w:val="21"/>
                <w:highlight w:val="none"/>
                <w:lang w:val="en-US" w:eastAsia="zh-CN"/>
              </w:rPr>
              <w:t>（处理工艺为</w:t>
            </w:r>
            <w:r>
              <w:rPr>
                <w:rFonts w:hint="eastAsia" w:ascii="Times New Roman" w:hAnsi="Times New Roman"/>
                <w:color w:val="auto"/>
                <w:sz w:val="21"/>
                <w:szCs w:val="21"/>
                <w:highlight w:val="none"/>
                <w:lang w:val="en-US" w:eastAsia="zh-CN"/>
              </w:rPr>
              <w:t>“</w:t>
            </w:r>
            <w:r>
              <w:rPr>
                <w:rFonts w:hint="eastAsia"/>
                <w:color w:val="auto"/>
                <w:sz w:val="21"/>
                <w:szCs w:val="21"/>
                <w:highlight w:val="none"/>
                <w:lang w:val="en-US" w:eastAsia="zh-CN"/>
              </w:rPr>
              <w:t>物化+A/O+沉淀</w:t>
            </w:r>
            <w:r>
              <w:rPr>
                <w:rFonts w:hint="eastAsia" w:ascii="Times New Roman" w:hAnsi="Times New Roman"/>
                <w:color w:val="auto"/>
                <w:sz w:val="21"/>
                <w:szCs w:val="21"/>
                <w:highlight w:val="none"/>
                <w:lang w:val="en-US" w:eastAsia="zh-CN"/>
              </w:rPr>
              <w:t>”</w:t>
            </w:r>
            <w:r>
              <w:rPr>
                <w:rFonts w:hint="eastAsia"/>
                <w:color w:val="auto"/>
                <w:sz w:val="21"/>
                <w:szCs w:val="21"/>
                <w:highlight w:val="none"/>
                <w:lang w:val="en-US" w:eastAsia="zh-CN"/>
              </w:rPr>
              <w:t>）</w:t>
            </w:r>
            <w:r>
              <w:rPr>
                <w:rFonts w:hint="eastAsia" w:ascii="Times New Roman" w:hAnsi="Times New Roman"/>
                <w:color w:val="auto"/>
                <w:sz w:val="21"/>
                <w:szCs w:val="21"/>
                <w:highlight w:val="none"/>
                <w:lang w:val="en-US" w:eastAsia="zh-CN"/>
              </w:rPr>
              <w:t>处理后，接市政污水管网</w:t>
            </w:r>
            <w:r>
              <w:rPr>
                <w:color w:val="auto"/>
                <w:szCs w:val="21"/>
                <w:highlight w:val="none"/>
              </w:rPr>
              <w:t>送往</w:t>
            </w:r>
            <w:r>
              <w:rPr>
                <w:rFonts w:hint="eastAsia"/>
                <w:color w:val="auto"/>
                <w:szCs w:val="21"/>
                <w:highlight w:val="none"/>
                <w:lang w:eastAsia="zh-CN"/>
              </w:rPr>
              <w:t>福清市第二污水处理厂</w:t>
            </w:r>
            <w:r>
              <w:rPr>
                <w:color w:val="auto"/>
                <w:szCs w:val="21"/>
                <w:highlight w:val="none"/>
              </w:rPr>
              <w:t>集中处理</w:t>
            </w:r>
          </w:p>
        </w:tc>
        <w:tc>
          <w:tcPr>
            <w:tcW w:w="3311" w:type="dxa"/>
            <w:vMerge w:val="continue"/>
            <w:vAlign w:val="center"/>
          </w:tcPr>
          <w:p w14:paraId="38570BF5">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hint="eastAsia" w:eastAsia="宋体"/>
                <w:color w:val="auto"/>
                <w:szCs w:val="21"/>
                <w:highlight w:val="none"/>
                <w:lang w:val="en-US" w:eastAsia="zh-CN"/>
              </w:rPr>
            </w:pPr>
          </w:p>
        </w:tc>
      </w:tr>
      <w:tr w14:paraId="140B2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0" w:type="dxa"/>
            <w:vAlign w:val="center"/>
          </w:tcPr>
          <w:p w14:paraId="47DF0D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声环境</w:t>
            </w:r>
          </w:p>
        </w:tc>
        <w:tc>
          <w:tcPr>
            <w:tcW w:w="1350" w:type="dxa"/>
            <w:vAlign w:val="center"/>
          </w:tcPr>
          <w:p w14:paraId="54D5EF11">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auto"/>
                <w:szCs w:val="21"/>
                <w:highlight w:val="none"/>
              </w:rPr>
            </w:pPr>
            <w:r>
              <w:rPr>
                <w:color w:val="auto"/>
                <w:highlight w:val="none"/>
              </w:rPr>
              <w:t>厂界噪声</w:t>
            </w:r>
          </w:p>
        </w:tc>
        <w:tc>
          <w:tcPr>
            <w:tcW w:w="1391" w:type="dxa"/>
            <w:vAlign w:val="center"/>
          </w:tcPr>
          <w:p w14:paraId="524C1192">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auto"/>
                <w:szCs w:val="21"/>
                <w:highlight w:val="none"/>
              </w:rPr>
            </w:pPr>
            <w:r>
              <w:rPr>
                <w:color w:val="auto"/>
                <w:highlight w:val="none"/>
              </w:rPr>
              <w:t>连续等效A声级</w:t>
            </w:r>
          </w:p>
        </w:tc>
        <w:tc>
          <w:tcPr>
            <w:tcW w:w="2059" w:type="dxa"/>
            <w:vAlign w:val="center"/>
          </w:tcPr>
          <w:p w14:paraId="39B5D1D0">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textAlignment w:val="auto"/>
              <w:rPr>
                <w:rFonts w:ascii="宋体" w:hAnsi="宋体" w:cs="宋体"/>
                <w:color w:val="auto"/>
                <w:szCs w:val="21"/>
                <w:highlight w:val="none"/>
              </w:rPr>
            </w:pPr>
            <w:r>
              <w:rPr>
                <w:color w:val="auto"/>
                <w:highlight w:val="none"/>
              </w:rPr>
              <w:t>设备采取隔声降噪减振和消声等措施</w:t>
            </w:r>
          </w:p>
        </w:tc>
        <w:tc>
          <w:tcPr>
            <w:tcW w:w="3311" w:type="dxa"/>
            <w:vAlign w:val="center"/>
          </w:tcPr>
          <w:p w14:paraId="67AF7246">
            <w:pPr>
              <w:pStyle w:val="48"/>
              <w:keepNext w:val="0"/>
              <w:keepLines w:val="0"/>
              <w:pageBreakBefore w:val="0"/>
              <w:widowControl w:val="0"/>
              <w:tabs>
                <w:tab w:val="left" w:pos="0"/>
              </w:tabs>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Cs w:val="21"/>
                <w:highlight w:val="none"/>
                <w:lang w:eastAsia="zh-CN"/>
              </w:rPr>
            </w:pPr>
            <w:r>
              <w:rPr>
                <w:rFonts w:hint="eastAsia"/>
                <w:color w:val="auto"/>
                <w:highlight w:val="none"/>
                <w:lang w:val="en-US" w:eastAsia="zh-CN"/>
              </w:rPr>
              <w:t>厂界执行</w:t>
            </w:r>
            <w:r>
              <w:rPr>
                <w:color w:val="auto"/>
                <w:highlight w:val="none"/>
              </w:rPr>
              <w:t>《工业企业厂界环境噪声排放标准》</w:t>
            </w:r>
            <w:r>
              <w:rPr>
                <w:rFonts w:hint="eastAsia"/>
                <w:color w:val="auto"/>
                <w:highlight w:val="none"/>
                <w:lang w:eastAsia="zh-CN"/>
              </w:rPr>
              <w:t>（</w:t>
            </w:r>
            <w:r>
              <w:rPr>
                <w:color w:val="auto"/>
                <w:highlight w:val="none"/>
              </w:rPr>
              <w:t>GB12348-2008</w:t>
            </w:r>
            <w:r>
              <w:rPr>
                <w:rFonts w:hint="eastAsia"/>
                <w:color w:val="auto"/>
                <w:highlight w:val="none"/>
                <w:lang w:eastAsia="zh-CN"/>
              </w:rPr>
              <w:t>）</w:t>
            </w:r>
            <w:r>
              <w:rPr>
                <w:rFonts w:hint="eastAsia"/>
                <w:color w:val="auto"/>
                <w:highlight w:val="none"/>
                <w:lang w:val="en-US" w:eastAsia="zh-CN"/>
              </w:rPr>
              <w:t>3</w:t>
            </w:r>
            <w:r>
              <w:rPr>
                <w:color w:val="auto"/>
                <w:highlight w:val="none"/>
              </w:rPr>
              <w:t>类标准</w:t>
            </w:r>
            <w:r>
              <w:rPr>
                <w:rFonts w:hint="eastAsia"/>
                <w:color w:val="auto"/>
                <w:sz w:val="21"/>
                <w:szCs w:val="21"/>
                <w:highlight w:val="none"/>
              </w:rPr>
              <w:t>限值</w:t>
            </w:r>
          </w:p>
        </w:tc>
      </w:tr>
      <w:tr w14:paraId="6FE4F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14:paraId="1F3F76BF">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电磁</w:t>
            </w:r>
          </w:p>
          <w:p w14:paraId="269D394C">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辐射</w:t>
            </w:r>
          </w:p>
        </w:tc>
        <w:tc>
          <w:tcPr>
            <w:tcW w:w="1350" w:type="dxa"/>
            <w:vAlign w:val="center"/>
          </w:tcPr>
          <w:p w14:paraId="13E105FE">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1391" w:type="dxa"/>
            <w:vAlign w:val="center"/>
          </w:tcPr>
          <w:p w14:paraId="490B7067">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2059" w:type="dxa"/>
            <w:vAlign w:val="center"/>
          </w:tcPr>
          <w:p w14:paraId="5A4E7B03">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3311" w:type="dxa"/>
            <w:vAlign w:val="center"/>
          </w:tcPr>
          <w:p w14:paraId="66E6F541">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r>
      <w:tr w14:paraId="757DC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860" w:type="dxa"/>
            <w:vAlign w:val="center"/>
          </w:tcPr>
          <w:p w14:paraId="53C1ADA2">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固体</w:t>
            </w:r>
          </w:p>
          <w:p w14:paraId="00F6358A">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废物</w:t>
            </w:r>
          </w:p>
        </w:tc>
        <w:tc>
          <w:tcPr>
            <w:tcW w:w="8111" w:type="dxa"/>
            <w:gridSpan w:val="4"/>
            <w:vAlign w:val="center"/>
          </w:tcPr>
          <w:p w14:paraId="1F0668B8">
            <w:pPr>
              <w:pageBreakBefore w:val="0"/>
              <w:kinsoku/>
              <w:overflowPunct/>
              <w:topLinePunct w:val="0"/>
              <w:bidi w:val="0"/>
              <w:adjustRightInd w:val="0"/>
              <w:snapToGrid w:val="0"/>
              <w:spacing w:line="240" w:lineRule="auto"/>
              <w:ind w:left="0" w:firstLine="0" w:firstLineChars="0"/>
              <w:textAlignment w:val="auto"/>
              <w:rPr>
                <w:rFonts w:hint="eastAsia" w:cs="宋体"/>
                <w:color w:val="auto"/>
                <w:szCs w:val="21"/>
                <w:highlight w:val="none"/>
                <w:lang w:bidi="ar"/>
              </w:rPr>
            </w:pPr>
            <w:r>
              <w:rPr>
                <w:rFonts w:hint="eastAsia" w:cs="宋体"/>
                <w:b/>
                <w:bCs/>
                <w:color w:val="auto"/>
                <w:szCs w:val="21"/>
                <w:highlight w:val="none"/>
                <w:lang w:bidi="ar"/>
              </w:rPr>
              <w:t>一般工业固废</w:t>
            </w:r>
            <w:r>
              <w:rPr>
                <w:rFonts w:hint="eastAsia" w:cs="宋体"/>
                <w:color w:val="auto"/>
                <w:szCs w:val="21"/>
                <w:highlight w:val="none"/>
                <w:lang w:bidi="ar"/>
              </w:rPr>
              <w:t>：</w:t>
            </w:r>
            <w:r>
              <w:rPr>
                <w:rFonts w:hint="eastAsia" w:cs="宋体"/>
                <w:color w:val="auto"/>
                <w:szCs w:val="21"/>
                <w:highlight w:val="none"/>
                <w:lang w:val="en-US" w:eastAsia="zh-CN" w:bidi="ar"/>
              </w:rPr>
              <w:t>项目产生的一般工业固废为：废一般包装材料、废金属料、焊渣、废金属灰、纯水制备废RO膜以及废过滤材料，拟</w:t>
            </w:r>
            <w:r>
              <w:rPr>
                <w:rFonts w:hint="eastAsia" w:cs="宋体"/>
                <w:color w:val="auto"/>
                <w:szCs w:val="21"/>
                <w:highlight w:val="none"/>
                <w:lang w:bidi="ar"/>
              </w:rPr>
              <w:t>设置一般工业固废暂存间，妥善分类收集后回用于生产或外售综合利用；满足</w:t>
            </w:r>
            <w:r>
              <w:rPr>
                <w:rFonts w:hint="eastAsia"/>
                <w:color w:val="auto"/>
                <w:highlight w:val="none"/>
              </w:rPr>
              <w:t>《一般工业固体废物贮存和填埋污染控制标准》（GB18599-2020）</w:t>
            </w:r>
            <w:r>
              <w:rPr>
                <w:rFonts w:hint="eastAsia" w:cs="宋体"/>
                <w:color w:val="auto"/>
                <w:szCs w:val="21"/>
                <w:highlight w:val="none"/>
                <w:lang w:bidi="ar"/>
              </w:rPr>
              <w:t>的相关要求；</w:t>
            </w:r>
          </w:p>
          <w:p w14:paraId="2134C2B6">
            <w:pPr>
              <w:pageBreakBefore w:val="0"/>
              <w:kinsoku/>
              <w:overflowPunct/>
              <w:topLinePunct w:val="0"/>
              <w:bidi w:val="0"/>
              <w:adjustRightInd w:val="0"/>
              <w:snapToGrid w:val="0"/>
              <w:spacing w:line="240" w:lineRule="auto"/>
              <w:ind w:left="0" w:firstLine="0" w:firstLineChars="0"/>
              <w:textAlignment w:val="auto"/>
              <w:rPr>
                <w:rFonts w:hint="eastAsia" w:ascii="宋体" w:hAnsi="宋体" w:eastAsia="宋体" w:cs="宋体"/>
                <w:color w:val="auto"/>
                <w:szCs w:val="21"/>
                <w:highlight w:val="none"/>
                <w:lang w:val="en-US" w:eastAsia="zh-CN"/>
              </w:rPr>
            </w:pPr>
            <w:r>
              <w:rPr>
                <w:rFonts w:hint="eastAsia" w:cs="宋体"/>
                <w:b/>
                <w:bCs/>
                <w:color w:val="auto"/>
                <w:szCs w:val="21"/>
                <w:highlight w:val="none"/>
                <w:lang w:bidi="ar"/>
              </w:rPr>
              <w:t>危险废物</w:t>
            </w:r>
            <w:r>
              <w:rPr>
                <w:rFonts w:hint="eastAsia" w:cs="宋体"/>
                <w:color w:val="auto"/>
                <w:szCs w:val="21"/>
                <w:highlight w:val="none"/>
                <w:lang w:bidi="ar"/>
              </w:rPr>
              <w:t>：</w:t>
            </w:r>
            <w:r>
              <w:rPr>
                <w:rFonts w:hint="eastAsia" w:cs="宋体"/>
                <w:color w:val="auto"/>
                <w:szCs w:val="21"/>
                <w:highlight w:val="none"/>
                <w:lang w:val="en-US" w:eastAsia="zh-CN" w:bidi="ar"/>
              </w:rPr>
              <w:t>项目产生的危险废物为：废涂料桶、废化学品包装、废过滤物（槽渣）、废水处理污泥、废活性炭、废机油、废油桶、废滤膜、废含油抹布手套、废滤筒滤芯、浮油、废漆渣和废槽液，拟建设危废储存库1座</w:t>
            </w:r>
            <w:r>
              <w:rPr>
                <w:rFonts w:hint="eastAsia" w:cs="宋体"/>
                <w:color w:val="auto"/>
                <w:szCs w:val="21"/>
                <w:highlight w:val="none"/>
                <w:lang w:bidi="ar"/>
              </w:rPr>
              <w:t>。危险废物分类收集，暂存在</w:t>
            </w:r>
            <w:r>
              <w:rPr>
                <w:rFonts w:hint="eastAsia" w:cs="宋体"/>
                <w:color w:val="auto"/>
                <w:szCs w:val="21"/>
                <w:highlight w:val="none"/>
                <w:lang w:eastAsia="zh-CN" w:bidi="ar"/>
              </w:rPr>
              <w:t>危废储存库</w:t>
            </w:r>
            <w:r>
              <w:rPr>
                <w:rFonts w:hint="eastAsia" w:cs="宋体"/>
                <w:color w:val="auto"/>
                <w:szCs w:val="21"/>
                <w:highlight w:val="none"/>
                <w:lang w:bidi="ar"/>
              </w:rPr>
              <w:t>，定期委托有资质单位处置，危险废物收集、暂存、装运等需满足《危险废物贮存污染控制标准》</w:t>
            </w:r>
            <w:r>
              <w:rPr>
                <w:rFonts w:hint="eastAsia" w:cs="宋体"/>
                <w:color w:val="auto"/>
                <w:szCs w:val="21"/>
                <w:highlight w:val="none"/>
                <w:lang w:eastAsia="zh-CN" w:bidi="ar"/>
              </w:rPr>
              <w:t>（</w:t>
            </w:r>
            <w:r>
              <w:rPr>
                <w:color w:val="auto"/>
                <w:szCs w:val="21"/>
                <w:highlight w:val="none"/>
                <w:lang w:bidi="ar"/>
              </w:rPr>
              <w:t>GB18597-20</w:t>
            </w:r>
            <w:r>
              <w:rPr>
                <w:rFonts w:hint="eastAsia"/>
                <w:color w:val="auto"/>
                <w:szCs w:val="21"/>
                <w:highlight w:val="none"/>
                <w:lang w:val="en-US" w:eastAsia="zh-CN" w:bidi="ar"/>
              </w:rPr>
              <w:t>23）</w:t>
            </w:r>
            <w:r>
              <w:rPr>
                <w:rFonts w:hint="eastAsia" w:cs="宋体"/>
                <w:color w:val="auto"/>
                <w:szCs w:val="21"/>
                <w:highlight w:val="none"/>
                <w:lang w:bidi="ar"/>
              </w:rPr>
              <w:t>。危废转移应严格按《危险废物转移联单管理办法》要求执行；</w:t>
            </w:r>
            <w:r>
              <w:rPr>
                <w:rFonts w:hint="eastAsia"/>
                <w:color w:val="auto"/>
                <w:szCs w:val="21"/>
                <w:highlight w:val="none"/>
                <w:lang w:bidi="ar"/>
              </w:rPr>
              <w:t>生活垃圾：由垃圾桶收集，由市政环卫部门统一清运处理</w:t>
            </w:r>
            <w:r>
              <w:rPr>
                <w:rFonts w:hint="eastAsia"/>
                <w:color w:val="auto"/>
                <w:szCs w:val="21"/>
                <w:highlight w:val="none"/>
                <w:lang w:val="en-US" w:eastAsia="zh-CN" w:bidi="ar"/>
              </w:rPr>
              <w:t>。</w:t>
            </w:r>
          </w:p>
        </w:tc>
      </w:tr>
      <w:tr w14:paraId="2F95C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860" w:type="dxa"/>
            <w:vAlign w:val="center"/>
          </w:tcPr>
          <w:p w14:paraId="4C8F7646">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土壤及地下水污染防治措施</w:t>
            </w:r>
          </w:p>
        </w:tc>
        <w:tc>
          <w:tcPr>
            <w:tcW w:w="8111" w:type="dxa"/>
            <w:gridSpan w:val="4"/>
            <w:vAlign w:val="center"/>
          </w:tcPr>
          <w:p w14:paraId="6D80FBF1">
            <w:pPr>
              <w:pStyle w:val="46"/>
              <w:pageBreakBefore w:val="0"/>
              <w:kinsoku/>
              <w:overflowPunct/>
              <w:topLinePunct w:val="0"/>
              <w:bidi w:val="0"/>
              <w:spacing w:line="240" w:lineRule="auto"/>
              <w:ind w:left="0" w:leftChars="0" w:firstLine="0" w:firstLineChars="0"/>
              <w:textAlignment w:val="auto"/>
              <w:rPr>
                <w:rFonts w:ascii="宋体" w:hAnsi="宋体" w:cs="宋体"/>
                <w:color w:val="auto"/>
                <w:sz w:val="21"/>
                <w:szCs w:val="21"/>
                <w:highlight w:val="none"/>
              </w:rPr>
            </w:pPr>
            <w:r>
              <w:rPr>
                <w:color w:val="auto"/>
                <w:sz w:val="21"/>
                <w:szCs w:val="21"/>
                <w:highlight w:val="none"/>
              </w:rPr>
              <w:t>按照</w:t>
            </w:r>
            <w:r>
              <w:rPr>
                <w:rFonts w:hint="eastAsia"/>
                <w:color w:val="auto"/>
                <w:sz w:val="21"/>
                <w:szCs w:val="21"/>
                <w:highlight w:val="none"/>
                <w:lang w:eastAsia="zh-CN"/>
              </w:rPr>
              <w:t>“</w:t>
            </w:r>
            <w:r>
              <w:rPr>
                <w:color w:val="auto"/>
                <w:sz w:val="21"/>
                <w:szCs w:val="21"/>
                <w:highlight w:val="none"/>
              </w:rPr>
              <w:t>源头控制、分区防治、污染监控、应急响应</w:t>
            </w:r>
            <w:r>
              <w:rPr>
                <w:rFonts w:hint="eastAsia"/>
                <w:color w:val="auto"/>
                <w:sz w:val="21"/>
                <w:szCs w:val="21"/>
                <w:highlight w:val="none"/>
                <w:lang w:eastAsia="zh-CN"/>
              </w:rPr>
              <w:t>”</w:t>
            </w:r>
            <w:r>
              <w:rPr>
                <w:color w:val="auto"/>
                <w:sz w:val="21"/>
                <w:szCs w:val="21"/>
                <w:highlight w:val="none"/>
              </w:rPr>
              <w:t>相结合的原则全阶段进行控制</w:t>
            </w:r>
            <w:r>
              <w:rPr>
                <w:rFonts w:hint="eastAsia"/>
                <w:color w:val="auto"/>
                <w:sz w:val="21"/>
                <w:szCs w:val="21"/>
                <w:highlight w:val="none"/>
              </w:rPr>
              <w:t>。</w:t>
            </w:r>
          </w:p>
        </w:tc>
      </w:tr>
      <w:tr w14:paraId="2E2DA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60" w:type="dxa"/>
            <w:vAlign w:val="center"/>
          </w:tcPr>
          <w:p w14:paraId="500E61AF">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生态保护措施</w:t>
            </w:r>
          </w:p>
        </w:tc>
        <w:tc>
          <w:tcPr>
            <w:tcW w:w="8111" w:type="dxa"/>
            <w:gridSpan w:val="4"/>
            <w:vAlign w:val="center"/>
          </w:tcPr>
          <w:p w14:paraId="561EEE45">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r>
      <w:tr w14:paraId="2FE4E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Align w:val="center"/>
          </w:tcPr>
          <w:p w14:paraId="5538219E">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pacing w:val="-8"/>
                <w:szCs w:val="21"/>
                <w:highlight w:val="none"/>
              </w:rPr>
            </w:pPr>
            <w:r>
              <w:rPr>
                <w:rFonts w:hint="eastAsia" w:ascii="宋体" w:hAnsi="宋体" w:cs="宋体"/>
                <w:color w:val="auto"/>
                <w:spacing w:val="-8"/>
                <w:szCs w:val="21"/>
                <w:highlight w:val="none"/>
              </w:rPr>
              <w:t>环境风险防范措施</w:t>
            </w:r>
          </w:p>
        </w:tc>
        <w:tc>
          <w:tcPr>
            <w:tcW w:w="8111" w:type="dxa"/>
            <w:gridSpan w:val="4"/>
            <w:vAlign w:val="center"/>
          </w:tcPr>
          <w:p w14:paraId="3840EF67">
            <w:pPr>
              <w:pStyle w:val="46"/>
              <w:pageBreakBefore w:val="0"/>
              <w:kinsoku/>
              <w:overflowPunct/>
              <w:topLinePunct w:val="0"/>
              <w:bidi w:val="0"/>
              <w:spacing w:line="240" w:lineRule="auto"/>
              <w:ind w:left="0" w:firstLine="0" w:firstLineChars="0"/>
              <w:textAlignment w:val="auto"/>
              <w:rPr>
                <w:rFonts w:hint="eastAsia"/>
                <w:color w:val="auto"/>
                <w:sz w:val="21"/>
                <w:szCs w:val="21"/>
                <w:highlight w:val="none"/>
              </w:rPr>
            </w:pPr>
            <w:r>
              <w:rPr>
                <w:rFonts w:hint="eastAsia"/>
                <w:color w:val="auto"/>
                <w:sz w:val="21"/>
                <w:szCs w:val="21"/>
                <w:highlight w:val="none"/>
              </w:rPr>
              <w:t>①</w:t>
            </w:r>
            <w:r>
              <w:rPr>
                <w:rFonts w:ascii="Times New Roman" w:hAnsi="Times New Roman" w:eastAsia="宋体" w:cs="Times New Roman"/>
                <w:color w:val="auto"/>
                <w:sz w:val="21"/>
                <w:szCs w:val="21"/>
                <w:highlight w:val="none"/>
                <w:lang w:val="en-US" w:eastAsia="zh-CN"/>
              </w:rPr>
              <w:t>生产车间、仓库设置有消防设备</w:t>
            </w:r>
            <w:r>
              <w:rPr>
                <w:rFonts w:hint="eastAsia" w:ascii="Times New Roman" w:hAnsi="Times New Roman" w:cs="Times New Roman"/>
                <w:color w:val="auto"/>
                <w:sz w:val="21"/>
                <w:szCs w:val="21"/>
                <w:highlight w:val="none"/>
                <w:lang w:val="en-US" w:eastAsia="zh-CN"/>
              </w:rPr>
              <w:t>。</w:t>
            </w:r>
          </w:p>
          <w:p w14:paraId="0E5C3411">
            <w:pPr>
              <w:pStyle w:val="46"/>
              <w:pageBreakBefore w:val="0"/>
              <w:kinsoku/>
              <w:overflowPunct/>
              <w:topLinePunct w:val="0"/>
              <w:bidi w:val="0"/>
              <w:spacing w:line="240" w:lineRule="auto"/>
              <w:ind w:left="0" w:firstLine="0" w:firstLineChars="0"/>
              <w:textAlignment w:val="auto"/>
              <w:rPr>
                <w:color w:val="auto"/>
                <w:sz w:val="21"/>
                <w:szCs w:val="21"/>
                <w:highlight w:val="none"/>
              </w:rPr>
            </w:pPr>
            <w:r>
              <w:rPr>
                <w:rFonts w:hint="eastAsia"/>
                <w:color w:val="auto"/>
                <w:sz w:val="21"/>
                <w:szCs w:val="21"/>
                <w:highlight w:val="none"/>
              </w:rPr>
              <w:t>②</w:t>
            </w:r>
            <w:r>
              <w:rPr>
                <w:color w:val="auto"/>
                <w:sz w:val="21"/>
                <w:szCs w:val="21"/>
                <w:highlight w:val="none"/>
              </w:rPr>
              <w:t>加强职工管理，进行必要的安全消防教育，并做好个人防护。</w:t>
            </w:r>
          </w:p>
          <w:p w14:paraId="454C45E7">
            <w:pPr>
              <w:pStyle w:val="46"/>
              <w:pageBreakBefore w:val="0"/>
              <w:kinsoku/>
              <w:overflowPunct/>
              <w:topLinePunct w:val="0"/>
              <w:bidi w:val="0"/>
              <w:spacing w:line="240" w:lineRule="auto"/>
              <w:ind w:left="0" w:firstLine="0" w:firstLineChars="0"/>
              <w:textAlignment w:val="auto"/>
              <w:rPr>
                <w:color w:val="auto"/>
                <w:sz w:val="21"/>
                <w:szCs w:val="21"/>
                <w:highlight w:val="none"/>
              </w:rPr>
            </w:pPr>
            <w:r>
              <w:rPr>
                <w:rFonts w:hint="eastAsia"/>
                <w:color w:val="auto"/>
                <w:sz w:val="21"/>
                <w:szCs w:val="21"/>
                <w:highlight w:val="none"/>
              </w:rPr>
              <w:t>③</w:t>
            </w:r>
            <w:r>
              <w:rPr>
                <w:color w:val="auto"/>
                <w:sz w:val="21"/>
                <w:szCs w:val="21"/>
                <w:highlight w:val="none"/>
              </w:rPr>
              <w:t>企业应加强设备管理，确保设备完好，并制定严格的操作、管理制度，工作人员应培训上岗，定期对池体进行检查，杜绝“跑、冒、滴、漏”的发生。</w:t>
            </w:r>
          </w:p>
          <w:p w14:paraId="61F21B6B">
            <w:pPr>
              <w:pStyle w:val="46"/>
              <w:pageBreakBefore w:val="0"/>
              <w:kinsoku/>
              <w:overflowPunct/>
              <w:topLinePunct w:val="0"/>
              <w:bidi w:val="0"/>
              <w:spacing w:line="240" w:lineRule="auto"/>
              <w:ind w:left="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rPr>
              <w:t>④</w:t>
            </w:r>
            <w:r>
              <w:rPr>
                <w:rFonts w:ascii="Times New Roman" w:hAnsi="Times New Roman" w:eastAsia="宋体" w:cs="Times New Roman"/>
                <w:color w:val="auto"/>
                <w:sz w:val="21"/>
                <w:szCs w:val="21"/>
                <w:highlight w:val="none"/>
                <w:lang w:val="en-US" w:eastAsia="zh-CN"/>
              </w:rPr>
              <w:t>生产车间应进行地面硬化，确保项目</w:t>
            </w:r>
            <w:r>
              <w:rPr>
                <w:rFonts w:hint="eastAsia" w:ascii="Times New Roman" w:hAnsi="Times New Roman" w:eastAsia="宋体" w:cs="Times New Roman"/>
                <w:color w:val="auto"/>
                <w:sz w:val="21"/>
                <w:szCs w:val="21"/>
                <w:highlight w:val="none"/>
                <w:lang w:val="en-US" w:eastAsia="zh-CN"/>
              </w:rPr>
              <w:t>原料</w:t>
            </w:r>
            <w:r>
              <w:rPr>
                <w:rFonts w:hint="eastAsia" w:cs="Times New Roman"/>
                <w:color w:val="auto"/>
                <w:sz w:val="21"/>
                <w:szCs w:val="21"/>
                <w:highlight w:val="none"/>
                <w:lang w:val="en-US" w:eastAsia="zh-CN"/>
              </w:rPr>
              <w:t>贮存区</w:t>
            </w:r>
            <w:r>
              <w:rPr>
                <w:rFonts w:hint="eastAsia" w:ascii="Times New Roman" w:hAnsi="Times New Roman" w:eastAsia="宋体" w:cs="Times New Roman"/>
                <w:color w:val="auto"/>
                <w:sz w:val="21"/>
                <w:szCs w:val="21"/>
                <w:highlight w:val="none"/>
                <w:lang w:val="en-US" w:eastAsia="zh-CN"/>
              </w:rPr>
              <w:t>、</w:t>
            </w:r>
            <w:r>
              <w:rPr>
                <w:rFonts w:ascii="Times New Roman" w:hAnsi="Times New Roman" w:eastAsia="宋体" w:cs="Times New Roman"/>
                <w:color w:val="auto"/>
                <w:sz w:val="21"/>
                <w:szCs w:val="21"/>
                <w:highlight w:val="none"/>
                <w:lang w:val="en-US" w:eastAsia="zh-CN"/>
              </w:rPr>
              <w:t>生产设备等发生</w:t>
            </w:r>
            <w:r>
              <w:rPr>
                <w:rFonts w:hint="eastAsia" w:ascii="Times New Roman" w:hAnsi="Times New Roman" w:eastAsia="宋体" w:cs="Times New Roman"/>
                <w:color w:val="auto"/>
                <w:sz w:val="21"/>
                <w:szCs w:val="21"/>
                <w:highlight w:val="none"/>
                <w:lang w:val="en-US" w:eastAsia="zh-CN"/>
              </w:rPr>
              <w:t>泄漏</w:t>
            </w:r>
            <w:r>
              <w:rPr>
                <w:rFonts w:ascii="Times New Roman" w:hAnsi="Times New Roman" w:eastAsia="宋体" w:cs="Times New Roman"/>
                <w:color w:val="auto"/>
                <w:sz w:val="21"/>
                <w:szCs w:val="21"/>
                <w:highlight w:val="none"/>
                <w:lang w:val="en-US" w:eastAsia="zh-CN"/>
              </w:rPr>
              <w:t>，物料不会对土壤及地下水造成污染；</w:t>
            </w:r>
            <w:r>
              <w:rPr>
                <w:rFonts w:hint="eastAsia"/>
                <w:color w:val="auto"/>
                <w:sz w:val="21"/>
                <w:szCs w:val="21"/>
                <w:highlight w:val="none"/>
                <w:lang w:val="en-US" w:eastAsia="zh-CN"/>
              </w:rPr>
              <w:t>危废储存库</w:t>
            </w:r>
            <w:r>
              <w:rPr>
                <w:color w:val="auto"/>
                <w:sz w:val="21"/>
                <w:szCs w:val="21"/>
                <w:highlight w:val="none"/>
              </w:rPr>
              <w:t>应涂上环氧树脂防渗材料。</w:t>
            </w:r>
          </w:p>
        </w:tc>
      </w:tr>
      <w:tr w14:paraId="3BB41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0" w:type="dxa"/>
            <w:vAlign w:val="center"/>
          </w:tcPr>
          <w:p w14:paraId="39776A2D">
            <w:pPr>
              <w:pageBreakBefore w:val="0"/>
              <w:kinsoku/>
              <w:overflowPunct/>
              <w:topLinePunct w:val="0"/>
              <w:bidi w:val="0"/>
              <w:adjustRightInd w:val="0"/>
              <w:snapToGrid w:val="0"/>
              <w:spacing w:line="240" w:lineRule="auto"/>
              <w:ind w:left="0" w:firstLine="0" w:firstLineChars="0"/>
              <w:jc w:val="center"/>
              <w:textAlignment w:val="auto"/>
              <w:rPr>
                <w:rFonts w:ascii="宋体" w:hAnsi="宋体" w:cs="宋体"/>
                <w:color w:val="auto"/>
                <w:spacing w:val="-8"/>
                <w:szCs w:val="21"/>
                <w:highlight w:val="none"/>
              </w:rPr>
            </w:pPr>
            <w:r>
              <w:rPr>
                <w:rFonts w:hint="eastAsia" w:ascii="宋体" w:hAnsi="宋体" w:cs="宋体"/>
                <w:color w:val="auto"/>
                <w:spacing w:val="-8"/>
                <w:szCs w:val="21"/>
                <w:highlight w:val="none"/>
              </w:rPr>
              <w:t>其他环境管理要求</w:t>
            </w:r>
          </w:p>
        </w:tc>
        <w:tc>
          <w:tcPr>
            <w:tcW w:w="8111" w:type="dxa"/>
            <w:gridSpan w:val="4"/>
            <w:vAlign w:val="center"/>
          </w:tcPr>
          <w:p w14:paraId="11D17842">
            <w:pPr>
              <w:pStyle w:val="30"/>
              <w:pageBreakBefore w:val="0"/>
              <w:widowControl w:val="0"/>
              <w:kinsoku/>
              <w:overflowPunct/>
              <w:topLinePunct w:val="0"/>
              <w:bidi w:val="0"/>
              <w:spacing w:before="0" w:beforeAutospacing="0" w:after="0" w:afterAutospacing="0" w:line="240" w:lineRule="auto"/>
              <w:ind w:left="0" w:firstLine="0" w:firstLineChars="0"/>
              <w:textAlignment w:val="auto"/>
              <w:rPr>
                <w:rFonts w:hint="eastAsia" w:ascii="Times New Roman" w:hAnsi="Times New Roman"/>
                <w:color w:val="auto"/>
                <w:sz w:val="21"/>
                <w:szCs w:val="21"/>
                <w:highlight w:val="none"/>
              </w:rPr>
            </w:pPr>
          </w:p>
          <w:p w14:paraId="11157A28">
            <w:pPr>
              <w:pStyle w:val="46"/>
              <w:pageBreakBefore w:val="0"/>
              <w:kinsoku/>
              <w:overflowPunct/>
              <w:topLinePunct w:val="0"/>
              <w:bidi w:val="0"/>
              <w:spacing w:line="240" w:lineRule="auto"/>
              <w:ind w:left="0" w:firstLine="0" w:firstLineChars="0"/>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①根据《固定污染源排污许可分类管理名录（2019年版）》相关内容可知，本项目需执行登记管理，项目竣工后应当在全国排污许可证管理信息平台填报。</w:t>
            </w:r>
          </w:p>
          <w:p w14:paraId="314EF6FF">
            <w:pPr>
              <w:pStyle w:val="46"/>
              <w:pageBreakBefore w:val="0"/>
              <w:kinsoku/>
              <w:overflowPunct/>
              <w:topLinePunct w:val="0"/>
              <w:bidi w:val="0"/>
              <w:spacing w:line="240" w:lineRule="auto"/>
              <w:ind w:left="0" w:firstLine="0" w:firstLineChars="0"/>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②项目需按《建设项目竣工环境保护验收技术指南污染影响类》（生态环境部令第9号）要求完成竣工环保验收。</w:t>
            </w:r>
          </w:p>
          <w:p w14:paraId="51730695">
            <w:pPr>
              <w:pStyle w:val="46"/>
              <w:pageBreakBefore w:val="0"/>
              <w:kinsoku/>
              <w:overflowPunct/>
              <w:topLinePunct w:val="0"/>
              <w:bidi w:val="0"/>
              <w:spacing w:line="240" w:lineRule="auto"/>
              <w:ind w:left="0" w:firstLine="0" w:firstLineChars="0"/>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③项目竣工后，应当根据建设实际情况对厂内进行应急预案编制。</w:t>
            </w:r>
          </w:p>
          <w:p w14:paraId="744DE3FD">
            <w:pPr>
              <w:pStyle w:val="46"/>
              <w:pageBreakBefore w:val="0"/>
              <w:kinsoku/>
              <w:overflowPunct/>
              <w:topLinePunct w:val="0"/>
              <w:bidi w:val="0"/>
              <w:spacing w:line="240" w:lineRule="auto"/>
              <w:ind w:left="0" w:firstLine="0" w:firstLineChars="0"/>
              <w:textAlignment w:val="auto"/>
              <w:rPr>
                <w:rFonts w:hint="eastAsia"/>
                <w:color w:val="auto"/>
                <w:kern w:val="0"/>
                <w:sz w:val="21"/>
                <w:szCs w:val="21"/>
                <w:highlight w:val="none"/>
                <w:lang w:val="en-US" w:eastAsia="zh-CN"/>
              </w:rPr>
            </w:pPr>
            <w:r>
              <w:rPr>
                <w:rFonts w:hint="eastAsia"/>
                <w:color w:val="auto"/>
                <w:sz w:val="21"/>
                <w:szCs w:val="21"/>
                <w:highlight w:val="none"/>
              </w:rPr>
              <w:t>④</w:t>
            </w:r>
            <w:r>
              <w:rPr>
                <w:rFonts w:hint="eastAsia"/>
                <w:color w:val="auto"/>
                <w:kern w:val="0"/>
                <w:sz w:val="21"/>
                <w:szCs w:val="21"/>
                <w:highlight w:val="none"/>
                <w:lang w:val="en-US" w:eastAsia="zh-CN"/>
              </w:rPr>
              <w:t>环保投资估算：</w:t>
            </w:r>
          </w:p>
          <w:p w14:paraId="4E864D83">
            <w:pPr>
              <w:pStyle w:val="6"/>
              <w:pageBreakBefore w:val="0"/>
              <w:numPr>
                <w:ilvl w:val="4"/>
                <w:numId w:val="0"/>
              </w:numPr>
              <w:kinsoku/>
              <w:overflowPunct/>
              <w:topLinePunct w:val="0"/>
              <w:bidi w:val="0"/>
              <w:spacing w:before="0" w:after="0" w:line="240" w:lineRule="auto"/>
              <w:ind w:left="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 xml:space="preserve">表5.1-1 </w:t>
            </w:r>
            <w:r>
              <w:rPr>
                <w:rFonts w:hint="default" w:ascii="Times New Roman" w:hAnsi="Times New Roman" w:eastAsia="宋体" w:cs="Times New Roman"/>
                <w:b/>
                <w:bCs/>
                <w:color w:val="auto"/>
                <w:kern w:val="2"/>
                <w:sz w:val="21"/>
                <w:szCs w:val="21"/>
                <w:highlight w:val="none"/>
                <w:lang w:val="en-US" w:eastAsia="zh-CN" w:bidi="ar-SA"/>
              </w:rPr>
              <w:t xml:space="preserve"> 项目环保投资估算表</w:t>
            </w:r>
          </w:p>
          <w:tbl>
            <w:tblPr>
              <w:tblStyle w:val="35"/>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2000"/>
              <w:gridCol w:w="2704"/>
              <w:gridCol w:w="1974"/>
            </w:tblGrid>
            <w:tr w14:paraId="4E9DE1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tcBorders>
                    <w:bottom w:val="single" w:color="auto" w:sz="8" w:space="0"/>
                  </w:tcBorders>
                  <w:vAlign w:val="center"/>
                </w:tcPr>
                <w:p w14:paraId="0F1DD0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类型</w:t>
                  </w:r>
                </w:p>
              </w:tc>
              <w:tc>
                <w:tcPr>
                  <w:tcW w:w="1267" w:type="pct"/>
                  <w:tcBorders>
                    <w:bottom w:val="single" w:color="auto" w:sz="8" w:space="0"/>
                  </w:tcBorders>
                  <w:vAlign w:val="center"/>
                </w:tcPr>
                <w:p w14:paraId="08F7AD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处理对象</w:t>
                  </w:r>
                </w:p>
              </w:tc>
              <w:tc>
                <w:tcPr>
                  <w:tcW w:w="1713" w:type="pct"/>
                  <w:tcBorders>
                    <w:bottom w:val="single" w:color="auto" w:sz="8" w:space="0"/>
                  </w:tcBorders>
                  <w:vAlign w:val="center"/>
                </w:tcPr>
                <w:p w14:paraId="347A05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处理措施/设备</w:t>
                  </w:r>
                </w:p>
              </w:tc>
              <w:tc>
                <w:tcPr>
                  <w:tcW w:w="1250" w:type="pct"/>
                  <w:tcBorders>
                    <w:bottom w:val="single" w:color="auto" w:sz="8" w:space="0"/>
                  </w:tcBorders>
                  <w:vAlign w:val="center"/>
                </w:tcPr>
                <w:p w14:paraId="4112A25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投资（万元）</w:t>
                  </w:r>
                </w:p>
              </w:tc>
            </w:tr>
            <w:tr w14:paraId="40E9E4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restart"/>
                  <w:tcBorders>
                    <w:top w:val="single" w:color="auto" w:sz="8" w:space="0"/>
                    <w:tl2br w:val="nil"/>
                    <w:tr2bl w:val="nil"/>
                  </w:tcBorders>
                  <w:vAlign w:val="center"/>
                </w:tcPr>
                <w:p w14:paraId="479981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废气</w:t>
                  </w:r>
                </w:p>
              </w:tc>
              <w:tc>
                <w:tcPr>
                  <w:tcW w:w="1267" w:type="pct"/>
                  <w:tcBorders>
                    <w:top w:val="single" w:color="auto" w:sz="8" w:space="0"/>
                    <w:tl2br w:val="nil"/>
                    <w:tr2bl w:val="nil"/>
                  </w:tcBorders>
                  <w:shd w:val="clear" w:color="auto" w:fill="auto"/>
                  <w:vAlign w:val="center"/>
                </w:tcPr>
                <w:p w14:paraId="58D965AA">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lang w:val="en-US" w:eastAsia="zh-CN" w:bidi="ar-SA"/>
                    </w:rPr>
                  </w:pPr>
                  <w:r>
                    <w:rPr>
                      <w:rFonts w:ascii="Times New Roman" w:hAnsi="Times New Roman" w:eastAsia="宋体"/>
                      <w:color w:val="auto"/>
                      <w:spacing w:val="5"/>
                      <w:sz w:val="21"/>
                    </w:rPr>
                    <w:t>电泳</w:t>
                  </w:r>
                  <w:r>
                    <w:rPr>
                      <w:rFonts w:hint="eastAsia" w:ascii="Times New Roman" w:hAnsi="Times New Roman"/>
                      <w:color w:val="auto"/>
                      <w:spacing w:val="5"/>
                      <w:sz w:val="21"/>
                      <w:lang w:val="en-US" w:eastAsia="zh-CN"/>
                    </w:rPr>
                    <w:t>废气</w:t>
                  </w:r>
                  <w:r>
                    <w:rPr>
                      <w:rFonts w:ascii="Times New Roman" w:hAnsi="Times New Roman" w:eastAsia="宋体"/>
                      <w:color w:val="auto"/>
                      <w:spacing w:val="5"/>
                      <w:sz w:val="21"/>
                    </w:rPr>
                    <w:t>、</w:t>
                  </w:r>
                  <w:r>
                    <w:rPr>
                      <w:rFonts w:hint="eastAsia" w:ascii="Times New Roman" w:hAnsi="Times New Roman"/>
                      <w:color w:val="auto"/>
                      <w:spacing w:val="5"/>
                      <w:sz w:val="21"/>
                      <w:lang w:val="en-US" w:eastAsia="zh-CN"/>
                    </w:rPr>
                    <w:t>电泳</w:t>
                  </w:r>
                  <w:r>
                    <w:rPr>
                      <w:rFonts w:ascii="Times New Roman" w:hAnsi="Times New Roman" w:eastAsia="宋体"/>
                      <w:color w:val="auto"/>
                      <w:spacing w:val="5"/>
                      <w:sz w:val="21"/>
                    </w:rPr>
                    <w:t>固化废气</w:t>
                  </w:r>
                  <w:r>
                    <w:rPr>
                      <w:rFonts w:hint="eastAsia" w:ascii="Times New Roman" w:hAnsi="Times New Roman"/>
                      <w:color w:val="auto"/>
                      <w:spacing w:val="5"/>
                      <w:sz w:val="21"/>
                      <w:lang w:eastAsia="zh-CN"/>
                    </w:rPr>
                    <w:t>、（</w:t>
                  </w:r>
                  <w:r>
                    <w:rPr>
                      <w:rFonts w:hint="eastAsia" w:ascii="Times New Roman" w:hAnsi="Times New Roman"/>
                      <w:color w:val="auto"/>
                      <w:spacing w:val="5"/>
                      <w:sz w:val="21"/>
                      <w:lang w:val="en-US" w:eastAsia="zh-CN"/>
                    </w:rPr>
                    <w:t>电泳）天然气燃烧废气</w:t>
                  </w:r>
                </w:p>
              </w:tc>
              <w:tc>
                <w:tcPr>
                  <w:tcW w:w="1713" w:type="pct"/>
                  <w:tcBorders>
                    <w:top w:val="single" w:color="auto" w:sz="8" w:space="0"/>
                    <w:tl2br w:val="nil"/>
                    <w:tr2bl w:val="nil"/>
                  </w:tcBorders>
                  <w:vAlign w:val="center"/>
                </w:tcPr>
                <w:p w14:paraId="3644F200">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spacing w:val="6"/>
                      <w:sz w:val="21"/>
                      <w:lang w:val="en-US" w:eastAsia="zh-CN"/>
                    </w:rPr>
                  </w:pPr>
                  <w:r>
                    <w:rPr>
                      <w:rFonts w:ascii="Times New Roman" w:hAnsi="Times New Roman" w:eastAsia="宋体"/>
                      <w:color w:val="auto"/>
                      <w:spacing w:val="6"/>
                      <w:sz w:val="21"/>
                    </w:rPr>
                    <w:t>电泳</w:t>
                  </w:r>
                  <w:r>
                    <w:rPr>
                      <w:rFonts w:hint="eastAsia" w:ascii="Times New Roman" w:hAnsi="Times New Roman" w:eastAsia="宋体"/>
                      <w:color w:val="auto"/>
                      <w:spacing w:val="6"/>
                      <w:sz w:val="21"/>
                      <w:lang w:val="en-US" w:eastAsia="zh-CN"/>
                    </w:rPr>
                    <w:t>废气</w:t>
                  </w:r>
                  <w:r>
                    <w:rPr>
                      <w:rFonts w:ascii="Times New Roman" w:hAnsi="Times New Roman" w:eastAsia="宋体"/>
                      <w:color w:val="auto"/>
                      <w:spacing w:val="6"/>
                      <w:sz w:val="21"/>
                    </w:rPr>
                    <w:t>、</w:t>
                  </w:r>
                  <w:r>
                    <w:rPr>
                      <w:rFonts w:hint="eastAsia" w:ascii="Times New Roman" w:hAnsi="Times New Roman" w:eastAsia="宋体"/>
                      <w:color w:val="auto"/>
                      <w:spacing w:val="6"/>
                      <w:sz w:val="21"/>
                      <w:lang w:val="en-US" w:eastAsia="zh-CN"/>
                    </w:rPr>
                    <w:t>电泳</w:t>
                  </w:r>
                  <w:r>
                    <w:rPr>
                      <w:rFonts w:ascii="Times New Roman" w:hAnsi="Times New Roman" w:eastAsia="宋体"/>
                      <w:color w:val="auto"/>
                      <w:spacing w:val="6"/>
                      <w:sz w:val="21"/>
                    </w:rPr>
                    <w:t>固化废气</w:t>
                  </w:r>
                  <w:r>
                    <w:rPr>
                      <w:rFonts w:hint="eastAsia" w:ascii="Times New Roman" w:hAnsi="Times New Roman" w:eastAsia="宋体"/>
                      <w:color w:val="auto"/>
                      <w:spacing w:val="6"/>
                      <w:sz w:val="21"/>
                      <w:lang w:eastAsia="zh-CN"/>
                    </w:rPr>
                    <w:t>、（</w:t>
                  </w:r>
                  <w:r>
                    <w:rPr>
                      <w:rFonts w:hint="eastAsia" w:ascii="Times New Roman" w:hAnsi="Times New Roman" w:eastAsia="宋体"/>
                      <w:color w:val="auto"/>
                      <w:spacing w:val="6"/>
                      <w:sz w:val="21"/>
                      <w:lang w:val="en-US" w:eastAsia="zh-CN"/>
                    </w:rPr>
                    <w:t>电泳）天然气燃烧废气</w:t>
                  </w:r>
                  <w:r>
                    <w:rPr>
                      <w:rFonts w:ascii="Times New Roman" w:hAnsi="Times New Roman" w:eastAsia="宋体"/>
                      <w:color w:val="auto"/>
                      <w:spacing w:val="6"/>
                      <w:sz w:val="21"/>
                    </w:rPr>
                    <w:t>经</w:t>
                  </w:r>
                  <w:r>
                    <w:rPr>
                      <w:rFonts w:hint="eastAsia" w:ascii="Times New Roman" w:hAnsi="Times New Roman" w:eastAsia="宋体"/>
                      <w:color w:val="auto"/>
                      <w:spacing w:val="6"/>
                      <w:sz w:val="21"/>
                      <w:lang w:val="en-US" w:eastAsia="zh-CN"/>
                    </w:rPr>
                    <w:t>收集后采用“</w:t>
                  </w:r>
                  <w:r>
                    <w:rPr>
                      <w:rFonts w:hint="eastAsia" w:ascii="Times New Roman" w:hAnsi="Times New Roman" w:eastAsia="宋体"/>
                      <w:color w:val="auto"/>
                      <w:spacing w:val="6"/>
                      <w:sz w:val="21"/>
                      <w:lang w:eastAsia="zh-CN"/>
                    </w:rPr>
                    <w:t>喷淋塔+过滤棉+二级活性炭吸附”</w:t>
                  </w:r>
                  <w:r>
                    <w:rPr>
                      <w:rFonts w:ascii="Times New Roman" w:hAnsi="Times New Roman" w:eastAsia="宋体"/>
                      <w:color w:val="auto"/>
                      <w:spacing w:val="6"/>
                      <w:sz w:val="21"/>
                    </w:rPr>
                    <w:t>处理后，通过1根</w:t>
                  </w:r>
                  <w:r>
                    <w:rPr>
                      <w:rFonts w:hint="eastAsia" w:ascii="Times New Roman" w:hAnsi="Times New Roman" w:eastAsia="宋体"/>
                      <w:color w:val="auto"/>
                      <w:spacing w:val="6"/>
                      <w:sz w:val="21"/>
                      <w:lang w:eastAsia="zh-CN"/>
                    </w:rPr>
                    <w:t>15m</w:t>
                  </w:r>
                  <w:r>
                    <w:rPr>
                      <w:rFonts w:ascii="Times New Roman" w:hAnsi="Times New Roman" w:eastAsia="宋体"/>
                      <w:color w:val="auto"/>
                      <w:spacing w:val="6"/>
                      <w:sz w:val="21"/>
                    </w:rPr>
                    <w:t>高排气筒达标排放（DA001）</w:t>
                  </w:r>
                </w:p>
              </w:tc>
              <w:tc>
                <w:tcPr>
                  <w:tcW w:w="1250" w:type="pct"/>
                  <w:tcBorders>
                    <w:top w:val="single" w:color="auto" w:sz="8" w:space="0"/>
                    <w:tl2br w:val="nil"/>
                    <w:tr2bl w:val="nil"/>
                  </w:tcBorders>
                  <w:vAlign w:val="center"/>
                </w:tcPr>
                <w:p w14:paraId="6D9CDDE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cs="Times New Roman"/>
                      <w:color w:val="auto"/>
                      <w:spacing w:val="2"/>
                      <w:position w:val="2"/>
                      <w:sz w:val="21"/>
                      <w:szCs w:val="20"/>
                      <w:lang w:val="en-US" w:eastAsia="zh-CN"/>
                    </w:rPr>
                    <w:t>10</w:t>
                  </w:r>
                </w:p>
              </w:tc>
            </w:tr>
            <w:tr w14:paraId="3263CA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continue"/>
                  <w:tcBorders>
                    <w:tl2br w:val="nil"/>
                    <w:tr2bl w:val="nil"/>
                  </w:tcBorders>
                  <w:vAlign w:val="center"/>
                </w:tcPr>
                <w:p w14:paraId="6519DC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1267" w:type="pct"/>
                  <w:tcBorders>
                    <w:tl2br w:val="nil"/>
                    <w:tr2bl w:val="nil"/>
                  </w:tcBorders>
                  <w:shd w:val="clear" w:color="auto" w:fill="auto"/>
                  <w:vAlign w:val="center"/>
                </w:tcPr>
                <w:p w14:paraId="1ABF2DE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lang w:val="en-US" w:eastAsia="zh-CN" w:bidi="ar-SA"/>
                    </w:rPr>
                  </w:pPr>
                  <w:r>
                    <w:rPr>
                      <w:rFonts w:ascii="Times New Roman" w:hAnsi="Times New Roman" w:eastAsia="宋体"/>
                      <w:color w:val="auto"/>
                      <w:spacing w:val="7"/>
                      <w:sz w:val="21"/>
                    </w:rPr>
                    <w:t>焊接废气</w:t>
                  </w:r>
                </w:p>
              </w:tc>
              <w:tc>
                <w:tcPr>
                  <w:tcW w:w="1713" w:type="pct"/>
                  <w:tcBorders>
                    <w:tl2br w:val="nil"/>
                    <w:tr2bl w:val="nil"/>
                  </w:tcBorders>
                  <w:vAlign w:val="center"/>
                </w:tcPr>
                <w:p w14:paraId="74F01F5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spacing w:val="6"/>
                      <w:sz w:val="21"/>
                      <w:lang w:val="en-US" w:eastAsia="zh-CN"/>
                    </w:rPr>
                  </w:pPr>
                  <w:r>
                    <w:rPr>
                      <w:rFonts w:ascii="Times New Roman" w:hAnsi="Times New Roman" w:eastAsia="宋体"/>
                      <w:color w:val="auto"/>
                      <w:spacing w:val="6"/>
                      <w:sz w:val="21"/>
                    </w:rPr>
                    <w:t>焊接废气经</w:t>
                  </w:r>
                  <w:r>
                    <w:rPr>
                      <w:rFonts w:hint="eastAsia" w:ascii="Times New Roman" w:hAnsi="Times New Roman" w:eastAsia="宋体"/>
                      <w:color w:val="auto"/>
                      <w:spacing w:val="6"/>
                      <w:sz w:val="21"/>
                      <w:lang w:val="en-US" w:eastAsia="zh-CN"/>
                    </w:rPr>
                    <w:t>收集后采用</w:t>
                  </w:r>
                  <w:r>
                    <w:rPr>
                      <w:rFonts w:hint="eastAsia" w:ascii="Times New Roman" w:hAnsi="Times New Roman" w:eastAsia="宋体"/>
                      <w:color w:val="auto"/>
                      <w:spacing w:val="6"/>
                      <w:sz w:val="21"/>
                      <w:lang w:eastAsia="zh-CN"/>
                    </w:rPr>
                    <w:t>布袋</w:t>
                  </w:r>
                  <w:r>
                    <w:rPr>
                      <w:rFonts w:ascii="Times New Roman" w:hAnsi="Times New Roman" w:eastAsia="宋体"/>
                      <w:color w:val="auto"/>
                      <w:spacing w:val="6"/>
                      <w:sz w:val="21"/>
                    </w:rPr>
                    <w:t>除尘器处理后，通过1根</w:t>
                  </w:r>
                  <w:r>
                    <w:rPr>
                      <w:rFonts w:hint="eastAsia" w:ascii="Times New Roman" w:hAnsi="Times New Roman" w:eastAsia="宋体"/>
                      <w:color w:val="auto"/>
                      <w:spacing w:val="6"/>
                      <w:sz w:val="21"/>
                      <w:lang w:val="en-US" w:eastAsia="zh-CN"/>
                    </w:rPr>
                    <w:t>15</w:t>
                  </w:r>
                  <w:r>
                    <w:rPr>
                      <w:rFonts w:ascii="Times New Roman" w:hAnsi="Times New Roman" w:eastAsia="宋体"/>
                      <w:color w:val="auto"/>
                      <w:spacing w:val="6"/>
                      <w:sz w:val="21"/>
                    </w:rPr>
                    <w:t>m高排气筒达标排放（DA002）</w:t>
                  </w:r>
                </w:p>
              </w:tc>
              <w:tc>
                <w:tcPr>
                  <w:tcW w:w="1250" w:type="pct"/>
                  <w:tcBorders>
                    <w:tl2br w:val="nil"/>
                    <w:tr2bl w:val="nil"/>
                  </w:tcBorders>
                  <w:vAlign w:val="center"/>
                </w:tcPr>
                <w:p w14:paraId="1A1B9F4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cs="Times New Roman"/>
                      <w:color w:val="auto"/>
                      <w:spacing w:val="2"/>
                      <w:position w:val="2"/>
                      <w:sz w:val="21"/>
                      <w:szCs w:val="20"/>
                      <w:lang w:val="en-US" w:eastAsia="zh-CN"/>
                    </w:rPr>
                    <w:t>10</w:t>
                  </w:r>
                </w:p>
              </w:tc>
            </w:tr>
            <w:tr w14:paraId="40C4E8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continue"/>
                  <w:tcBorders>
                    <w:tl2br w:val="nil"/>
                    <w:tr2bl w:val="nil"/>
                  </w:tcBorders>
                  <w:vAlign w:val="center"/>
                </w:tcPr>
                <w:p w14:paraId="216818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1267" w:type="pct"/>
                  <w:tcBorders>
                    <w:tl2br w:val="nil"/>
                    <w:tr2bl w:val="nil"/>
                  </w:tcBorders>
                  <w:shd w:val="clear" w:color="auto" w:fill="auto"/>
                  <w:vAlign w:val="center"/>
                </w:tcPr>
                <w:p w14:paraId="5804D8F3">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喷粉废气</w:t>
                  </w:r>
                </w:p>
              </w:tc>
              <w:tc>
                <w:tcPr>
                  <w:tcW w:w="1713" w:type="pct"/>
                  <w:tcBorders>
                    <w:tl2br w:val="nil"/>
                    <w:tr2bl w:val="nil"/>
                  </w:tcBorders>
                  <w:vAlign w:val="center"/>
                </w:tcPr>
                <w:p w14:paraId="21658774">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color w:val="auto"/>
                      <w:spacing w:val="6"/>
                      <w:sz w:val="21"/>
                    </w:rPr>
                  </w:pPr>
                  <w:r>
                    <w:rPr>
                      <w:rFonts w:hint="eastAsia" w:ascii="Times New Roman" w:hAnsi="Times New Roman" w:eastAsia="宋体"/>
                      <w:color w:val="auto"/>
                      <w:spacing w:val="6"/>
                      <w:sz w:val="21"/>
                      <w:lang w:val="en-US" w:eastAsia="zh-CN"/>
                    </w:rPr>
                    <w:t>滤芯除尘器处理后引入15m排气筒达标排放（DA002）</w:t>
                  </w:r>
                </w:p>
              </w:tc>
              <w:tc>
                <w:tcPr>
                  <w:tcW w:w="1250" w:type="pct"/>
                  <w:tcBorders>
                    <w:tl2br w:val="nil"/>
                    <w:tr2bl w:val="nil"/>
                  </w:tcBorders>
                  <w:vAlign w:val="center"/>
                </w:tcPr>
                <w:p w14:paraId="22B5B2E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position w:val="2"/>
                      <w:sz w:val="21"/>
                      <w:szCs w:val="20"/>
                      <w:lang w:val="en-US" w:eastAsia="zh-CN"/>
                    </w:rPr>
                  </w:pPr>
                  <w:r>
                    <w:rPr>
                      <w:rFonts w:hint="eastAsia" w:cs="Times New Roman"/>
                      <w:color w:val="auto"/>
                      <w:spacing w:val="2"/>
                      <w:position w:val="2"/>
                      <w:sz w:val="21"/>
                      <w:szCs w:val="20"/>
                      <w:lang w:val="en-US" w:eastAsia="zh-CN"/>
                    </w:rPr>
                    <w:t>10</w:t>
                  </w:r>
                </w:p>
              </w:tc>
            </w:tr>
            <w:tr w14:paraId="59A3CD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69" w:type="pct"/>
                  <w:vMerge w:val="continue"/>
                  <w:tcBorders>
                    <w:tl2br w:val="nil"/>
                    <w:tr2bl w:val="nil"/>
                  </w:tcBorders>
                  <w:vAlign w:val="center"/>
                </w:tcPr>
                <w:p w14:paraId="458C24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1267" w:type="pct"/>
                  <w:tcBorders>
                    <w:tl2br w:val="nil"/>
                    <w:tr2bl w:val="nil"/>
                  </w:tcBorders>
                  <w:shd w:val="clear" w:color="auto" w:fill="auto"/>
                  <w:vAlign w:val="center"/>
                </w:tcPr>
                <w:p w14:paraId="2E435551">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olor w:val="auto"/>
                      <w:spacing w:val="7"/>
                      <w:sz w:val="21"/>
                      <w:lang w:val="en-US" w:eastAsia="zh-CN"/>
                    </w:rPr>
                  </w:pPr>
                  <w:r>
                    <w:rPr>
                      <w:rFonts w:hint="eastAsia" w:ascii="Times New Roman" w:hAnsi="Times New Roman"/>
                      <w:color w:val="auto"/>
                      <w:spacing w:val="7"/>
                      <w:sz w:val="21"/>
                      <w:lang w:val="en-US" w:eastAsia="zh-CN"/>
                    </w:rPr>
                    <w:t>喷粉固化废气</w:t>
                  </w:r>
                  <w:r>
                    <w:rPr>
                      <w:rFonts w:hint="eastAsia"/>
                      <w:color w:val="auto"/>
                      <w:spacing w:val="-8"/>
                      <w:sz w:val="21"/>
                      <w:lang w:val="en-US" w:eastAsia="zh-CN"/>
                    </w:rPr>
                    <w:t>；调漆、喷漆、喷漆固化废气</w:t>
                  </w:r>
                </w:p>
              </w:tc>
              <w:tc>
                <w:tcPr>
                  <w:tcW w:w="1713" w:type="pct"/>
                  <w:tcBorders>
                    <w:tl2br w:val="nil"/>
                    <w:tr2bl w:val="nil"/>
                  </w:tcBorders>
                  <w:vAlign w:val="center"/>
                </w:tcPr>
                <w:p w14:paraId="124B1426">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color w:val="auto"/>
                      <w:spacing w:val="6"/>
                      <w:sz w:val="21"/>
                    </w:rPr>
                  </w:pPr>
                  <w:r>
                    <w:rPr>
                      <w:rFonts w:hint="eastAsia" w:ascii="Times New Roman" w:hAnsi="Times New Roman" w:eastAsia="宋体"/>
                      <w:color w:val="auto"/>
                      <w:spacing w:val="6"/>
                      <w:sz w:val="21"/>
                      <w:lang w:val="en-US" w:eastAsia="zh-CN"/>
                    </w:rPr>
                    <w:t>喷粉固化废气；调漆、喷漆、喷漆固化废气收集后采用“</w:t>
                  </w:r>
                  <w:r>
                    <w:rPr>
                      <w:rFonts w:hint="eastAsia" w:ascii="Times New Roman" w:hAnsi="Times New Roman" w:eastAsia="宋体"/>
                      <w:color w:val="auto"/>
                      <w:spacing w:val="6"/>
                      <w:sz w:val="21"/>
                      <w:lang w:eastAsia="zh-CN"/>
                    </w:rPr>
                    <w:t>喷淋塔+过滤棉+二级活性炭吸附”</w:t>
                  </w:r>
                  <w:r>
                    <w:rPr>
                      <w:rFonts w:ascii="Times New Roman" w:hAnsi="Times New Roman" w:eastAsia="宋体"/>
                      <w:color w:val="auto"/>
                      <w:spacing w:val="6"/>
                      <w:sz w:val="21"/>
                    </w:rPr>
                    <w:t>处理后，通过1根</w:t>
                  </w:r>
                  <w:r>
                    <w:rPr>
                      <w:rFonts w:hint="eastAsia" w:ascii="Times New Roman" w:hAnsi="Times New Roman" w:eastAsia="宋体"/>
                      <w:color w:val="auto"/>
                      <w:spacing w:val="6"/>
                      <w:sz w:val="21"/>
                      <w:lang w:eastAsia="zh-CN"/>
                    </w:rPr>
                    <w:t>15m</w:t>
                  </w:r>
                  <w:r>
                    <w:rPr>
                      <w:rFonts w:ascii="Times New Roman" w:hAnsi="Times New Roman" w:eastAsia="宋体"/>
                      <w:color w:val="auto"/>
                      <w:spacing w:val="6"/>
                      <w:sz w:val="21"/>
                    </w:rPr>
                    <w:t>高排气筒达标排放（DA00</w:t>
                  </w:r>
                  <w:r>
                    <w:rPr>
                      <w:rFonts w:hint="eastAsia" w:ascii="Times New Roman" w:hAnsi="Times New Roman" w:eastAsia="宋体"/>
                      <w:color w:val="auto"/>
                      <w:spacing w:val="6"/>
                      <w:sz w:val="21"/>
                      <w:lang w:val="en-US" w:eastAsia="zh-CN"/>
                    </w:rPr>
                    <w:t>2</w:t>
                  </w:r>
                  <w:r>
                    <w:rPr>
                      <w:rFonts w:ascii="Times New Roman" w:hAnsi="Times New Roman" w:eastAsia="宋体"/>
                      <w:color w:val="auto"/>
                      <w:spacing w:val="6"/>
                      <w:sz w:val="21"/>
                    </w:rPr>
                    <w:t>）</w:t>
                  </w:r>
                </w:p>
              </w:tc>
              <w:tc>
                <w:tcPr>
                  <w:tcW w:w="1250" w:type="pct"/>
                  <w:vMerge w:val="restart"/>
                  <w:tcBorders>
                    <w:tl2br w:val="nil"/>
                    <w:tr2bl w:val="nil"/>
                  </w:tcBorders>
                  <w:vAlign w:val="center"/>
                </w:tcPr>
                <w:p w14:paraId="2EA1EDD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position w:val="2"/>
                      <w:sz w:val="21"/>
                      <w:szCs w:val="20"/>
                      <w:lang w:val="en-US" w:eastAsia="zh-CN"/>
                    </w:rPr>
                  </w:pPr>
                  <w:r>
                    <w:rPr>
                      <w:rFonts w:hint="eastAsia" w:cs="Times New Roman"/>
                      <w:color w:val="auto"/>
                      <w:spacing w:val="2"/>
                      <w:position w:val="2"/>
                      <w:sz w:val="21"/>
                      <w:szCs w:val="20"/>
                      <w:lang w:val="en-US" w:eastAsia="zh-CN"/>
                    </w:rPr>
                    <w:t>15</w:t>
                  </w:r>
                </w:p>
              </w:tc>
            </w:tr>
            <w:tr w14:paraId="40D510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69" w:type="pct"/>
                  <w:vMerge w:val="continue"/>
                  <w:tcBorders>
                    <w:tl2br w:val="nil"/>
                    <w:tr2bl w:val="nil"/>
                  </w:tcBorders>
                  <w:vAlign w:val="center"/>
                </w:tcPr>
                <w:p w14:paraId="4E5B9F8E">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pPr>
                </w:p>
              </w:tc>
              <w:tc>
                <w:tcPr>
                  <w:tcW w:w="1267" w:type="pct"/>
                  <w:tcBorders>
                    <w:tl2br w:val="nil"/>
                    <w:tr2bl w:val="nil"/>
                  </w:tcBorders>
                  <w:shd w:val="clear" w:color="auto" w:fill="auto"/>
                  <w:vAlign w:val="center"/>
                </w:tcPr>
                <w:p w14:paraId="0A1B835A">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color w:val="auto"/>
                      <w:spacing w:val="7"/>
                      <w:sz w:val="21"/>
                      <w:lang w:val="en-US" w:eastAsia="zh-CN"/>
                    </w:rPr>
                  </w:pPr>
                  <w:r>
                    <w:rPr>
                      <w:rFonts w:hint="eastAsia"/>
                      <w:color w:val="auto"/>
                      <w:spacing w:val="-8"/>
                      <w:sz w:val="21"/>
                      <w:lang w:val="en-US" w:eastAsia="zh-CN"/>
                    </w:rPr>
                    <w:t>（喷粉、喷漆）天然气燃烧废气</w:t>
                  </w:r>
                </w:p>
              </w:tc>
              <w:tc>
                <w:tcPr>
                  <w:tcW w:w="1713" w:type="pct"/>
                  <w:tcBorders>
                    <w:tl2br w:val="nil"/>
                    <w:tr2bl w:val="nil"/>
                  </w:tcBorders>
                  <w:vAlign w:val="center"/>
                </w:tcPr>
                <w:p w14:paraId="4E74E462">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olor w:val="auto"/>
                      <w:spacing w:val="6"/>
                      <w:sz w:val="21"/>
                      <w:lang w:val="en-US" w:eastAsia="zh-CN"/>
                    </w:rPr>
                  </w:pPr>
                  <w:r>
                    <w:rPr>
                      <w:rFonts w:ascii="Times New Roman" w:hAnsi="Times New Roman" w:eastAsia="宋体"/>
                      <w:color w:val="auto"/>
                      <w:spacing w:val="6"/>
                      <w:sz w:val="21"/>
                    </w:rPr>
                    <w:t>燃烧废气通过1根</w:t>
                  </w:r>
                  <w:r>
                    <w:rPr>
                      <w:rFonts w:hint="eastAsia" w:ascii="Times New Roman" w:hAnsi="Times New Roman" w:eastAsia="宋体"/>
                      <w:color w:val="auto"/>
                      <w:spacing w:val="6"/>
                      <w:sz w:val="21"/>
                      <w:lang w:val="en-US" w:eastAsia="zh-CN"/>
                    </w:rPr>
                    <w:t>15</w:t>
                  </w:r>
                  <w:r>
                    <w:rPr>
                      <w:rFonts w:hint="eastAsia" w:ascii="Times New Roman" w:hAnsi="Times New Roman" w:eastAsia="宋体"/>
                      <w:color w:val="auto"/>
                      <w:spacing w:val="6"/>
                      <w:sz w:val="21"/>
                      <w:lang w:eastAsia="zh-CN"/>
                    </w:rPr>
                    <w:t>m</w:t>
                  </w:r>
                  <w:r>
                    <w:rPr>
                      <w:rFonts w:ascii="Times New Roman" w:hAnsi="Times New Roman" w:eastAsia="宋体"/>
                      <w:color w:val="auto"/>
                      <w:spacing w:val="6"/>
                      <w:sz w:val="21"/>
                    </w:rPr>
                    <w:t>高排气筒达标排放（</w:t>
                  </w:r>
                  <w:r>
                    <w:rPr>
                      <w:rFonts w:hint="eastAsia" w:ascii="Times New Roman" w:hAnsi="Times New Roman" w:eastAsia="宋体"/>
                      <w:color w:val="auto"/>
                      <w:spacing w:val="6"/>
                      <w:sz w:val="21"/>
                      <w:lang w:eastAsia="zh-CN"/>
                    </w:rPr>
                    <w:t>DA003</w:t>
                  </w:r>
                  <w:r>
                    <w:rPr>
                      <w:rFonts w:ascii="Times New Roman" w:hAnsi="Times New Roman" w:eastAsia="宋体"/>
                      <w:color w:val="auto"/>
                      <w:spacing w:val="6"/>
                      <w:sz w:val="21"/>
                    </w:rPr>
                    <w:t>）</w:t>
                  </w:r>
                </w:p>
              </w:tc>
              <w:tc>
                <w:tcPr>
                  <w:tcW w:w="1250" w:type="pct"/>
                  <w:vMerge w:val="continue"/>
                  <w:tcBorders>
                    <w:tl2br w:val="nil"/>
                    <w:tr2bl w:val="nil"/>
                  </w:tcBorders>
                  <w:vAlign w:val="center"/>
                </w:tcPr>
                <w:p w14:paraId="4DB4DAA6">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color w:val="auto"/>
                      <w:spacing w:val="7"/>
                      <w:sz w:val="21"/>
                      <w:lang w:val="en-US" w:eastAsia="zh-CN"/>
                    </w:rPr>
                  </w:pPr>
                </w:p>
              </w:tc>
            </w:tr>
            <w:tr w14:paraId="347DDD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restart"/>
                  <w:tcBorders>
                    <w:tl2br w:val="nil"/>
                    <w:tr2bl w:val="nil"/>
                  </w:tcBorders>
                  <w:vAlign w:val="center"/>
                </w:tcPr>
                <w:p w14:paraId="713C087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废水</w:t>
                  </w:r>
                </w:p>
              </w:tc>
              <w:tc>
                <w:tcPr>
                  <w:tcW w:w="1267" w:type="pct"/>
                  <w:tcBorders>
                    <w:tl2br w:val="nil"/>
                    <w:tr2bl w:val="nil"/>
                  </w:tcBorders>
                  <w:shd w:val="clear" w:color="auto" w:fill="auto"/>
                  <w:vAlign w:val="center"/>
                </w:tcPr>
                <w:p w14:paraId="33E400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生活污水</w:t>
                  </w:r>
                </w:p>
              </w:tc>
              <w:tc>
                <w:tcPr>
                  <w:tcW w:w="1713" w:type="pct"/>
                  <w:tcBorders>
                    <w:tl2br w:val="nil"/>
                    <w:tr2bl w:val="nil"/>
                  </w:tcBorders>
                  <w:shd w:val="clear" w:color="auto" w:fill="auto"/>
                  <w:vAlign w:val="center"/>
                </w:tcPr>
                <w:p w14:paraId="62D019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经化粪池处理后接市政污水管网</w:t>
                  </w:r>
                </w:p>
              </w:tc>
              <w:tc>
                <w:tcPr>
                  <w:tcW w:w="1250" w:type="pct"/>
                  <w:tcBorders>
                    <w:tl2br w:val="nil"/>
                    <w:tr2bl w:val="nil"/>
                  </w:tcBorders>
                  <w:shd w:val="clear" w:color="auto" w:fill="auto"/>
                  <w:vAlign w:val="center"/>
                </w:tcPr>
                <w:p w14:paraId="6F25AA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b w:val="0"/>
                      <w:bCs w:val="0"/>
                      <w:iCs/>
                      <w:color w:val="auto"/>
                      <w:sz w:val="21"/>
                      <w:szCs w:val="21"/>
                      <w:highlight w:val="none"/>
                      <w:lang w:val="en-US" w:eastAsia="zh-CN"/>
                    </w:rPr>
                    <w:t>5</w:t>
                  </w:r>
                </w:p>
              </w:tc>
            </w:tr>
            <w:tr w14:paraId="34ABF0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continue"/>
                  <w:tcBorders>
                    <w:tl2br w:val="nil"/>
                    <w:tr2bl w:val="nil"/>
                  </w:tcBorders>
                  <w:vAlign w:val="center"/>
                </w:tcPr>
                <w:p w14:paraId="3A04F0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1267" w:type="pct"/>
                  <w:tcBorders>
                    <w:tl2br w:val="nil"/>
                    <w:tr2bl w:val="nil"/>
                  </w:tcBorders>
                  <w:shd w:val="clear" w:color="auto" w:fill="auto"/>
                  <w:vAlign w:val="center"/>
                </w:tcPr>
                <w:p w14:paraId="7AAD26C6">
                  <w:pPr>
                    <w:pStyle w:val="115"/>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宋体"/>
                      <w:color w:val="auto"/>
                      <w:kern w:val="2"/>
                      <w:sz w:val="21"/>
                      <w:szCs w:val="24"/>
                      <w:lang w:val="en-US" w:eastAsia="zh-CN" w:bidi="ar-SA"/>
                    </w:rPr>
                  </w:pPr>
                  <w:r>
                    <w:rPr>
                      <w:rFonts w:ascii="Times New Roman" w:hAnsi="Times New Roman" w:eastAsia="宋体"/>
                      <w:color w:val="auto"/>
                      <w:spacing w:val="6"/>
                      <w:sz w:val="21"/>
                    </w:rPr>
                    <w:t>生产废水</w:t>
                  </w:r>
                </w:p>
              </w:tc>
              <w:tc>
                <w:tcPr>
                  <w:tcW w:w="1713" w:type="pct"/>
                  <w:tcBorders>
                    <w:tl2br w:val="nil"/>
                    <w:tr2bl w:val="nil"/>
                  </w:tcBorders>
                  <w:shd w:val="clear" w:color="auto" w:fill="auto"/>
                  <w:vAlign w:val="center"/>
                </w:tcPr>
                <w:p w14:paraId="047B1F8F">
                  <w:pPr>
                    <w:pStyle w:val="11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宋体"/>
                      <w:color w:val="auto"/>
                      <w:kern w:val="2"/>
                      <w:sz w:val="21"/>
                      <w:szCs w:val="24"/>
                      <w:lang w:val="en-US" w:eastAsia="en-US" w:bidi="ar-SA"/>
                    </w:rPr>
                  </w:pPr>
                  <w:r>
                    <w:rPr>
                      <w:rFonts w:ascii="Times New Roman" w:hAnsi="Times New Roman" w:eastAsia="宋体"/>
                      <w:color w:val="auto"/>
                      <w:spacing w:val="6"/>
                      <w:position w:val="1"/>
                      <w:sz w:val="21"/>
                    </w:rPr>
                    <w:t>经“</w:t>
                  </w:r>
                  <w:r>
                    <w:rPr>
                      <w:rFonts w:hint="eastAsia" w:ascii="Times New Roman" w:hAnsi="Times New Roman"/>
                      <w:color w:val="auto"/>
                      <w:spacing w:val="6"/>
                      <w:position w:val="1"/>
                      <w:sz w:val="21"/>
                      <w:lang w:eastAsia="zh-CN"/>
                    </w:rPr>
                    <w:t>物化+A/O+沉淀</w:t>
                  </w:r>
                  <w:r>
                    <w:rPr>
                      <w:rFonts w:ascii="Times New Roman" w:hAnsi="Times New Roman" w:eastAsia="宋体"/>
                      <w:color w:val="auto"/>
                      <w:spacing w:val="6"/>
                      <w:position w:val="1"/>
                      <w:sz w:val="21"/>
                    </w:rPr>
                    <w:t>”处理后，接</w:t>
                  </w:r>
                  <w:r>
                    <w:rPr>
                      <w:rFonts w:ascii="Times New Roman" w:hAnsi="Times New Roman" w:eastAsia="宋体"/>
                      <w:color w:val="auto"/>
                      <w:spacing w:val="7"/>
                      <w:sz w:val="21"/>
                    </w:rPr>
                    <w:t>市政污水管网</w:t>
                  </w:r>
                </w:p>
              </w:tc>
              <w:tc>
                <w:tcPr>
                  <w:tcW w:w="1250" w:type="pct"/>
                  <w:tcBorders>
                    <w:tl2br w:val="nil"/>
                    <w:tr2bl w:val="nil"/>
                  </w:tcBorders>
                  <w:shd w:val="clear" w:color="auto" w:fill="auto"/>
                  <w:vAlign w:val="center"/>
                </w:tcPr>
                <w:p w14:paraId="570FFE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spacing w:val="2"/>
                      <w:position w:val="2"/>
                      <w:sz w:val="21"/>
                      <w:szCs w:val="20"/>
                    </w:rPr>
                    <w:t>20</w:t>
                  </w:r>
                </w:p>
              </w:tc>
            </w:tr>
            <w:tr w14:paraId="7462DB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tcBorders>
                    <w:tl2br w:val="nil"/>
                    <w:tr2bl w:val="nil"/>
                  </w:tcBorders>
                  <w:vAlign w:val="center"/>
                </w:tcPr>
                <w:p w14:paraId="3B2478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噪声</w:t>
                  </w:r>
                </w:p>
              </w:tc>
              <w:tc>
                <w:tcPr>
                  <w:tcW w:w="1267" w:type="pct"/>
                  <w:tcBorders>
                    <w:tl2br w:val="nil"/>
                    <w:tr2bl w:val="nil"/>
                  </w:tcBorders>
                  <w:vAlign w:val="center"/>
                </w:tcPr>
                <w:p w14:paraId="592F83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设备</w:t>
                  </w:r>
                </w:p>
              </w:tc>
              <w:tc>
                <w:tcPr>
                  <w:tcW w:w="1713" w:type="pct"/>
                  <w:tcBorders>
                    <w:tl2br w:val="nil"/>
                    <w:tr2bl w:val="nil"/>
                  </w:tcBorders>
                  <w:vAlign w:val="center"/>
                </w:tcPr>
                <w:p w14:paraId="6FBE7E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降噪减震</w:t>
                  </w:r>
                </w:p>
              </w:tc>
              <w:tc>
                <w:tcPr>
                  <w:tcW w:w="1250" w:type="pct"/>
                  <w:tcBorders>
                    <w:tl2br w:val="nil"/>
                    <w:tr2bl w:val="nil"/>
                  </w:tcBorders>
                  <w:vAlign w:val="center"/>
                </w:tcPr>
                <w:p w14:paraId="1D748E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5</w:t>
                  </w:r>
                </w:p>
              </w:tc>
            </w:tr>
            <w:tr w14:paraId="132387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restart"/>
                  <w:tcBorders>
                    <w:tl2br w:val="nil"/>
                    <w:tr2bl w:val="nil"/>
                  </w:tcBorders>
                  <w:vAlign w:val="center"/>
                </w:tcPr>
                <w:p w14:paraId="007F81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固废</w:t>
                  </w:r>
                </w:p>
              </w:tc>
              <w:tc>
                <w:tcPr>
                  <w:tcW w:w="1267" w:type="pct"/>
                  <w:tcBorders>
                    <w:tl2br w:val="nil"/>
                    <w:tr2bl w:val="nil"/>
                  </w:tcBorders>
                  <w:vAlign w:val="center"/>
                </w:tcPr>
                <w:p w14:paraId="5AF38E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一般固废</w:t>
                  </w:r>
                </w:p>
              </w:tc>
              <w:tc>
                <w:tcPr>
                  <w:tcW w:w="1713" w:type="pct"/>
                  <w:tcBorders>
                    <w:tl2br w:val="nil"/>
                    <w:tr2bl w:val="nil"/>
                  </w:tcBorders>
                  <w:vAlign w:val="center"/>
                </w:tcPr>
                <w:p w14:paraId="10A828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一般固废间</w:t>
                  </w:r>
                </w:p>
              </w:tc>
              <w:tc>
                <w:tcPr>
                  <w:tcW w:w="1250" w:type="pct"/>
                  <w:tcBorders>
                    <w:tl2br w:val="nil"/>
                    <w:tr2bl w:val="nil"/>
                  </w:tcBorders>
                  <w:vAlign w:val="center"/>
                </w:tcPr>
                <w:p w14:paraId="0789B6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2</w:t>
                  </w:r>
                </w:p>
              </w:tc>
            </w:tr>
            <w:tr w14:paraId="58660E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vMerge w:val="continue"/>
                  <w:tcBorders>
                    <w:tl2br w:val="nil"/>
                    <w:tr2bl w:val="nil"/>
                  </w:tcBorders>
                  <w:vAlign w:val="center"/>
                </w:tcPr>
                <w:p w14:paraId="326CBC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b w:val="0"/>
                      <w:bCs w:val="0"/>
                      <w:iCs/>
                      <w:color w:val="auto"/>
                      <w:sz w:val="21"/>
                      <w:szCs w:val="21"/>
                      <w:highlight w:val="none"/>
                      <w:lang w:val="en-US" w:eastAsia="zh-CN"/>
                    </w:rPr>
                  </w:pPr>
                </w:p>
              </w:tc>
              <w:tc>
                <w:tcPr>
                  <w:tcW w:w="1267" w:type="pct"/>
                  <w:tcBorders>
                    <w:tl2br w:val="nil"/>
                    <w:tr2bl w:val="nil"/>
                  </w:tcBorders>
                  <w:vAlign w:val="center"/>
                </w:tcPr>
                <w:p w14:paraId="2182A0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危险废物</w:t>
                  </w:r>
                </w:p>
              </w:tc>
              <w:tc>
                <w:tcPr>
                  <w:tcW w:w="1713" w:type="pct"/>
                  <w:tcBorders>
                    <w:tl2br w:val="nil"/>
                    <w:tr2bl w:val="nil"/>
                  </w:tcBorders>
                  <w:vAlign w:val="center"/>
                </w:tcPr>
                <w:p w14:paraId="6DB543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b w:val="0"/>
                      <w:bCs w:val="0"/>
                      <w:iCs/>
                      <w:color w:val="auto"/>
                      <w:sz w:val="21"/>
                      <w:szCs w:val="21"/>
                      <w:highlight w:val="none"/>
                      <w:lang w:val="en-US" w:eastAsia="zh-CN"/>
                    </w:rPr>
                    <w:t>危废储存库</w:t>
                  </w:r>
                  <w:r>
                    <w:rPr>
                      <w:rFonts w:hint="eastAsia" w:ascii="Times New Roman" w:hAnsi="Times New Roman" w:eastAsia="宋体"/>
                      <w:b w:val="0"/>
                      <w:bCs w:val="0"/>
                      <w:iCs/>
                      <w:color w:val="auto"/>
                      <w:sz w:val="21"/>
                      <w:szCs w:val="21"/>
                      <w:highlight w:val="none"/>
                      <w:lang w:val="en-US" w:eastAsia="zh-CN"/>
                    </w:rPr>
                    <w:t>、</w:t>
                  </w:r>
                  <w:r>
                    <w:rPr>
                      <w:rFonts w:hint="eastAsia"/>
                      <w:b w:val="0"/>
                      <w:bCs w:val="0"/>
                      <w:iCs/>
                      <w:color w:val="auto"/>
                      <w:sz w:val="21"/>
                      <w:szCs w:val="21"/>
                      <w:highlight w:val="none"/>
                      <w:lang w:val="en-US" w:eastAsia="zh-CN"/>
                    </w:rPr>
                    <w:t>危废</w:t>
                  </w:r>
                  <w:r>
                    <w:rPr>
                      <w:rFonts w:hint="eastAsia" w:ascii="Times New Roman" w:hAnsi="Times New Roman" w:eastAsia="宋体"/>
                      <w:b w:val="0"/>
                      <w:bCs w:val="0"/>
                      <w:iCs/>
                      <w:color w:val="auto"/>
                      <w:sz w:val="21"/>
                      <w:szCs w:val="21"/>
                      <w:highlight w:val="none"/>
                      <w:lang w:val="en-US" w:eastAsia="zh-CN"/>
                    </w:rPr>
                    <w:t>委托有资质单位处置</w:t>
                  </w:r>
                </w:p>
              </w:tc>
              <w:tc>
                <w:tcPr>
                  <w:tcW w:w="1250" w:type="pct"/>
                  <w:tcBorders>
                    <w:tl2br w:val="nil"/>
                    <w:tr2bl w:val="nil"/>
                  </w:tcBorders>
                  <w:vAlign w:val="center"/>
                </w:tcPr>
                <w:p w14:paraId="0B8EE4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3</w:t>
                  </w:r>
                </w:p>
              </w:tc>
            </w:tr>
            <w:tr w14:paraId="4D9968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9" w:type="pct"/>
                  <w:tcBorders>
                    <w:tl2br w:val="nil"/>
                    <w:tr2bl w:val="nil"/>
                  </w:tcBorders>
                  <w:vAlign w:val="center"/>
                </w:tcPr>
                <w:p w14:paraId="3BF7FE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风险</w:t>
                  </w:r>
                </w:p>
              </w:tc>
              <w:tc>
                <w:tcPr>
                  <w:tcW w:w="1267" w:type="pct"/>
                  <w:tcBorders>
                    <w:tl2br w:val="nil"/>
                    <w:tr2bl w:val="nil"/>
                  </w:tcBorders>
                  <w:vAlign w:val="center"/>
                </w:tcPr>
                <w:p w14:paraId="2B83AB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防渗</w:t>
                  </w:r>
                </w:p>
              </w:tc>
              <w:tc>
                <w:tcPr>
                  <w:tcW w:w="1713" w:type="pct"/>
                  <w:tcBorders>
                    <w:tl2br w:val="nil"/>
                    <w:tr2bl w:val="nil"/>
                  </w:tcBorders>
                  <w:vAlign w:val="center"/>
                </w:tcPr>
                <w:p w14:paraId="2F723E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地面防渗措施</w:t>
                  </w:r>
                </w:p>
              </w:tc>
              <w:tc>
                <w:tcPr>
                  <w:tcW w:w="1250" w:type="pct"/>
                  <w:tcBorders>
                    <w:tl2br w:val="nil"/>
                    <w:tr2bl w:val="nil"/>
                  </w:tcBorders>
                  <w:vAlign w:val="center"/>
                </w:tcPr>
                <w:p w14:paraId="18BF21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10</w:t>
                  </w:r>
                </w:p>
              </w:tc>
            </w:tr>
            <w:tr w14:paraId="16C1DB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pct"/>
                  <w:tcBorders>
                    <w:tl2br w:val="nil"/>
                    <w:tr2bl w:val="nil"/>
                  </w:tcBorders>
                  <w:vAlign w:val="center"/>
                </w:tcPr>
                <w:p w14:paraId="611F6D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自行监测</w:t>
                  </w:r>
                </w:p>
              </w:tc>
              <w:tc>
                <w:tcPr>
                  <w:tcW w:w="1267" w:type="pct"/>
                  <w:tcBorders>
                    <w:tl2br w:val="nil"/>
                    <w:tr2bl w:val="nil"/>
                  </w:tcBorders>
                  <w:vAlign w:val="center"/>
                </w:tcPr>
                <w:p w14:paraId="697A4D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废气、废水、噪声</w:t>
                  </w:r>
                </w:p>
              </w:tc>
              <w:tc>
                <w:tcPr>
                  <w:tcW w:w="1713" w:type="pct"/>
                  <w:tcBorders>
                    <w:tl2br w:val="nil"/>
                    <w:tr2bl w:val="nil"/>
                  </w:tcBorders>
                  <w:vAlign w:val="center"/>
                </w:tcPr>
                <w:p w14:paraId="7D3761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自行监测</w:t>
                  </w:r>
                </w:p>
              </w:tc>
              <w:tc>
                <w:tcPr>
                  <w:tcW w:w="1250" w:type="pct"/>
                  <w:tcBorders>
                    <w:tl2br w:val="nil"/>
                    <w:tr2bl w:val="nil"/>
                  </w:tcBorders>
                  <w:vAlign w:val="center"/>
                </w:tcPr>
                <w:p w14:paraId="3F2776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5</w:t>
                  </w:r>
                </w:p>
              </w:tc>
            </w:tr>
            <w:tr w14:paraId="0F9771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49" w:type="pct"/>
                  <w:gridSpan w:val="3"/>
                  <w:tcBorders>
                    <w:tl2br w:val="nil"/>
                    <w:tr2bl w:val="nil"/>
                  </w:tcBorders>
                  <w:vAlign w:val="center"/>
                </w:tcPr>
                <w:p w14:paraId="33C34A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ascii="Times New Roman" w:hAnsi="Times New Roman" w:eastAsia="宋体"/>
                      <w:b w:val="0"/>
                      <w:bCs w:val="0"/>
                      <w:iCs/>
                      <w:color w:val="auto"/>
                      <w:sz w:val="21"/>
                      <w:szCs w:val="21"/>
                      <w:highlight w:val="none"/>
                      <w:lang w:val="en-US" w:eastAsia="zh-CN"/>
                    </w:rPr>
                    <w:t>合计</w:t>
                  </w:r>
                </w:p>
              </w:tc>
              <w:tc>
                <w:tcPr>
                  <w:tcW w:w="1250" w:type="pct"/>
                  <w:tcBorders>
                    <w:tl2br w:val="nil"/>
                    <w:tr2bl w:val="nil"/>
                  </w:tcBorders>
                  <w:vAlign w:val="center"/>
                </w:tcPr>
                <w:p w14:paraId="15122B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b w:val="0"/>
                      <w:bCs w:val="0"/>
                      <w:iCs/>
                      <w:color w:val="auto"/>
                      <w:sz w:val="21"/>
                      <w:szCs w:val="21"/>
                      <w:highlight w:val="none"/>
                      <w:lang w:val="en-US" w:eastAsia="zh-CN"/>
                    </w:rPr>
                  </w:pPr>
                  <w:r>
                    <w:rPr>
                      <w:rFonts w:hint="eastAsia"/>
                      <w:b w:val="0"/>
                      <w:bCs w:val="0"/>
                      <w:iCs/>
                      <w:color w:val="auto"/>
                      <w:sz w:val="21"/>
                      <w:szCs w:val="21"/>
                      <w:highlight w:val="none"/>
                      <w:lang w:val="en-US" w:eastAsia="zh-CN"/>
                    </w:rPr>
                    <w:t>95</w:t>
                  </w:r>
                </w:p>
              </w:tc>
            </w:tr>
          </w:tbl>
          <w:p w14:paraId="2C2EDDCB">
            <w:pPr>
              <w:pStyle w:val="46"/>
              <w:pageBreakBefore w:val="0"/>
              <w:kinsoku/>
              <w:overflowPunct/>
              <w:topLinePunct w:val="0"/>
              <w:bidi w:val="0"/>
              <w:spacing w:line="240" w:lineRule="auto"/>
              <w:ind w:left="0" w:firstLine="0" w:firstLineChars="0"/>
              <w:textAlignment w:val="auto"/>
              <w:rPr>
                <w:rFonts w:hint="default"/>
                <w:color w:val="auto"/>
                <w:kern w:val="0"/>
                <w:sz w:val="21"/>
                <w:szCs w:val="21"/>
                <w:highlight w:val="none"/>
                <w:lang w:val="en-US" w:eastAsia="zh-CN"/>
              </w:rPr>
            </w:pPr>
          </w:p>
        </w:tc>
      </w:tr>
    </w:tbl>
    <w:p w14:paraId="074BB32C">
      <w:pPr>
        <w:pStyle w:val="2"/>
        <w:numPr>
          <w:ilvl w:val="0"/>
          <w:numId w:val="0"/>
        </w:numPr>
        <w:tabs>
          <w:tab w:val="left" w:pos="0"/>
        </w:tabs>
        <w:ind w:left="432" w:leftChars="0" w:hanging="432" w:firstLineChars="0"/>
        <w:outlineLvl w:val="9"/>
        <w:rPr>
          <w:snapToGrid w:val="0"/>
          <w:color w:val="auto"/>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07A8ABA1">
      <w:pPr>
        <w:pStyle w:val="2"/>
        <w:numPr>
          <w:ilvl w:val="0"/>
          <w:numId w:val="1"/>
        </w:numPr>
        <w:bidi w:val="0"/>
        <w:ind w:left="432" w:leftChars="0" w:hanging="432" w:firstLineChars="0"/>
        <w:rPr>
          <w:rFonts w:hint="eastAsia" w:ascii="Times New Roman" w:hAnsi="Times New Roman" w:eastAsia="宋体"/>
          <w:color w:val="auto"/>
          <w:highlight w:val="none"/>
        </w:rPr>
      </w:pPr>
      <w:bookmarkStart w:id="67" w:name="_Toc288"/>
      <w:bookmarkStart w:id="68" w:name="_Toc14873"/>
      <w:bookmarkStart w:id="69" w:name="_Toc15523"/>
      <w:bookmarkStart w:id="70" w:name="_Toc4502"/>
      <w:bookmarkStart w:id="71" w:name="_Toc17753"/>
      <w:bookmarkStart w:id="72" w:name="_Toc846"/>
      <w:bookmarkStart w:id="73" w:name="_Toc22600"/>
      <w:bookmarkStart w:id="74" w:name="_Toc3022"/>
      <w:bookmarkStart w:id="75" w:name="_Toc8552"/>
      <w:bookmarkStart w:id="76" w:name="_Toc15365"/>
      <w:r>
        <w:rPr>
          <w:rFonts w:hint="eastAsia" w:ascii="Times New Roman" w:hAnsi="Times New Roman" w:eastAsia="宋体"/>
          <w:color w:val="auto"/>
          <w:highlight w:val="none"/>
        </w:rPr>
        <w:drawing>
          <wp:anchor distT="0" distB="0" distL="114300" distR="114300" simplePos="0" relativeHeight="251676672" behindDoc="0" locked="0" layoutInCell="1" allowOverlap="1">
            <wp:simplePos x="0" y="0"/>
            <wp:positionH relativeFrom="column">
              <wp:posOffset>-306705</wp:posOffset>
            </wp:positionH>
            <wp:positionV relativeFrom="paragraph">
              <wp:posOffset>40005</wp:posOffset>
            </wp:positionV>
            <wp:extent cx="6262370" cy="8933180"/>
            <wp:effectExtent l="0" t="0" r="5080" b="1270"/>
            <wp:wrapNone/>
            <wp:docPr id="261" name="图片 261" descr="doc006962202603121619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doc00696220260312161921_01"/>
                    <pic:cNvPicPr>
                      <a:picLocks noChangeAspect="1"/>
                    </pic:cNvPicPr>
                  </pic:nvPicPr>
                  <pic:blipFill>
                    <a:blip r:embed="rId39"/>
                    <a:stretch>
                      <a:fillRect/>
                    </a:stretch>
                  </pic:blipFill>
                  <pic:spPr>
                    <a:xfrm>
                      <a:off x="0" y="0"/>
                      <a:ext cx="6262370" cy="8933180"/>
                    </a:xfrm>
                    <a:prstGeom prst="rect">
                      <a:avLst/>
                    </a:prstGeom>
                  </pic:spPr>
                </pic:pic>
              </a:graphicData>
            </a:graphic>
          </wp:anchor>
        </w:drawing>
      </w:r>
      <w:r>
        <w:rPr>
          <w:rFonts w:hint="eastAsia" w:ascii="Times New Roman" w:hAnsi="Times New Roman" w:eastAsia="宋体"/>
          <w:color w:val="auto"/>
          <w:highlight w:val="none"/>
        </w:rPr>
        <w:t>结论</w:t>
      </w:r>
      <w:bookmarkEnd w:id="67"/>
      <w:bookmarkEnd w:id="68"/>
      <w:bookmarkEnd w:id="69"/>
      <w:bookmarkEnd w:id="70"/>
      <w:bookmarkEnd w:id="71"/>
    </w:p>
    <w:tbl>
      <w:tblPr>
        <w:tblStyle w:val="3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60F2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7E6E1C8F">
            <w:pPr>
              <w:pStyle w:val="157"/>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0" w:firstLineChars="0"/>
              <w:jc w:val="left"/>
              <w:textAlignment w:val="baseline"/>
              <w:outlineLvl w:val="1"/>
              <w:rPr>
                <w:rFonts w:hint="eastAsia" w:ascii="Times New Roman" w:hAnsi="Times New Roman" w:eastAsia="宋体" w:cs="Times New Roman"/>
                <w:color w:val="auto"/>
                <w:sz w:val="28"/>
                <w:szCs w:val="28"/>
                <w:highlight w:val="none"/>
                <w:lang w:eastAsia="zh-CN"/>
              </w:rPr>
            </w:pPr>
            <w:bookmarkStart w:id="77" w:name="_Toc4427"/>
            <w:bookmarkStart w:id="78" w:name="_Toc18917"/>
            <w:bookmarkStart w:id="79" w:name="_Toc22364"/>
            <w:bookmarkStart w:id="80" w:name="_Toc8175"/>
            <w:r>
              <w:rPr>
                <w:rFonts w:hint="default" w:ascii="Times New Roman" w:hAnsi="Times New Roman" w:eastAsia="宋体" w:cs="Times New Roman"/>
                <w:b/>
                <w:color w:val="auto"/>
                <w:sz w:val="28"/>
                <w:szCs w:val="28"/>
                <w:highlight w:val="none"/>
                <w:lang w:val="en-US" w:eastAsia="zh-CN"/>
              </w:rPr>
              <w:t>6.1</w:t>
            </w:r>
            <w:r>
              <w:rPr>
                <w:rFonts w:hint="default" w:ascii="Times New Roman" w:hAnsi="Times New Roman" w:eastAsia="宋体" w:cs="Times New Roman"/>
                <w:b/>
                <w:color w:val="auto"/>
                <w:sz w:val="28"/>
                <w:szCs w:val="28"/>
                <w:highlight w:val="none"/>
              </w:rPr>
              <w:t xml:space="preserve"> 总结论</w:t>
            </w:r>
            <w:bookmarkEnd w:id="77"/>
            <w:bookmarkEnd w:id="78"/>
            <w:bookmarkEnd w:id="79"/>
            <w:bookmarkEnd w:id="80"/>
          </w:p>
          <w:p w14:paraId="3A3E3BDA">
            <w:pPr>
              <w:pStyle w:val="46"/>
              <w:keepNext w:val="0"/>
              <w:keepLines w:val="0"/>
              <w:pageBreakBefore w:val="0"/>
              <w:widowControl w:val="0"/>
              <w:kinsoku/>
              <w:wordWrap/>
              <w:overflowPunct/>
              <w:topLinePunct w:val="0"/>
              <w:autoSpaceDE w:val="0"/>
              <w:autoSpaceDN w:val="0"/>
              <w:bidi w:val="0"/>
              <w:adjustRightInd/>
              <w:snapToGrid/>
              <w:ind w:firstLine="480"/>
              <w:textAlignment w:val="auto"/>
              <w:rPr>
                <w:color w:val="FF0000"/>
              </w:rPr>
            </w:pPr>
            <w:r>
              <w:rPr>
                <w:rFonts w:hint="eastAsia"/>
                <w:color w:val="auto"/>
                <w:szCs w:val="21"/>
                <w:highlight w:val="none"/>
                <w:lang w:eastAsia="zh-CN"/>
              </w:rPr>
              <w:t>福州景卓汽车零部件有限公司年加工汽车座椅骨架12万套项目</w:t>
            </w:r>
            <w:r>
              <w:rPr>
                <w:rFonts w:ascii="Times New Roman" w:hAnsi="Times New Roman" w:eastAsia="宋体"/>
                <w:color w:val="auto"/>
                <w:highlight w:val="none"/>
              </w:rPr>
              <w:t>的建设符合国家有关产业政策，项目选址合理</w:t>
            </w:r>
            <w:r>
              <w:rPr>
                <w:rFonts w:ascii="Times New Roman" w:hAnsi="Times New Roman" w:eastAsia="宋体"/>
                <w:color w:val="auto"/>
                <w:highlight w:val="none"/>
                <w:lang w:val="zh-CN"/>
              </w:rPr>
              <w:t>，</w:t>
            </w:r>
            <w:r>
              <w:rPr>
                <w:rFonts w:hint="eastAsia" w:ascii="Times New Roman" w:hAnsi="Times New Roman" w:eastAsia="宋体"/>
                <w:color w:val="auto"/>
                <w:highlight w:val="none"/>
              </w:rPr>
              <w:t>平面布局可行。经核查，项目选址位于福清融侨经济技术开发区，符合该区域实施的《福清融侨经济技术开发区总体规划</w:t>
            </w:r>
            <w:r>
              <w:rPr>
                <w:rFonts w:hint="eastAsia"/>
                <w:color w:val="auto"/>
                <w:highlight w:val="none"/>
                <w:lang w:eastAsia="zh-CN"/>
              </w:rPr>
              <w:t>（</w:t>
            </w:r>
            <w:r>
              <w:rPr>
                <w:rFonts w:hint="eastAsia" w:ascii="Times New Roman" w:hAnsi="Times New Roman" w:eastAsia="宋体"/>
                <w:color w:val="auto"/>
                <w:highlight w:val="none"/>
              </w:rPr>
              <w:t>2018</w:t>
            </w:r>
            <w:r>
              <w:rPr>
                <w:rFonts w:hint="eastAsia" w:ascii="Times New Roman" w:hAnsi="Times New Roman" w:eastAsia="宋体"/>
                <w:color w:val="auto"/>
                <w:highlight w:val="none"/>
                <w:lang w:eastAsia="zh-CN"/>
              </w:rPr>
              <w:t>—</w:t>
            </w:r>
            <w:r>
              <w:rPr>
                <w:rFonts w:hint="eastAsia" w:ascii="Times New Roman" w:hAnsi="Times New Roman" w:eastAsia="宋体"/>
                <w:color w:val="auto"/>
                <w:highlight w:val="none"/>
              </w:rPr>
              <w:t>2035年</w:t>
            </w:r>
            <w:r>
              <w:rPr>
                <w:rFonts w:hint="eastAsia"/>
                <w:color w:val="auto"/>
                <w:highlight w:val="none"/>
                <w:lang w:eastAsia="zh-CN"/>
              </w:rPr>
              <w:t>）</w:t>
            </w:r>
            <w:r>
              <w:rPr>
                <w:rFonts w:hint="eastAsia" w:ascii="Times New Roman" w:hAnsi="Times New Roman" w:eastAsia="宋体"/>
                <w:color w:val="auto"/>
                <w:highlight w:val="none"/>
              </w:rPr>
              <w:t>》的要求及产业定位、环境功能区划和空间布局等要求。同时，项目符合</w:t>
            </w:r>
            <w:r>
              <w:rPr>
                <w:rFonts w:hint="eastAsia"/>
                <w:color w:val="auto"/>
                <w:highlight w:val="none"/>
                <w:lang w:val="en-US" w:eastAsia="zh-CN"/>
              </w:rPr>
              <w:t>福建省</w:t>
            </w:r>
            <w:r>
              <w:rPr>
                <w:rFonts w:hint="eastAsia" w:ascii="Times New Roman" w:hAnsi="Times New Roman" w:eastAsia="宋体"/>
                <w:color w:val="auto"/>
                <w:highlight w:val="none"/>
              </w:rPr>
              <w:t>生态环境分区管控（“三线一单”）要求，本项目所在地管控单位类别为重点管控单元（环境管控单元编码：</w:t>
            </w:r>
            <w:r>
              <w:rPr>
                <w:rFonts w:hint="eastAsia" w:ascii="Times New Roman" w:hAnsi="Times New Roman" w:eastAsia="宋体"/>
                <w:color w:val="auto"/>
                <w:highlight w:val="none"/>
                <w:lang w:val="en-US" w:eastAsia="zh-CN"/>
              </w:rPr>
              <w:t>ZH35018120008</w:t>
            </w:r>
            <w:r>
              <w:rPr>
                <w:rFonts w:hint="eastAsia" w:ascii="Times New Roman" w:hAnsi="Times New Roman" w:eastAsia="宋体"/>
                <w:color w:val="auto"/>
                <w:highlight w:val="none"/>
              </w:rPr>
              <w:t>）的许可范围内，其规模、生产工艺、污染物排放控制符合该单元的生态环境准入清单规定，选址具有环境可行性，布局合理。</w:t>
            </w:r>
            <w:r>
              <w:rPr>
                <w:rFonts w:ascii="Times New Roman" w:hAnsi="Times New Roman" w:eastAsia="宋体"/>
                <w:color w:val="auto"/>
                <w:highlight w:val="none"/>
              </w:rPr>
              <w:t>项目运营后产生的污水、废气、噪声、固废通过采取相应的措施治理，能够实现污染物的达标排放。在工程建设中，严格执行“三同时”制度，项目投产后，严格</w:t>
            </w:r>
            <w:r>
              <w:rPr>
                <w:rFonts w:hint="eastAsia" w:ascii="Times New Roman" w:hAnsi="Times New Roman" w:eastAsia="宋体"/>
                <w:color w:val="auto"/>
                <w:highlight w:val="none"/>
              </w:rPr>
              <w:t>遵守</w:t>
            </w:r>
            <w:r>
              <w:rPr>
                <w:rFonts w:ascii="Times New Roman" w:hAnsi="Times New Roman" w:eastAsia="宋体"/>
                <w:color w:val="auto"/>
                <w:highlight w:val="none"/>
              </w:rPr>
              <w:t>国家有关法律法规</w:t>
            </w:r>
            <w:r>
              <w:rPr>
                <w:rFonts w:hint="eastAsia" w:ascii="Times New Roman" w:hAnsi="Times New Roman" w:eastAsia="宋体"/>
                <w:color w:val="auto"/>
                <w:highlight w:val="none"/>
              </w:rPr>
              <w:t>，严格执行相关标准和</w:t>
            </w:r>
            <w:r>
              <w:rPr>
                <w:rFonts w:ascii="Times New Roman" w:hAnsi="Times New Roman" w:eastAsia="宋体"/>
                <w:color w:val="auto"/>
                <w:highlight w:val="none"/>
              </w:rPr>
              <w:t>技术规范，</w:t>
            </w:r>
            <w:r>
              <w:rPr>
                <w:rFonts w:hint="eastAsia" w:ascii="Times New Roman" w:hAnsi="Times New Roman" w:eastAsia="宋体"/>
                <w:color w:val="auto"/>
                <w:highlight w:val="none"/>
              </w:rPr>
              <w:t>严格</w:t>
            </w:r>
            <w:r>
              <w:rPr>
                <w:rFonts w:ascii="Times New Roman" w:hAnsi="Times New Roman" w:eastAsia="宋体"/>
                <w:color w:val="auto"/>
                <w:highlight w:val="none"/>
              </w:rPr>
              <w:t>落实各项环境风险防范措施，确保污染物排放总量控制在经</w:t>
            </w:r>
            <w:r>
              <w:rPr>
                <w:rFonts w:hint="eastAsia" w:ascii="Times New Roman" w:hAnsi="Times New Roman" w:eastAsia="宋体"/>
                <w:color w:val="auto"/>
                <w:highlight w:val="none"/>
                <w:lang w:val="en-US" w:eastAsia="zh-CN"/>
              </w:rPr>
              <w:t>生态环境</w:t>
            </w:r>
            <w:r>
              <w:rPr>
                <w:rFonts w:ascii="Times New Roman" w:hAnsi="Times New Roman" w:eastAsia="宋体"/>
                <w:color w:val="auto"/>
                <w:highlight w:val="none"/>
              </w:rPr>
              <w:t>主管部门核定的范围内，污染物达标排放的前提下，对周边环境影响较小，</w:t>
            </w:r>
            <w:r>
              <w:rPr>
                <w:rFonts w:hint="eastAsia" w:ascii="Times New Roman" w:hAnsi="Times New Roman" w:eastAsia="宋体"/>
                <w:color w:val="auto"/>
                <w:highlight w:val="none"/>
              </w:rPr>
              <w:t>该项目可实现经济效益、环境效益的协调性发展。</w:t>
            </w:r>
            <w:r>
              <w:rPr>
                <w:rFonts w:hint="eastAsia" w:ascii="Times New Roman" w:hAnsi="Times New Roman" w:eastAsia="宋体"/>
                <w:color w:val="984807" w:themeColor="accent6" w:themeShade="80"/>
                <w:highlight w:val="none"/>
                <w:lang w:val="zh-CN" w:eastAsia="zh-CN"/>
              </w:rPr>
              <w:t>在严格落实各项生态环境保护和污染防治措施后</w:t>
            </w:r>
            <w:r>
              <w:rPr>
                <w:rFonts w:hint="eastAsia" w:ascii="Times New Roman" w:hAnsi="Times New Roman" w:eastAsia="宋体"/>
                <w:color w:val="FF0000"/>
                <w:highlight w:val="none"/>
                <w:lang w:val="en-US" w:eastAsia="zh-CN"/>
              </w:rPr>
              <w:t>，从环境影响角度分析，项目建设可行</w:t>
            </w:r>
            <w:r>
              <w:rPr>
                <w:rFonts w:ascii="Times New Roman" w:hAnsi="Times New Roman" w:eastAsia="宋体"/>
                <w:color w:val="FF0000"/>
                <w:highlight w:val="none"/>
              </w:rPr>
              <w:t>。</w:t>
            </w:r>
          </w:p>
          <w:p w14:paraId="1B2794B6">
            <w:pPr>
              <w:pStyle w:val="157"/>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0" w:firstLineChars="0"/>
              <w:jc w:val="left"/>
              <w:textAlignment w:val="baseline"/>
              <w:outlineLvl w:val="1"/>
              <w:rPr>
                <w:rFonts w:hint="default" w:ascii="Times New Roman" w:hAnsi="Times New Roman" w:eastAsia="宋体" w:cs="Times New Roman"/>
                <w:b/>
                <w:color w:val="auto"/>
                <w:sz w:val="28"/>
                <w:szCs w:val="28"/>
                <w:highlight w:val="none"/>
              </w:rPr>
            </w:pPr>
            <w:bookmarkStart w:id="81" w:name="_Toc29585"/>
            <w:bookmarkStart w:id="82" w:name="_Toc29401"/>
            <w:bookmarkStart w:id="83" w:name="_Toc11017"/>
            <w:bookmarkStart w:id="84" w:name="_Toc29899"/>
            <w:r>
              <w:rPr>
                <w:rFonts w:hint="default" w:ascii="Times New Roman" w:hAnsi="Times New Roman" w:eastAsia="宋体" w:cs="Times New Roman"/>
                <w:b/>
                <w:color w:val="auto"/>
                <w:sz w:val="28"/>
                <w:szCs w:val="28"/>
                <w:highlight w:val="none"/>
                <w:lang w:val="en-US" w:eastAsia="zh-CN"/>
              </w:rPr>
              <w:t>6.2</w:t>
            </w:r>
            <w:r>
              <w:rPr>
                <w:rFonts w:hint="default" w:ascii="Times New Roman" w:hAnsi="Times New Roman" w:eastAsia="宋体" w:cs="Times New Roman"/>
                <w:b/>
                <w:color w:val="auto"/>
                <w:sz w:val="28"/>
                <w:szCs w:val="28"/>
                <w:highlight w:val="none"/>
              </w:rPr>
              <w:t xml:space="preserve"> 建议</w:t>
            </w:r>
            <w:bookmarkEnd w:id="81"/>
            <w:bookmarkEnd w:id="82"/>
            <w:bookmarkEnd w:id="83"/>
            <w:bookmarkEnd w:id="84"/>
          </w:p>
          <w:p w14:paraId="15CD4E0D">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加强管理，保证生产设备正常运行，防止设备带故障使用，防止异常噪声的产生。</w:t>
            </w:r>
          </w:p>
          <w:p w14:paraId="64A73030">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由厂内技术管理人员兼职环保工作负责环保设施的运行、检查、维护等工作。</w:t>
            </w:r>
          </w:p>
          <w:p w14:paraId="7D8D1A2D">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加强职工的环保、安全教育，</w:t>
            </w:r>
            <w:r>
              <w:rPr>
                <w:rFonts w:hint="eastAsia" w:ascii="Times New Roman" w:hAnsi="Times New Roman" w:cs="Times New Roman"/>
                <w:color w:val="auto"/>
                <w:sz w:val="24"/>
                <w:szCs w:val="24"/>
                <w:highlight w:val="none"/>
                <w:lang w:eastAsia="zh-CN"/>
              </w:rPr>
              <w:t>增强</w:t>
            </w:r>
            <w:r>
              <w:rPr>
                <w:rFonts w:hint="default" w:ascii="Times New Roman" w:hAnsi="Times New Roman" w:eastAsia="宋体" w:cs="Times New Roman"/>
                <w:color w:val="auto"/>
                <w:sz w:val="24"/>
                <w:szCs w:val="24"/>
                <w:highlight w:val="none"/>
                <w:lang w:eastAsia="zh-CN"/>
              </w:rPr>
              <w:t>环保意识和安全生产意识。</w:t>
            </w:r>
          </w:p>
          <w:p w14:paraId="38E6B610">
            <w:pPr>
              <w:pStyle w:val="13"/>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遵守国家关于环保治理措施管理的规定，定期提交设施运行及监测报告，接受环保管理部门的监督。</w:t>
            </w:r>
          </w:p>
          <w:p w14:paraId="6E99F7EA">
            <w:pPr>
              <w:pStyle w:val="18"/>
              <w:ind w:firstLine="480" w:firstLineChars="200"/>
              <w:rPr>
                <w:rFonts w:ascii="Times New Roman" w:hAnsi="Times New Roman" w:eastAsia="宋体"/>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加强环保工作的管理，要认真落实环保“三同时”制度。</w:t>
            </w:r>
          </w:p>
          <w:p w14:paraId="5CD18B15">
            <w:pPr>
              <w:pStyle w:val="18"/>
              <w:rPr>
                <w:rFonts w:ascii="Times New Roman" w:hAnsi="Times New Roman" w:eastAsia="宋体"/>
                <w:color w:val="auto"/>
                <w:sz w:val="24"/>
                <w:szCs w:val="24"/>
                <w:highlight w:val="none"/>
              </w:rPr>
            </w:pPr>
          </w:p>
          <w:p w14:paraId="713E9226">
            <w:pPr>
              <w:pStyle w:val="18"/>
              <w:rPr>
                <w:rFonts w:ascii="Times New Roman" w:hAnsi="Times New Roman" w:eastAsia="宋体"/>
                <w:color w:val="auto"/>
                <w:sz w:val="24"/>
                <w:szCs w:val="24"/>
                <w:highlight w:val="none"/>
              </w:rPr>
            </w:pPr>
          </w:p>
          <w:p w14:paraId="499DF79C">
            <w:pPr>
              <w:jc w:val="right"/>
              <w:rPr>
                <w:rFonts w:ascii="Times New Roman" w:hAnsi="Times New Roman" w:eastAsia="宋体"/>
                <w:b/>
                <w:bCs/>
                <w:color w:val="auto"/>
                <w:sz w:val="24"/>
                <w:highlight w:val="none"/>
              </w:rPr>
            </w:pPr>
            <w:r>
              <w:rPr>
                <w:rFonts w:hint="eastAsia" w:ascii="Times New Roman" w:hAnsi="Times New Roman" w:eastAsia="宋体"/>
                <w:b/>
                <w:bCs/>
                <w:color w:val="auto"/>
                <w:sz w:val="24"/>
                <w:highlight w:val="none"/>
              </w:rPr>
              <w:t>福州朴诚至信环保科技有限公</w:t>
            </w:r>
            <w:r>
              <w:rPr>
                <w:rFonts w:ascii="Times New Roman" w:hAnsi="Times New Roman" w:eastAsia="宋体"/>
                <w:b/>
                <w:bCs/>
                <w:color w:val="auto"/>
                <w:sz w:val="24"/>
                <w:highlight w:val="none"/>
              </w:rPr>
              <w:t>司</w:t>
            </w:r>
          </w:p>
          <w:p w14:paraId="05BD3771">
            <w:pPr>
              <w:wordWrap w:val="0"/>
              <w:jc w:val="right"/>
              <w:rPr>
                <w:rFonts w:hint="default" w:ascii="Times New Roman" w:hAnsi="Times New Roman" w:eastAsia="宋体"/>
                <w:b/>
                <w:bCs/>
                <w:color w:val="auto"/>
                <w:sz w:val="24"/>
                <w:highlight w:val="none"/>
                <w:lang w:val="en-US" w:eastAsia="zh-CN"/>
              </w:rPr>
            </w:pPr>
            <w:r>
              <w:rPr>
                <w:rFonts w:ascii="Times New Roman" w:hAnsi="Times New Roman" w:eastAsia="宋体"/>
                <w:b/>
                <w:bCs/>
                <w:color w:val="auto"/>
                <w:sz w:val="24"/>
                <w:highlight w:val="none"/>
                <w:lang w:val="zh-CN"/>
              </w:rPr>
              <w:t>202</w:t>
            </w:r>
            <w:r>
              <w:rPr>
                <w:rFonts w:hint="eastAsia"/>
                <w:b/>
                <w:bCs/>
                <w:color w:val="auto"/>
                <w:sz w:val="24"/>
                <w:highlight w:val="none"/>
                <w:lang w:val="en-US" w:eastAsia="zh-CN"/>
              </w:rPr>
              <w:t>6</w:t>
            </w:r>
            <w:r>
              <w:rPr>
                <w:rFonts w:ascii="Times New Roman" w:hAnsi="Times New Roman" w:eastAsia="宋体"/>
                <w:b/>
                <w:bCs/>
                <w:color w:val="auto"/>
                <w:sz w:val="24"/>
                <w:highlight w:val="none"/>
                <w:lang w:val="zh-CN"/>
              </w:rPr>
              <w:t>年</w:t>
            </w:r>
            <w:r>
              <w:rPr>
                <w:rFonts w:hint="eastAsia"/>
                <w:b/>
                <w:bCs/>
                <w:color w:val="auto"/>
                <w:sz w:val="24"/>
                <w:highlight w:val="none"/>
                <w:lang w:val="en-US" w:eastAsia="zh-CN"/>
              </w:rPr>
              <w:t>1</w:t>
            </w:r>
            <w:r>
              <w:rPr>
                <w:rFonts w:ascii="Times New Roman" w:hAnsi="Times New Roman" w:eastAsia="宋体"/>
                <w:b/>
                <w:bCs/>
                <w:color w:val="auto"/>
                <w:sz w:val="24"/>
                <w:highlight w:val="none"/>
                <w:lang w:val="zh-CN"/>
              </w:rPr>
              <w:t>月</w:t>
            </w:r>
          </w:p>
          <w:p w14:paraId="2193D365">
            <w:pPr>
              <w:spacing w:line="360" w:lineRule="auto"/>
              <w:rPr>
                <w:rFonts w:ascii="Times New Roman" w:hAnsi="Times New Roman" w:eastAsia="宋体" w:cs="宋体"/>
                <w:color w:val="auto"/>
                <w:sz w:val="24"/>
                <w:highlight w:val="none"/>
              </w:rPr>
            </w:pPr>
          </w:p>
        </w:tc>
      </w:tr>
    </w:tbl>
    <w:p w14:paraId="3B5FCCE2">
      <w:pPr>
        <w:rPr>
          <w:rFonts w:hint="eastAsia" w:ascii="宋体" w:eastAsia="宋体"/>
          <w:color w:val="auto"/>
          <w:highlight w:val="none"/>
          <w:lang w:eastAsia="zh-CN"/>
        </w:rPr>
        <w:sectPr>
          <w:pgSz w:w="11905" w:h="16838"/>
          <w:pgMar w:top="1417" w:right="1417" w:bottom="141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50C5C078">
      <w:pPr>
        <w:pStyle w:val="30"/>
        <w:adjustRightInd w:val="0"/>
        <w:snapToGrid w:val="0"/>
        <w:spacing w:before="0" w:beforeAutospacing="0" w:after="0" w:afterAutospacing="0"/>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bookmarkEnd w:id="72"/>
      <w:bookmarkEnd w:id="73"/>
      <w:bookmarkEnd w:id="74"/>
      <w:bookmarkEnd w:id="75"/>
      <w:bookmarkEnd w:id="76"/>
    </w:p>
    <w:p w14:paraId="68D18951">
      <w:pPr>
        <w:pStyle w:val="30"/>
        <w:adjustRightInd w:val="0"/>
        <w:snapToGrid w:val="0"/>
        <w:spacing w:before="0" w:beforeAutospacing="0" w:after="0" w:afterAutospacing="0"/>
        <w:jc w:val="center"/>
        <w:outlineLvl w:val="0"/>
        <w:rPr>
          <w:rFonts w:ascii="方正小标宋_GBK" w:hAnsi="黑体" w:eastAsia="方正小标宋_GBK"/>
          <w:snapToGrid w:val="0"/>
          <w:color w:val="auto"/>
          <w:sz w:val="32"/>
          <w:szCs w:val="32"/>
          <w:highlight w:val="none"/>
        </w:rPr>
      </w:pPr>
      <w:bookmarkStart w:id="85" w:name="_Toc3813"/>
      <w:bookmarkStart w:id="86" w:name="_Toc29555"/>
      <w:bookmarkStart w:id="87" w:name="_Toc2648"/>
      <w:bookmarkStart w:id="88" w:name="_Toc297"/>
      <w:bookmarkStart w:id="89" w:name="_Toc27685"/>
      <w:r>
        <w:rPr>
          <w:rFonts w:hint="eastAsia" w:ascii="方正小标宋_GBK" w:hAnsi="黑体" w:eastAsia="方正小标宋_GBK"/>
          <w:snapToGrid w:val="0"/>
          <w:color w:val="auto"/>
          <w:sz w:val="32"/>
          <w:szCs w:val="32"/>
          <w:highlight w:val="none"/>
        </w:rPr>
        <w:t>建设项目</w:t>
      </w:r>
      <w:r>
        <w:rPr>
          <w:rFonts w:hint="eastAsia" w:ascii="方正小标宋_GBK" w:hAnsi="黑体" w:eastAsia="方正小标宋_GBK"/>
          <w:b w:val="0"/>
          <w:bCs w:val="0"/>
          <w:snapToGrid w:val="0"/>
          <w:color w:val="auto"/>
          <w:sz w:val="32"/>
          <w:szCs w:val="32"/>
          <w:highlight w:val="none"/>
        </w:rPr>
        <w:t>污染物排放量汇总</w:t>
      </w:r>
      <w:r>
        <w:rPr>
          <w:rFonts w:hint="eastAsia" w:ascii="方正小标宋_GBK" w:hAnsi="黑体" w:eastAsia="方正小标宋_GBK"/>
          <w:snapToGrid w:val="0"/>
          <w:color w:val="auto"/>
          <w:sz w:val="32"/>
          <w:szCs w:val="32"/>
          <w:highlight w:val="none"/>
        </w:rPr>
        <w:t>表</w:t>
      </w:r>
      <w:bookmarkEnd w:id="85"/>
      <w:bookmarkEnd w:id="86"/>
      <w:bookmarkEnd w:id="87"/>
      <w:bookmarkEnd w:id="88"/>
      <w:bookmarkEnd w:id="89"/>
    </w:p>
    <w:tbl>
      <w:tblPr>
        <w:tblStyle w:val="3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850"/>
        <w:gridCol w:w="1554"/>
        <w:gridCol w:w="1255"/>
        <w:gridCol w:w="1486"/>
        <w:gridCol w:w="1514"/>
        <w:gridCol w:w="1418"/>
        <w:gridCol w:w="1562"/>
        <w:gridCol w:w="1337"/>
      </w:tblGrid>
      <w:tr w14:paraId="55817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dxa"/>
            <w:tcBorders>
              <w:tl2br w:val="single" w:color="auto" w:sz="4" w:space="0"/>
            </w:tcBorders>
            <w:tcMar>
              <w:left w:w="28" w:type="dxa"/>
              <w:right w:w="28" w:type="dxa"/>
            </w:tcMar>
            <w:vAlign w:val="center"/>
          </w:tcPr>
          <w:p w14:paraId="5B479A39">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项目</w:t>
            </w:r>
          </w:p>
          <w:p w14:paraId="2879077F">
            <w:pPr>
              <w:pStyle w:val="51"/>
              <w:keepNext w:val="0"/>
              <w:keepLines w:val="0"/>
              <w:pageBreakBefore w:val="0"/>
              <w:kinsoku/>
              <w:wordWrap/>
              <w:overflowPunct/>
              <w:topLinePunct w:val="0"/>
              <w:autoSpaceDE/>
              <w:autoSpaceDN/>
              <w:bidi w:val="0"/>
              <w:spacing w:beforeLines="0" w:afterLines="0" w:line="240" w:lineRule="auto"/>
              <w:ind w:left="0"/>
              <w:jc w:val="both"/>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分类</w:t>
            </w:r>
          </w:p>
        </w:tc>
        <w:tc>
          <w:tcPr>
            <w:tcW w:w="2850" w:type="dxa"/>
            <w:tcMar>
              <w:left w:w="28" w:type="dxa"/>
              <w:right w:w="28" w:type="dxa"/>
            </w:tcMar>
            <w:vAlign w:val="center"/>
          </w:tcPr>
          <w:p w14:paraId="32D165D6">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污染物名称</w:t>
            </w:r>
          </w:p>
        </w:tc>
        <w:tc>
          <w:tcPr>
            <w:tcW w:w="1554" w:type="dxa"/>
            <w:tcMar>
              <w:left w:w="28" w:type="dxa"/>
              <w:right w:w="28" w:type="dxa"/>
            </w:tcMar>
            <w:vAlign w:val="center"/>
          </w:tcPr>
          <w:p w14:paraId="0602F083">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现有工程</w:t>
            </w:r>
          </w:p>
          <w:p w14:paraId="21DDFA72">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排放量（固体废物产生量）</w:t>
            </w: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=1\*GB3\*MERGEFORMAT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color w:val="auto"/>
                <w:kern w:val="2"/>
                <w:sz w:val="21"/>
                <w:szCs w:val="21"/>
                <w:highlight w:val="none"/>
              </w:rPr>
              <w:t>①</w:t>
            </w:r>
            <w:r>
              <w:rPr>
                <w:rFonts w:ascii="Times New Roman" w:hAnsi="Times New Roman" w:eastAsia="宋体"/>
                <w:snapToGrid w:val="0"/>
                <w:color w:val="auto"/>
                <w:spacing w:val="-6"/>
                <w:kern w:val="21"/>
                <w:sz w:val="21"/>
                <w:szCs w:val="21"/>
                <w:highlight w:val="none"/>
              </w:rPr>
              <w:fldChar w:fldCharType="end"/>
            </w:r>
          </w:p>
        </w:tc>
        <w:tc>
          <w:tcPr>
            <w:tcW w:w="1255" w:type="dxa"/>
            <w:tcMar>
              <w:left w:w="28" w:type="dxa"/>
              <w:right w:w="28" w:type="dxa"/>
            </w:tcMar>
            <w:vAlign w:val="center"/>
          </w:tcPr>
          <w:p w14:paraId="6F26AF2E">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现有工程</w:t>
            </w:r>
          </w:p>
          <w:p w14:paraId="0B0F50BD">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许可排放量</w:t>
            </w:r>
          </w:p>
          <w:p w14:paraId="6D7A992A">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=2\*GB3\*MERGEFORMAT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snapToGrid w:val="0"/>
                <w:color w:val="auto"/>
                <w:spacing w:val="-6"/>
                <w:kern w:val="21"/>
                <w:sz w:val="21"/>
                <w:szCs w:val="21"/>
                <w:highlight w:val="none"/>
              </w:rPr>
              <w:t>②</w:t>
            </w:r>
            <w:r>
              <w:rPr>
                <w:rFonts w:ascii="Times New Roman" w:hAnsi="Times New Roman" w:eastAsia="宋体"/>
                <w:snapToGrid w:val="0"/>
                <w:color w:val="auto"/>
                <w:spacing w:val="-6"/>
                <w:kern w:val="21"/>
                <w:sz w:val="21"/>
                <w:szCs w:val="21"/>
                <w:highlight w:val="none"/>
              </w:rPr>
              <w:fldChar w:fldCharType="end"/>
            </w:r>
          </w:p>
        </w:tc>
        <w:tc>
          <w:tcPr>
            <w:tcW w:w="1486" w:type="dxa"/>
            <w:tcMar>
              <w:left w:w="28" w:type="dxa"/>
              <w:right w:w="28" w:type="dxa"/>
            </w:tcMar>
            <w:vAlign w:val="center"/>
          </w:tcPr>
          <w:p w14:paraId="403A54F4">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在建工程</w:t>
            </w:r>
          </w:p>
          <w:p w14:paraId="6C8DED6F">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排放量（固体废物产生量）</w:t>
            </w: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=3\*GB3\*MERGEFORMAT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color w:val="auto"/>
                <w:kern w:val="2"/>
                <w:sz w:val="21"/>
                <w:szCs w:val="21"/>
                <w:highlight w:val="none"/>
              </w:rPr>
              <w:t>③</w:t>
            </w:r>
            <w:r>
              <w:rPr>
                <w:rFonts w:ascii="Times New Roman" w:hAnsi="Times New Roman" w:eastAsia="宋体"/>
                <w:snapToGrid w:val="0"/>
                <w:color w:val="auto"/>
                <w:spacing w:val="-6"/>
                <w:kern w:val="21"/>
                <w:sz w:val="21"/>
                <w:szCs w:val="21"/>
                <w:highlight w:val="none"/>
              </w:rPr>
              <w:fldChar w:fldCharType="end"/>
            </w:r>
          </w:p>
        </w:tc>
        <w:tc>
          <w:tcPr>
            <w:tcW w:w="1514" w:type="dxa"/>
            <w:tcMar>
              <w:left w:w="28" w:type="dxa"/>
              <w:right w:w="28" w:type="dxa"/>
            </w:tcMar>
            <w:vAlign w:val="center"/>
          </w:tcPr>
          <w:p w14:paraId="527E3309">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本项目</w:t>
            </w:r>
          </w:p>
          <w:p w14:paraId="36324243">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排放量（固体废物产生量）</w:t>
            </w: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=4\*GB3\*MERGEFORMAT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color w:val="auto"/>
                <w:kern w:val="2"/>
                <w:sz w:val="21"/>
                <w:szCs w:val="21"/>
                <w:highlight w:val="none"/>
              </w:rPr>
              <w:t>④</w:t>
            </w:r>
            <w:r>
              <w:rPr>
                <w:rFonts w:ascii="Times New Roman" w:hAnsi="Times New Roman" w:eastAsia="宋体"/>
                <w:snapToGrid w:val="0"/>
                <w:color w:val="auto"/>
                <w:spacing w:val="-6"/>
                <w:kern w:val="21"/>
                <w:sz w:val="21"/>
                <w:szCs w:val="21"/>
                <w:highlight w:val="none"/>
              </w:rPr>
              <w:fldChar w:fldCharType="end"/>
            </w:r>
          </w:p>
        </w:tc>
        <w:tc>
          <w:tcPr>
            <w:tcW w:w="1418" w:type="dxa"/>
            <w:tcMar>
              <w:left w:w="28" w:type="dxa"/>
              <w:right w:w="28" w:type="dxa"/>
            </w:tcMar>
            <w:vAlign w:val="center"/>
          </w:tcPr>
          <w:p w14:paraId="7A13AE4E">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16"/>
                <w:kern w:val="21"/>
                <w:sz w:val="21"/>
                <w:szCs w:val="21"/>
                <w:highlight w:val="none"/>
              </w:rPr>
            </w:pPr>
            <w:r>
              <w:rPr>
                <w:rFonts w:ascii="Times New Roman" w:hAnsi="Times New Roman" w:eastAsia="宋体"/>
                <w:snapToGrid w:val="0"/>
                <w:color w:val="auto"/>
                <w:spacing w:val="-16"/>
                <w:kern w:val="21"/>
                <w:sz w:val="21"/>
                <w:szCs w:val="21"/>
                <w:highlight w:val="none"/>
              </w:rPr>
              <w:t>以新带老削减量</w:t>
            </w:r>
          </w:p>
          <w:p w14:paraId="5345A8CA">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16"/>
                <w:kern w:val="21"/>
                <w:sz w:val="21"/>
                <w:szCs w:val="21"/>
                <w:highlight w:val="none"/>
              </w:rPr>
            </w:pPr>
            <w:r>
              <w:rPr>
                <w:rFonts w:ascii="Times New Roman" w:hAnsi="Times New Roman" w:eastAsia="宋体"/>
                <w:snapToGrid w:val="0"/>
                <w:color w:val="auto"/>
                <w:spacing w:val="-16"/>
                <w:kern w:val="21"/>
                <w:sz w:val="21"/>
                <w:szCs w:val="21"/>
                <w:highlight w:val="none"/>
              </w:rPr>
              <w:t>（新建项目不填）</w:t>
            </w:r>
            <w:r>
              <w:rPr>
                <w:rFonts w:ascii="Times New Roman" w:hAnsi="Times New Roman" w:eastAsia="宋体"/>
                <w:snapToGrid w:val="0"/>
                <w:color w:val="auto"/>
                <w:spacing w:val="-16"/>
                <w:kern w:val="21"/>
                <w:sz w:val="21"/>
                <w:szCs w:val="21"/>
                <w:highlight w:val="none"/>
              </w:rPr>
              <w:fldChar w:fldCharType="begin"/>
            </w:r>
            <w:r>
              <w:rPr>
                <w:rFonts w:ascii="Times New Roman" w:hAnsi="Times New Roman" w:eastAsia="宋体"/>
                <w:snapToGrid w:val="0"/>
                <w:color w:val="auto"/>
                <w:spacing w:val="-16"/>
                <w:kern w:val="21"/>
                <w:sz w:val="21"/>
                <w:szCs w:val="21"/>
                <w:highlight w:val="none"/>
              </w:rPr>
              <w:instrText xml:space="preserve">=5\*GB3\*MERGEFORMAT</w:instrText>
            </w:r>
            <w:r>
              <w:rPr>
                <w:rFonts w:ascii="Times New Roman" w:hAnsi="Times New Roman" w:eastAsia="宋体"/>
                <w:snapToGrid w:val="0"/>
                <w:color w:val="auto"/>
                <w:spacing w:val="-16"/>
                <w:kern w:val="21"/>
                <w:sz w:val="21"/>
                <w:szCs w:val="21"/>
                <w:highlight w:val="none"/>
              </w:rPr>
              <w:fldChar w:fldCharType="separate"/>
            </w:r>
            <w:r>
              <w:rPr>
                <w:rFonts w:ascii="Times New Roman" w:hAnsi="Times New Roman" w:eastAsia="宋体"/>
                <w:color w:val="auto"/>
                <w:kern w:val="2"/>
                <w:sz w:val="21"/>
                <w:szCs w:val="21"/>
                <w:highlight w:val="none"/>
              </w:rPr>
              <w:t>⑤</w:t>
            </w:r>
            <w:r>
              <w:rPr>
                <w:rFonts w:ascii="Times New Roman" w:hAnsi="Times New Roman" w:eastAsia="宋体"/>
                <w:snapToGrid w:val="0"/>
                <w:color w:val="auto"/>
                <w:spacing w:val="-16"/>
                <w:kern w:val="21"/>
                <w:sz w:val="21"/>
                <w:szCs w:val="21"/>
                <w:highlight w:val="none"/>
              </w:rPr>
              <w:fldChar w:fldCharType="end"/>
            </w:r>
          </w:p>
        </w:tc>
        <w:tc>
          <w:tcPr>
            <w:tcW w:w="1562" w:type="dxa"/>
            <w:tcMar>
              <w:left w:w="28" w:type="dxa"/>
              <w:right w:w="28" w:type="dxa"/>
            </w:tcMar>
            <w:vAlign w:val="center"/>
          </w:tcPr>
          <w:p w14:paraId="105328B6">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16"/>
                <w:kern w:val="21"/>
                <w:sz w:val="21"/>
                <w:szCs w:val="21"/>
                <w:highlight w:val="none"/>
              </w:rPr>
            </w:pPr>
            <w:r>
              <w:rPr>
                <w:rFonts w:ascii="Times New Roman" w:hAnsi="Times New Roman" w:eastAsia="宋体"/>
                <w:snapToGrid w:val="0"/>
                <w:color w:val="auto"/>
                <w:spacing w:val="-16"/>
                <w:kern w:val="21"/>
                <w:sz w:val="21"/>
                <w:szCs w:val="21"/>
                <w:highlight w:val="none"/>
              </w:rPr>
              <w:t>本项目建成后</w:t>
            </w:r>
          </w:p>
          <w:p w14:paraId="325AC423">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16"/>
                <w:kern w:val="21"/>
                <w:sz w:val="21"/>
                <w:szCs w:val="21"/>
                <w:highlight w:val="none"/>
              </w:rPr>
            </w:pPr>
            <w:r>
              <w:rPr>
                <w:rFonts w:ascii="Times New Roman" w:hAnsi="Times New Roman" w:eastAsia="宋体"/>
                <w:snapToGrid w:val="0"/>
                <w:color w:val="auto"/>
                <w:spacing w:val="-16"/>
                <w:kern w:val="21"/>
                <w:sz w:val="21"/>
                <w:szCs w:val="21"/>
                <w:highlight w:val="none"/>
              </w:rPr>
              <w:t>全厂排放量（固体废物产生量）</w:t>
            </w:r>
            <w:r>
              <w:rPr>
                <w:rFonts w:ascii="Times New Roman" w:hAnsi="Times New Roman" w:eastAsia="宋体"/>
                <w:snapToGrid w:val="0"/>
                <w:color w:val="auto"/>
                <w:spacing w:val="-16"/>
                <w:kern w:val="21"/>
                <w:sz w:val="21"/>
                <w:szCs w:val="21"/>
                <w:highlight w:val="none"/>
              </w:rPr>
              <w:fldChar w:fldCharType="begin"/>
            </w:r>
            <w:r>
              <w:rPr>
                <w:rFonts w:ascii="Times New Roman" w:hAnsi="Times New Roman" w:eastAsia="宋体"/>
                <w:snapToGrid w:val="0"/>
                <w:color w:val="auto"/>
                <w:spacing w:val="-16"/>
                <w:kern w:val="21"/>
                <w:sz w:val="21"/>
                <w:szCs w:val="21"/>
                <w:highlight w:val="none"/>
              </w:rPr>
              <w:instrText xml:space="preserve">=6\*GB3\*MERGEFORMAT</w:instrText>
            </w:r>
            <w:r>
              <w:rPr>
                <w:rFonts w:ascii="Times New Roman" w:hAnsi="Times New Roman" w:eastAsia="宋体"/>
                <w:snapToGrid w:val="0"/>
                <w:color w:val="auto"/>
                <w:spacing w:val="-16"/>
                <w:kern w:val="21"/>
                <w:sz w:val="21"/>
                <w:szCs w:val="21"/>
                <w:highlight w:val="none"/>
              </w:rPr>
              <w:fldChar w:fldCharType="separate"/>
            </w:r>
            <w:r>
              <w:rPr>
                <w:rFonts w:ascii="Times New Roman" w:hAnsi="Times New Roman" w:eastAsia="宋体"/>
                <w:color w:val="auto"/>
                <w:kern w:val="2"/>
                <w:sz w:val="21"/>
                <w:szCs w:val="21"/>
                <w:highlight w:val="none"/>
              </w:rPr>
              <w:t>⑥</w:t>
            </w:r>
            <w:r>
              <w:rPr>
                <w:rFonts w:ascii="Times New Roman" w:hAnsi="Times New Roman" w:eastAsia="宋体"/>
                <w:snapToGrid w:val="0"/>
                <w:color w:val="auto"/>
                <w:spacing w:val="-16"/>
                <w:kern w:val="21"/>
                <w:sz w:val="21"/>
                <w:szCs w:val="21"/>
                <w:highlight w:val="none"/>
              </w:rPr>
              <w:fldChar w:fldCharType="end"/>
            </w:r>
          </w:p>
        </w:tc>
        <w:tc>
          <w:tcPr>
            <w:tcW w:w="1337" w:type="dxa"/>
            <w:tcMar>
              <w:left w:w="28" w:type="dxa"/>
              <w:right w:w="28" w:type="dxa"/>
            </w:tcMar>
            <w:vAlign w:val="center"/>
          </w:tcPr>
          <w:p w14:paraId="2625EBE8">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t>变化量</w:t>
            </w:r>
          </w:p>
          <w:p w14:paraId="11FD7E7D">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spacing w:val="-6"/>
                <w:kern w:val="21"/>
                <w:sz w:val="21"/>
                <w:szCs w:val="21"/>
                <w:highlight w:val="none"/>
              </w:rPr>
            </w:pPr>
            <w:r>
              <w:rPr>
                <w:rFonts w:ascii="Times New Roman" w:hAnsi="Times New Roman" w:eastAsia="宋体"/>
                <w:snapToGrid w:val="0"/>
                <w:color w:val="auto"/>
                <w:spacing w:val="-6"/>
                <w:kern w:val="21"/>
                <w:sz w:val="21"/>
                <w:szCs w:val="21"/>
                <w:highlight w:val="none"/>
              </w:rPr>
              <w:fldChar w:fldCharType="begin"/>
            </w:r>
            <w:r>
              <w:rPr>
                <w:rFonts w:ascii="Times New Roman" w:hAnsi="Times New Roman" w:eastAsia="宋体"/>
                <w:snapToGrid w:val="0"/>
                <w:color w:val="auto"/>
                <w:spacing w:val="-6"/>
                <w:kern w:val="21"/>
                <w:sz w:val="21"/>
                <w:szCs w:val="21"/>
                <w:highlight w:val="none"/>
              </w:rPr>
              <w:instrText xml:space="preserve">=7\*GB3\*MERGEFORMAT</w:instrText>
            </w:r>
            <w:r>
              <w:rPr>
                <w:rFonts w:ascii="Times New Roman" w:hAnsi="Times New Roman" w:eastAsia="宋体"/>
                <w:snapToGrid w:val="0"/>
                <w:color w:val="auto"/>
                <w:spacing w:val="-6"/>
                <w:kern w:val="21"/>
                <w:sz w:val="21"/>
                <w:szCs w:val="21"/>
                <w:highlight w:val="none"/>
              </w:rPr>
              <w:fldChar w:fldCharType="separate"/>
            </w:r>
            <w:r>
              <w:rPr>
                <w:rFonts w:ascii="Times New Roman" w:hAnsi="Times New Roman" w:eastAsia="宋体"/>
                <w:color w:val="auto"/>
                <w:kern w:val="2"/>
                <w:sz w:val="21"/>
                <w:szCs w:val="21"/>
                <w:highlight w:val="none"/>
              </w:rPr>
              <w:t>⑦</w:t>
            </w:r>
            <w:r>
              <w:rPr>
                <w:rFonts w:ascii="Times New Roman" w:hAnsi="Times New Roman" w:eastAsia="宋体"/>
                <w:snapToGrid w:val="0"/>
                <w:color w:val="auto"/>
                <w:spacing w:val="-6"/>
                <w:kern w:val="21"/>
                <w:sz w:val="21"/>
                <w:szCs w:val="21"/>
                <w:highlight w:val="none"/>
              </w:rPr>
              <w:fldChar w:fldCharType="end"/>
            </w:r>
          </w:p>
        </w:tc>
      </w:tr>
      <w:tr w14:paraId="2FCF7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812" w:type="dxa"/>
            <w:vMerge w:val="restart"/>
            <w:shd w:val="clear" w:color="auto" w:fill="auto"/>
            <w:vAlign w:val="center"/>
          </w:tcPr>
          <w:p w14:paraId="3CFBC7E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废气</w:t>
            </w:r>
          </w:p>
        </w:tc>
        <w:tc>
          <w:tcPr>
            <w:tcW w:w="2850" w:type="dxa"/>
            <w:shd w:val="clear" w:color="auto" w:fill="auto"/>
            <w:vAlign w:val="center"/>
          </w:tcPr>
          <w:p w14:paraId="77ED286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VOCs</w:t>
            </w:r>
          </w:p>
        </w:tc>
        <w:tc>
          <w:tcPr>
            <w:tcW w:w="1554" w:type="dxa"/>
            <w:vAlign w:val="center"/>
          </w:tcPr>
          <w:p w14:paraId="33579C11">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hint="eastAsia" w:ascii="Times New Roman" w:hAnsi="Times New Roman" w:eastAsia="宋体"/>
                <w:color w:val="auto"/>
                <w:kern w:val="0"/>
                <w:sz w:val="21"/>
                <w:szCs w:val="21"/>
                <w:highlight w:val="none"/>
                <w:lang w:val="en-US" w:eastAsia="zh-CN" w:bidi="ar"/>
              </w:rPr>
              <w:t>/</w:t>
            </w:r>
          </w:p>
        </w:tc>
        <w:tc>
          <w:tcPr>
            <w:tcW w:w="1255" w:type="dxa"/>
            <w:vAlign w:val="center"/>
          </w:tcPr>
          <w:p w14:paraId="0C0F92E3">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snapToGrid w:val="0"/>
                <w:color w:val="auto"/>
                <w:kern w:val="21"/>
                <w:sz w:val="21"/>
                <w:szCs w:val="21"/>
                <w:highlight w:val="none"/>
                <w:lang w:val="en-US" w:eastAsia="zh-CN"/>
              </w:rPr>
            </w:pPr>
            <w:r>
              <w:rPr>
                <w:rFonts w:hint="eastAsia" w:ascii="Times New Roman" w:hAnsi="Times New Roman" w:eastAsia="宋体"/>
                <w:color w:val="auto"/>
                <w:kern w:val="0"/>
                <w:sz w:val="21"/>
                <w:szCs w:val="21"/>
                <w:highlight w:val="none"/>
                <w:lang w:val="en-US" w:eastAsia="zh-CN" w:bidi="ar"/>
              </w:rPr>
              <w:t>/</w:t>
            </w:r>
          </w:p>
        </w:tc>
        <w:tc>
          <w:tcPr>
            <w:tcW w:w="1486" w:type="dxa"/>
            <w:vAlign w:val="center"/>
          </w:tcPr>
          <w:p w14:paraId="173E9059">
            <w:pPr>
              <w:keepNext w:val="0"/>
              <w:keepLines w:val="0"/>
              <w:pageBreakBefore w:val="0"/>
              <w:widowControl/>
              <w:kinsoku/>
              <w:wordWrap/>
              <w:overflowPunct/>
              <w:topLinePunct w:val="0"/>
              <w:autoSpaceDE/>
              <w:autoSpaceDN/>
              <w:bidi w:val="0"/>
              <w:spacing w:line="240" w:lineRule="auto"/>
              <w:ind w:left="0"/>
              <w:jc w:val="center"/>
              <w:textAlignment w:val="bottom"/>
              <w:rPr>
                <w:rFonts w:hint="eastAsia" w:ascii="Times New Roman" w:hAnsi="Times New Roman" w:eastAsia="宋体"/>
                <w:snapToGrid w:val="0"/>
                <w:color w:val="auto"/>
                <w:kern w:val="21"/>
                <w:sz w:val="21"/>
                <w:szCs w:val="21"/>
                <w:highlight w:val="none"/>
                <w:lang w:eastAsia="zh-CN"/>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004B0C6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0.8845</w:t>
            </w:r>
          </w:p>
        </w:tc>
        <w:tc>
          <w:tcPr>
            <w:tcW w:w="1418" w:type="dxa"/>
            <w:vAlign w:val="center"/>
          </w:tcPr>
          <w:p w14:paraId="4012D8E4">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hint="eastAsia" w:ascii="Times New Roman" w:hAnsi="Times New Roman" w:eastAsia="宋体"/>
                <w:color w:val="auto"/>
                <w:kern w:val="0"/>
                <w:sz w:val="21"/>
                <w:szCs w:val="21"/>
                <w:highlight w:val="none"/>
                <w:lang w:val="en-US" w:eastAsia="zh-CN" w:bidi="ar"/>
              </w:rPr>
              <w:t>/</w:t>
            </w:r>
          </w:p>
        </w:tc>
        <w:tc>
          <w:tcPr>
            <w:tcW w:w="1562" w:type="dxa"/>
            <w:shd w:val="clear" w:color="auto" w:fill="auto"/>
            <w:vAlign w:val="center"/>
          </w:tcPr>
          <w:p w14:paraId="47F6E2A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0.8845</w:t>
            </w:r>
          </w:p>
        </w:tc>
        <w:tc>
          <w:tcPr>
            <w:tcW w:w="1337" w:type="dxa"/>
            <w:shd w:val="clear" w:color="auto" w:fill="auto"/>
            <w:vAlign w:val="center"/>
          </w:tcPr>
          <w:p w14:paraId="3BA04C8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+0.8845</w:t>
            </w:r>
          </w:p>
        </w:tc>
      </w:tr>
      <w:tr w14:paraId="20F2C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trPr>
        <w:tc>
          <w:tcPr>
            <w:tcW w:w="812" w:type="dxa"/>
            <w:vMerge w:val="continue"/>
            <w:vAlign w:val="center"/>
          </w:tcPr>
          <w:p w14:paraId="45DA6B2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670116B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颗粒物</w:t>
            </w:r>
          </w:p>
        </w:tc>
        <w:tc>
          <w:tcPr>
            <w:tcW w:w="1554" w:type="dxa"/>
            <w:vAlign w:val="center"/>
          </w:tcPr>
          <w:p w14:paraId="0B25629A">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255" w:type="dxa"/>
            <w:vAlign w:val="center"/>
          </w:tcPr>
          <w:p w14:paraId="64E76307">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486" w:type="dxa"/>
            <w:vAlign w:val="center"/>
          </w:tcPr>
          <w:p w14:paraId="553CDBE9">
            <w:pPr>
              <w:keepNext w:val="0"/>
              <w:keepLines w:val="0"/>
              <w:pageBreakBefore w:val="0"/>
              <w:widowControl/>
              <w:kinsoku/>
              <w:wordWrap/>
              <w:overflowPunct/>
              <w:topLinePunct w:val="0"/>
              <w:autoSpaceDE/>
              <w:autoSpaceDN/>
              <w:bidi w:val="0"/>
              <w:spacing w:line="240" w:lineRule="auto"/>
              <w:ind w:left="0"/>
              <w:jc w:val="center"/>
              <w:textAlignment w:val="bottom"/>
              <w:rPr>
                <w:rFonts w:hint="eastAsia" w:ascii="Times New Roman" w:hAnsi="Times New Roman" w:eastAsia="宋体"/>
                <w:snapToGrid w:val="0"/>
                <w:color w:val="auto"/>
                <w:kern w:val="21"/>
                <w:sz w:val="21"/>
                <w:szCs w:val="21"/>
                <w:highlight w:val="none"/>
                <w:lang w:eastAsia="zh-CN"/>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366A68E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0.8376</w:t>
            </w:r>
          </w:p>
        </w:tc>
        <w:tc>
          <w:tcPr>
            <w:tcW w:w="1418" w:type="dxa"/>
            <w:vAlign w:val="center"/>
          </w:tcPr>
          <w:p w14:paraId="105B0E2A">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77FF806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0.8376</w:t>
            </w:r>
          </w:p>
        </w:tc>
        <w:tc>
          <w:tcPr>
            <w:tcW w:w="1337" w:type="dxa"/>
            <w:shd w:val="clear" w:color="auto" w:fill="auto"/>
            <w:vAlign w:val="center"/>
          </w:tcPr>
          <w:p w14:paraId="5B61DA6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+0.8376</w:t>
            </w:r>
          </w:p>
        </w:tc>
      </w:tr>
      <w:tr w14:paraId="1497A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4339BFB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2F0A806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二氧化硫</w:t>
            </w:r>
          </w:p>
        </w:tc>
        <w:tc>
          <w:tcPr>
            <w:tcW w:w="1554" w:type="dxa"/>
            <w:shd w:val="clear" w:color="auto" w:fill="auto"/>
            <w:vAlign w:val="center"/>
          </w:tcPr>
          <w:p w14:paraId="0A90786F">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255" w:type="dxa"/>
            <w:shd w:val="clear" w:color="auto" w:fill="auto"/>
            <w:vAlign w:val="center"/>
          </w:tcPr>
          <w:p w14:paraId="2D5628D5">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486" w:type="dxa"/>
            <w:shd w:val="clear" w:color="auto" w:fill="auto"/>
            <w:vAlign w:val="center"/>
          </w:tcPr>
          <w:p w14:paraId="6F160813">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1A4CF46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0.01</w:t>
            </w:r>
          </w:p>
        </w:tc>
        <w:tc>
          <w:tcPr>
            <w:tcW w:w="1418" w:type="dxa"/>
            <w:shd w:val="clear" w:color="auto" w:fill="auto"/>
            <w:vAlign w:val="center"/>
          </w:tcPr>
          <w:p w14:paraId="1E6A3AFB">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4FADDD1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0.01</w:t>
            </w:r>
          </w:p>
        </w:tc>
        <w:tc>
          <w:tcPr>
            <w:tcW w:w="1337" w:type="dxa"/>
            <w:shd w:val="clear" w:color="auto" w:fill="auto"/>
            <w:vAlign w:val="center"/>
          </w:tcPr>
          <w:p w14:paraId="296D5F5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+0.01</w:t>
            </w:r>
          </w:p>
        </w:tc>
      </w:tr>
      <w:tr w14:paraId="5351A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136FBD6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7833605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氮氧化物</w:t>
            </w:r>
          </w:p>
        </w:tc>
        <w:tc>
          <w:tcPr>
            <w:tcW w:w="1554" w:type="dxa"/>
            <w:shd w:val="clear" w:color="auto" w:fill="auto"/>
            <w:vAlign w:val="center"/>
          </w:tcPr>
          <w:p w14:paraId="43EE7862">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255" w:type="dxa"/>
            <w:shd w:val="clear" w:color="auto" w:fill="auto"/>
            <w:vAlign w:val="center"/>
          </w:tcPr>
          <w:p w14:paraId="41967C3A">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486" w:type="dxa"/>
            <w:shd w:val="clear" w:color="auto" w:fill="auto"/>
            <w:vAlign w:val="center"/>
          </w:tcPr>
          <w:p w14:paraId="2EF42AD5">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14" w:type="dxa"/>
            <w:shd w:val="clear" w:color="auto" w:fill="auto"/>
            <w:vAlign w:val="center"/>
          </w:tcPr>
          <w:p w14:paraId="5B234E9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0.082</w:t>
            </w:r>
          </w:p>
        </w:tc>
        <w:tc>
          <w:tcPr>
            <w:tcW w:w="1418" w:type="dxa"/>
            <w:shd w:val="clear" w:color="auto" w:fill="auto"/>
            <w:vAlign w:val="center"/>
          </w:tcPr>
          <w:p w14:paraId="7A30000E">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62" w:type="dxa"/>
            <w:shd w:val="clear" w:color="auto" w:fill="auto"/>
            <w:vAlign w:val="center"/>
          </w:tcPr>
          <w:p w14:paraId="4FE8B62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0.082</w:t>
            </w:r>
          </w:p>
        </w:tc>
        <w:tc>
          <w:tcPr>
            <w:tcW w:w="1337" w:type="dxa"/>
            <w:shd w:val="clear" w:color="auto" w:fill="auto"/>
            <w:vAlign w:val="center"/>
          </w:tcPr>
          <w:p w14:paraId="2F18E02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+0.082</w:t>
            </w:r>
          </w:p>
        </w:tc>
      </w:tr>
      <w:tr w14:paraId="158E7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exact"/>
        </w:trPr>
        <w:tc>
          <w:tcPr>
            <w:tcW w:w="812" w:type="dxa"/>
            <w:vMerge w:val="continue"/>
            <w:vAlign w:val="center"/>
          </w:tcPr>
          <w:p w14:paraId="5381123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01C594A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氨</w:t>
            </w:r>
          </w:p>
        </w:tc>
        <w:tc>
          <w:tcPr>
            <w:tcW w:w="1554" w:type="dxa"/>
            <w:vAlign w:val="center"/>
          </w:tcPr>
          <w:p w14:paraId="1C4B7704">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auto"/>
                <w:sz w:val="21"/>
                <w:szCs w:val="21"/>
                <w:highlight w:val="none"/>
              </w:rPr>
            </w:pPr>
            <w:r>
              <w:rPr>
                <w:rFonts w:ascii="Times New Roman" w:hAnsi="Times New Roman" w:eastAsia="宋体"/>
                <w:snapToGrid w:val="0"/>
                <w:color w:val="auto"/>
                <w:kern w:val="21"/>
                <w:sz w:val="21"/>
                <w:szCs w:val="21"/>
                <w:highlight w:val="none"/>
              </w:rPr>
              <w:t>/</w:t>
            </w:r>
          </w:p>
        </w:tc>
        <w:tc>
          <w:tcPr>
            <w:tcW w:w="1255" w:type="dxa"/>
            <w:vAlign w:val="center"/>
          </w:tcPr>
          <w:p w14:paraId="6493C5D9">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486" w:type="dxa"/>
            <w:vAlign w:val="center"/>
          </w:tcPr>
          <w:p w14:paraId="55302776">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20CC821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0.06</w:t>
            </w:r>
          </w:p>
        </w:tc>
        <w:tc>
          <w:tcPr>
            <w:tcW w:w="1418" w:type="dxa"/>
            <w:vAlign w:val="center"/>
          </w:tcPr>
          <w:p w14:paraId="5A474E8C">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562" w:type="dxa"/>
            <w:shd w:val="clear" w:color="auto" w:fill="auto"/>
            <w:vAlign w:val="center"/>
          </w:tcPr>
          <w:p w14:paraId="25305B2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0.06</w:t>
            </w:r>
          </w:p>
        </w:tc>
        <w:tc>
          <w:tcPr>
            <w:tcW w:w="1337" w:type="dxa"/>
            <w:shd w:val="clear" w:color="auto" w:fill="auto"/>
            <w:vAlign w:val="center"/>
          </w:tcPr>
          <w:p w14:paraId="5E1EFF7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+0.06</w:t>
            </w:r>
          </w:p>
        </w:tc>
      </w:tr>
      <w:tr w14:paraId="51680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exact"/>
        </w:trPr>
        <w:tc>
          <w:tcPr>
            <w:tcW w:w="812" w:type="dxa"/>
            <w:vMerge w:val="continue"/>
            <w:vAlign w:val="center"/>
          </w:tcPr>
          <w:p w14:paraId="09BA249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682E901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硫化氢</w:t>
            </w:r>
          </w:p>
        </w:tc>
        <w:tc>
          <w:tcPr>
            <w:tcW w:w="1554" w:type="dxa"/>
            <w:vAlign w:val="center"/>
          </w:tcPr>
          <w:p w14:paraId="0E6FC958">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auto"/>
                <w:sz w:val="21"/>
                <w:szCs w:val="21"/>
                <w:highlight w:val="none"/>
              </w:rPr>
            </w:pPr>
            <w:r>
              <w:rPr>
                <w:rFonts w:ascii="Times New Roman" w:hAnsi="Times New Roman" w:eastAsia="宋体"/>
                <w:snapToGrid w:val="0"/>
                <w:color w:val="auto"/>
                <w:kern w:val="21"/>
                <w:sz w:val="21"/>
                <w:szCs w:val="21"/>
                <w:highlight w:val="none"/>
              </w:rPr>
              <w:t>/</w:t>
            </w:r>
          </w:p>
        </w:tc>
        <w:tc>
          <w:tcPr>
            <w:tcW w:w="1255" w:type="dxa"/>
            <w:vAlign w:val="center"/>
          </w:tcPr>
          <w:p w14:paraId="3879C32B">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486" w:type="dxa"/>
            <w:vAlign w:val="center"/>
          </w:tcPr>
          <w:p w14:paraId="6024D617">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47C81A2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0.12</w:t>
            </w:r>
          </w:p>
        </w:tc>
        <w:tc>
          <w:tcPr>
            <w:tcW w:w="1418" w:type="dxa"/>
            <w:vAlign w:val="center"/>
          </w:tcPr>
          <w:p w14:paraId="6847F4B2">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562" w:type="dxa"/>
            <w:shd w:val="clear" w:color="auto" w:fill="auto"/>
            <w:vAlign w:val="center"/>
          </w:tcPr>
          <w:p w14:paraId="6605309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0.12</w:t>
            </w:r>
          </w:p>
        </w:tc>
        <w:tc>
          <w:tcPr>
            <w:tcW w:w="1337" w:type="dxa"/>
            <w:shd w:val="clear" w:color="auto" w:fill="auto"/>
            <w:vAlign w:val="center"/>
          </w:tcPr>
          <w:p w14:paraId="0309602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+0.12</w:t>
            </w:r>
          </w:p>
        </w:tc>
      </w:tr>
      <w:tr w14:paraId="47DCA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shd w:val="clear" w:color="auto" w:fill="auto"/>
            <w:vAlign w:val="center"/>
          </w:tcPr>
          <w:p w14:paraId="1725E62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en-US"/>
              </w:rPr>
            </w:pPr>
            <w:r>
              <w:rPr>
                <w:rFonts w:ascii="Times New Roman" w:hAnsi="Times New Roman" w:eastAsia="宋体" w:cs="宋体"/>
                <w:color w:val="auto"/>
                <w:spacing w:val="7"/>
                <w:sz w:val="21"/>
              </w:rPr>
              <w:t>废水</w:t>
            </w:r>
          </w:p>
        </w:tc>
        <w:tc>
          <w:tcPr>
            <w:tcW w:w="2850" w:type="dxa"/>
            <w:shd w:val="clear" w:color="auto" w:fill="auto"/>
            <w:vAlign w:val="center"/>
          </w:tcPr>
          <w:p w14:paraId="29C6569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COD</w:t>
            </w:r>
          </w:p>
        </w:tc>
        <w:tc>
          <w:tcPr>
            <w:tcW w:w="1554" w:type="dxa"/>
            <w:vAlign w:val="center"/>
          </w:tcPr>
          <w:p w14:paraId="3E2158CC">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color w:val="auto"/>
                <w:sz w:val="21"/>
                <w:szCs w:val="21"/>
                <w:highlight w:val="none"/>
              </w:rPr>
            </w:pPr>
            <w:r>
              <w:rPr>
                <w:rFonts w:ascii="Times New Roman" w:hAnsi="Times New Roman" w:eastAsia="宋体"/>
                <w:snapToGrid w:val="0"/>
                <w:color w:val="auto"/>
                <w:kern w:val="21"/>
                <w:sz w:val="21"/>
                <w:szCs w:val="21"/>
                <w:highlight w:val="none"/>
              </w:rPr>
              <w:t>/</w:t>
            </w:r>
          </w:p>
        </w:tc>
        <w:tc>
          <w:tcPr>
            <w:tcW w:w="1255" w:type="dxa"/>
            <w:vAlign w:val="center"/>
          </w:tcPr>
          <w:p w14:paraId="4C464A96">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486" w:type="dxa"/>
            <w:vAlign w:val="center"/>
          </w:tcPr>
          <w:p w14:paraId="2FCC2A0E">
            <w:pPr>
              <w:keepNext w:val="0"/>
              <w:keepLines w:val="0"/>
              <w:pageBreakBefore w:val="0"/>
              <w:widowControl/>
              <w:kinsoku/>
              <w:wordWrap/>
              <w:overflowPunct/>
              <w:topLinePunct w:val="0"/>
              <w:autoSpaceDE/>
              <w:autoSpaceDN/>
              <w:bidi w:val="0"/>
              <w:spacing w:line="240" w:lineRule="auto"/>
              <w:ind w:left="0"/>
              <w:jc w:val="center"/>
              <w:textAlignment w:val="bottom"/>
              <w:rPr>
                <w:rFonts w:ascii="Times New Roman" w:hAnsi="Times New Roman" w:eastAsia="宋体"/>
                <w:snapToGrid w:val="0"/>
                <w:color w:val="auto"/>
                <w:kern w:val="21"/>
                <w:sz w:val="21"/>
                <w:szCs w:val="21"/>
                <w:highlight w:val="none"/>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0E45AF3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宋体"/>
                <w:color w:val="auto"/>
                <w:spacing w:val="7"/>
                <w:sz w:val="21"/>
                <w:lang w:val="en-US" w:eastAsia="zh-CN"/>
              </w:rPr>
              <w:t>0.335</w:t>
            </w:r>
          </w:p>
        </w:tc>
        <w:tc>
          <w:tcPr>
            <w:tcW w:w="1418" w:type="dxa"/>
            <w:vAlign w:val="center"/>
          </w:tcPr>
          <w:p w14:paraId="352AEB2C">
            <w:pPr>
              <w:pStyle w:val="51"/>
              <w:keepNext w:val="0"/>
              <w:keepLines w:val="0"/>
              <w:pageBreakBefore w:val="0"/>
              <w:kinsoku/>
              <w:wordWrap/>
              <w:overflowPunct/>
              <w:topLinePunct w:val="0"/>
              <w:autoSpaceDE/>
              <w:autoSpaceDN/>
              <w:bidi w:val="0"/>
              <w:spacing w:beforeLines="0" w:afterLines="0" w:line="240" w:lineRule="auto"/>
              <w:ind w:left="0"/>
              <w:rPr>
                <w:rFonts w:ascii="Times New Roman" w:hAnsi="Times New Roman" w:eastAsia="宋体"/>
                <w:snapToGrid w:val="0"/>
                <w:color w:val="auto"/>
                <w:kern w:val="21"/>
                <w:sz w:val="21"/>
                <w:szCs w:val="21"/>
                <w:highlight w:val="none"/>
              </w:rPr>
            </w:pPr>
            <w:r>
              <w:rPr>
                <w:rFonts w:ascii="Times New Roman" w:hAnsi="Times New Roman" w:eastAsia="宋体"/>
                <w:snapToGrid w:val="0"/>
                <w:color w:val="auto"/>
                <w:kern w:val="21"/>
                <w:sz w:val="21"/>
                <w:szCs w:val="21"/>
                <w:highlight w:val="none"/>
              </w:rPr>
              <w:t>/</w:t>
            </w:r>
          </w:p>
        </w:tc>
        <w:tc>
          <w:tcPr>
            <w:tcW w:w="1562" w:type="dxa"/>
            <w:shd w:val="clear" w:color="auto" w:fill="auto"/>
            <w:vAlign w:val="center"/>
          </w:tcPr>
          <w:p w14:paraId="5EB7440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0.335</w:t>
            </w:r>
          </w:p>
        </w:tc>
        <w:tc>
          <w:tcPr>
            <w:tcW w:w="1337" w:type="dxa"/>
            <w:shd w:val="clear" w:color="auto" w:fill="auto"/>
            <w:vAlign w:val="center"/>
          </w:tcPr>
          <w:p w14:paraId="6CB5EC3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+0.335</w:t>
            </w:r>
          </w:p>
        </w:tc>
      </w:tr>
      <w:tr w14:paraId="139E5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50D1CD1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47B8CAA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BOD</w:t>
            </w:r>
            <w:r>
              <w:rPr>
                <w:rFonts w:ascii="Times New Roman" w:hAnsi="Times New Roman" w:eastAsia="宋体" w:cs="宋体"/>
                <w:color w:val="auto"/>
                <w:spacing w:val="7"/>
                <w:sz w:val="21"/>
                <w:vertAlign w:val="subscript"/>
              </w:rPr>
              <w:t>5</w:t>
            </w:r>
          </w:p>
        </w:tc>
        <w:tc>
          <w:tcPr>
            <w:tcW w:w="1554" w:type="dxa"/>
            <w:shd w:val="clear" w:color="auto" w:fill="auto"/>
            <w:vAlign w:val="center"/>
          </w:tcPr>
          <w:p w14:paraId="4E093CAD">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60EAD60D">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119E9D19">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246147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0.1416</w:t>
            </w:r>
          </w:p>
        </w:tc>
        <w:tc>
          <w:tcPr>
            <w:tcW w:w="1418" w:type="dxa"/>
            <w:shd w:val="clear" w:color="auto" w:fill="auto"/>
            <w:vAlign w:val="center"/>
          </w:tcPr>
          <w:p w14:paraId="29F71A83">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72103E45">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0.1416</w:t>
            </w:r>
          </w:p>
        </w:tc>
        <w:tc>
          <w:tcPr>
            <w:tcW w:w="1337" w:type="dxa"/>
            <w:shd w:val="clear" w:color="auto" w:fill="auto"/>
            <w:vAlign w:val="center"/>
          </w:tcPr>
          <w:p w14:paraId="466018DC">
            <w:pPr>
              <w:keepNext w:val="0"/>
              <w:keepLines w:val="0"/>
              <w:widowControl/>
              <w:suppressLineNumbers w:val="0"/>
              <w:jc w:val="center"/>
              <w:textAlignment w:val="center"/>
              <w:rPr>
                <w:rFonts w:hint="eastAsia"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0.1416</w:t>
            </w:r>
          </w:p>
        </w:tc>
      </w:tr>
      <w:tr w14:paraId="4E459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2F65BA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6A898F6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SS</w:t>
            </w:r>
          </w:p>
        </w:tc>
        <w:tc>
          <w:tcPr>
            <w:tcW w:w="1554" w:type="dxa"/>
            <w:vAlign w:val="center"/>
          </w:tcPr>
          <w:p w14:paraId="7B39B8DA">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4D478A99">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4A7B5650">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5CFC9F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0.2129</w:t>
            </w:r>
          </w:p>
        </w:tc>
        <w:tc>
          <w:tcPr>
            <w:tcW w:w="1418" w:type="dxa"/>
            <w:vAlign w:val="center"/>
          </w:tcPr>
          <w:p w14:paraId="746FAD79">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502E0D63">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0.2129</w:t>
            </w:r>
          </w:p>
        </w:tc>
        <w:tc>
          <w:tcPr>
            <w:tcW w:w="1337" w:type="dxa"/>
            <w:shd w:val="clear" w:color="auto" w:fill="auto"/>
            <w:vAlign w:val="center"/>
          </w:tcPr>
          <w:p w14:paraId="216AA903">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0.2129</w:t>
            </w:r>
          </w:p>
        </w:tc>
      </w:tr>
      <w:tr w14:paraId="1CCDF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654C24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773D05C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石油类</w:t>
            </w:r>
          </w:p>
        </w:tc>
        <w:tc>
          <w:tcPr>
            <w:tcW w:w="1554" w:type="dxa"/>
            <w:vAlign w:val="center"/>
          </w:tcPr>
          <w:p w14:paraId="00E6C168">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48CE94DF">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6993243D">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402304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0.0136</w:t>
            </w:r>
          </w:p>
        </w:tc>
        <w:tc>
          <w:tcPr>
            <w:tcW w:w="1418" w:type="dxa"/>
            <w:vAlign w:val="center"/>
          </w:tcPr>
          <w:p w14:paraId="1B06F72A">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55D4A622">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0.0136</w:t>
            </w:r>
          </w:p>
        </w:tc>
        <w:tc>
          <w:tcPr>
            <w:tcW w:w="1337" w:type="dxa"/>
            <w:shd w:val="clear" w:color="auto" w:fill="auto"/>
            <w:vAlign w:val="center"/>
          </w:tcPr>
          <w:p w14:paraId="580E4F46">
            <w:pPr>
              <w:keepNext w:val="0"/>
              <w:keepLines w:val="0"/>
              <w:widowControl/>
              <w:suppressLineNumbers w:val="0"/>
              <w:jc w:val="center"/>
              <w:textAlignment w:val="center"/>
              <w:rPr>
                <w:rFonts w:hint="eastAsia"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0.0136</w:t>
            </w:r>
          </w:p>
        </w:tc>
      </w:tr>
      <w:tr w14:paraId="0CE33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53E0329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p>
        </w:tc>
        <w:tc>
          <w:tcPr>
            <w:tcW w:w="2850" w:type="dxa"/>
            <w:shd w:val="clear" w:color="auto" w:fill="auto"/>
            <w:vAlign w:val="center"/>
          </w:tcPr>
          <w:p w14:paraId="3C13F95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LAS</w:t>
            </w:r>
          </w:p>
        </w:tc>
        <w:tc>
          <w:tcPr>
            <w:tcW w:w="1554" w:type="dxa"/>
            <w:vAlign w:val="center"/>
          </w:tcPr>
          <w:p w14:paraId="59A2E011">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3D4A9BD9">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2E905461">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488C1B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0.0019</w:t>
            </w:r>
          </w:p>
        </w:tc>
        <w:tc>
          <w:tcPr>
            <w:tcW w:w="1418" w:type="dxa"/>
            <w:vAlign w:val="center"/>
          </w:tcPr>
          <w:p w14:paraId="63E11167">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yellow"/>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18435853">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0.0019</w:t>
            </w:r>
          </w:p>
        </w:tc>
        <w:tc>
          <w:tcPr>
            <w:tcW w:w="1337" w:type="dxa"/>
            <w:shd w:val="clear" w:color="auto" w:fill="auto"/>
            <w:vAlign w:val="center"/>
          </w:tcPr>
          <w:p w14:paraId="0FB1DCAF">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0.0019</w:t>
            </w:r>
          </w:p>
        </w:tc>
      </w:tr>
      <w:tr w14:paraId="7FFE8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AC0464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0A45522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氨氮</w:t>
            </w:r>
          </w:p>
        </w:tc>
        <w:tc>
          <w:tcPr>
            <w:tcW w:w="1554" w:type="dxa"/>
            <w:vAlign w:val="center"/>
          </w:tcPr>
          <w:p w14:paraId="234E0B02">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4D005AC6">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64BE9A52">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1DD07E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0.01334</w:t>
            </w:r>
          </w:p>
        </w:tc>
        <w:tc>
          <w:tcPr>
            <w:tcW w:w="1418" w:type="dxa"/>
            <w:vAlign w:val="center"/>
          </w:tcPr>
          <w:p w14:paraId="2003E0FC">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234D8E90">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0.01334</w:t>
            </w:r>
          </w:p>
        </w:tc>
        <w:tc>
          <w:tcPr>
            <w:tcW w:w="1337" w:type="dxa"/>
            <w:shd w:val="clear" w:color="auto" w:fill="auto"/>
            <w:vAlign w:val="center"/>
          </w:tcPr>
          <w:p w14:paraId="371AA9F8">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0.01334</w:t>
            </w:r>
          </w:p>
        </w:tc>
      </w:tr>
      <w:tr w14:paraId="15D06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1908160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751F153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TN</w:t>
            </w:r>
          </w:p>
        </w:tc>
        <w:tc>
          <w:tcPr>
            <w:tcW w:w="1554" w:type="dxa"/>
            <w:vAlign w:val="center"/>
          </w:tcPr>
          <w:p w14:paraId="7C6E232D">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vAlign w:val="center"/>
          </w:tcPr>
          <w:p w14:paraId="383D81E2">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vAlign w:val="center"/>
          </w:tcPr>
          <w:p w14:paraId="335EAAC5">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14" w:type="dxa"/>
            <w:shd w:val="clear" w:color="auto" w:fill="auto"/>
            <w:vAlign w:val="center"/>
          </w:tcPr>
          <w:p w14:paraId="5A1E00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0.0204</w:t>
            </w:r>
          </w:p>
        </w:tc>
        <w:tc>
          <w:tcPr>
            <w:tcW w:w="1418" w:type="dxa"/>
            <w:vAlign w:val="center"/>
          </w:tcPr>
          <w:p w14:paraId="18A5470F">
            <w:pPr>
              <w:keepNext w:val="0"/>
              <w:keepLines w:val="0"/>
              <w:pageBreakBefore w:val="0"/>
              <w:widowControl/>
              <w:suppressLineNumbers w:val="0"/>
              <w:kinsoku/>
              <w:wordWrap/>
              <w:overflowPunct/>
              <w:topLinePunct w:val="0"/>
              <w:autoSpaceDE/>
              <w:autoSpaceDN/>
              <w:bidi w:val="0"/>
              <w:spacing w:line="240" w:lineRule="auto"/>
              <w:ind w:lef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315381DA">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0.0204</w:t>
            </w:r>
          </w:p>
        </w:tc>
        <w:tc>
          <w:tcPr>
            <w:tcW w:w="1337" w:type="dxa"/>
            <w:shd w:val="clear" w:color="auto" w:fill="auto"/>
            <w:vAlign w:val="center"/>
          </w:tcPr>
          <w:p w14:paraId="5A9D5287">
            <w:pPr>
              <w:keepNext w:val="0"/>
              <w:keepLines w:val="0"/>
              <w:widowControl/>
              <w:suppressLineNumbers w:val="0"/>
              <w:jc w:val="center"/>
              <w:textAlignment w:val="center"/>
              <w:rPr>
                <w:rFonts w:hint="default" w:ascii="Times New Roman" w:hAnsi="Times New Roman" w:eastAsia="宋体" w:cs="宋体"/>
                <w:color w:val="auto"/>
                <w:spacing w:val="7"/>
                <w:kern w:val="2"/>
                <w:sz w:val="21"/>
                <w:szCs w:val="24"/>
                <w:lang w:val="en-US" w:eastAsia="zh-CN" w:bidi="ar-SA"/>
              </w:rPr>
            </w:pPr>
            <w:r>
              <w:rPr>
                <w:rFonts w:hint="eastAsia"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0.0204</w:t>
            </w:r>
          </w:p>
        </w:tc>
      </w:tr>
      <w:tr w14:paraId="4945E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shd w:val="clear" w:color="auto" w:fill="auto"/>
            <w:vAlign w:val="center"/>
          </w:tcPr>
          <w:p w14:paraId="5676DF3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一般工业</w:t>
            </w:r>
          </w:p>
          <w:p w14:paraId="7823F13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固体废物</w:t>
            </w:r>
          </w:p>
        </w:tc>
        <w:tc>
          <w:tcPr>
            <w:tcW w:w="2850" w:type="dxa"/>
            <w:shd w:val="clear" w:color="auto" w:fill="auto"/>
            <w:vAlign w:val="center"/>
          </w:tcPr>
          <w:p w14:paraId="1E7B452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废一般包装材料</w:t>
            </w:r>
          </w:p>
        </w:tc>
        <w:tc>
          <w:tcPr>
            <w:tcW w:w="1554" w:type="dxa"/>
            <w:shd w:val="clear" w:color="auto" w:fill="auto"/>
            <w:vAlign w:val="center"/>
          </w:tcPr>
          <w:p w14:paraId="76B7E89B">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255" w:type="dxa"/>
            <w:shd w:val="clear" w:color="auto" w:fill="auto"/>
            <w:vAlign w:val="center"/>
          </w:tcPr>
          <w:p w14:paraId="52C18169">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486" w:type="dxa"/>
            <w:shd w:val="clear" w:color="auto" w:fill="auto"/>
            <w:vAlign w:val="center"/>
          </w:tcPr>
          <w:p w14:paraId="32B2A642">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514" w:type="dxa"/>
            <w:shd w:val="clear" w:color="auto" w:fill="auto"/>
            <w:vAlign w:val="center"/>
          </w:tcPr>
          <w:p w14:paraId="1BEE7D6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0.9</w:t>
            </w:r>
          </w:p>
        </w:tc>
        <w:tc>
          <w:tcPr>
            <w:tcW w:w="1418" w:type="dxa"/>
            <w:shd w:val="clear" w:color="auto" w:fill="auto"/>
            <w:vAlign w:val="center"/>
          </w:tcPr>
          <w:p w14:paraId="49C4153F">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562" w:type="dxa"/>
            <w:shd w:val="clear" w:color="auto" w:fill="auto"/>
            <w:vAlign w:val="center"/>
          </w:tcPr>
          <w:p w14:paraId="02EA780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0.9</w:t>
            </w:r>
          </w:p>
        </w:tc>
        <w:tc>
          <w:tcPr>
            <w:tcW w:w="1337" w:type="dxa"/>
            <w:shd w:val="clear" w:color="auto" w:fill="auto"/>
            <w:vAlign w:val="center"/>
          </w:tcPr>
          <w:p w14:paraId="4479CF7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0.9</w:t>
            </w:r>
          </w:p>
        </w:tc>
      </w:tr>
      <w:tr w14:paraId="59EEC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CFEB6C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459361C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废金属料</w:t>
            </w:r>
          </w:p>
        </w:tc>
        <w:tc>
          <w:tcPr>
            <w:tcW w:w="1554" w:type="dxa"/>
            <w:shd w:val="clear" w:color="auto" w:fill="auto"/>
            <w:vAlign w:val="center"/>
          </w:tcPr>
          <w:p w14:paraId="36F13941">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255" w:type="dxa"/>
            <w:shd w:val="clear" w:color="auto" w:fill="auto"/>
            <w:vAlign w:val="center"/>
          </w:tcPr>
          <w:p w14:paraId="45395A05">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486" w:type="dxa"/>
            <w:shd w:val="clear" w:color="auto" w:fill="auto"/>
            <w:vAlign w:val="center"/>
          </w:tcPr>
          <w:p w14:paraId="616FBF66">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55830C8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10</w:t>
            </w:r>
          </w:p>
        </w:tc>
        <w:tc>
          <w:tcPr>
            <w:tcW w:w="1418" w:type="dxa"/>
            <w:shd w:val="clear" w:color="auto" w:fill="auto"/>
            <w:vAlign w:val="center"/>
          </w:tcPr>
          <w:p w14:paraId="054ADD03">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19D11A6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10</w:t>
            </w:r>
          </w:p>
        </w:tc>
        <w:tc>
          <w:tcPr>
            <w:tcW w:w="1337" w:type="dxa"/>
            <w:shd w:val="clear" w:color="auto" w:fill="auto"/>
            <w:vAlign w:val="center"/>
          </w:tcPr>
          <w:p w14:paraId="775BDA6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10</w:t>
            </w:r>
          </w:p>
        </w:tc>
      </w:tr>
      <w:tr w14:paraId="730FF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243FFB4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175F9A0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焊渣</w:t>
            </w:r>
          </w:p>
        </w:tc>
        <w:tc>
          <w:tcPr>
            <w:tcW w:w="1554" w:type="dxa"/>
            <w:shd w:val="clear" w:color="auto" w:fill="auto"/>
            <w:vAlign w:val="center"/>
          </w:tcPr>
          <w:p w14:paraId="50F81FB2">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255" w:type="dxa"/>
            <w:shd w:val="clear" w:color="auto" w:fill="auto"/>
            <w:vAlign w:val="center"/>
          </w:tcPr>
          <w:p w14:paraId="654CE44C">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486" w:type="dxa"/>
            <w:shd w:val="clear" w:color="auto" w:fill="auto"/>
            <w:vAlign w:val="center"/>
          </w:tcPr>
          <w:p w14:paraId="49C7D622">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14" w:type="dxa"/>
            <w:shd w:val="clear" w:color="auto" w:fill="auto"/>
            <w:vAlign w:val="center"/>
          </w:tcPr>
          <w:p w14:paraId="2A3E494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4</w:t>
            </w:r>
          </w:p>
        </w:tc>
        <w:tc>
          <w:tcPr>
            <w:tcW w:w="1418" w:type="dxa"/>
            <w:shd w:val="clear" w:color="auto" w:fill="auto"/>
            <w:vAlign w:val="center"/>
          </w:tcPr>
          <w:p w14:paraId="57D707F3">
            <w:pPr>
              <w:keepNext w:val="0"/>
              <w:keepLines w:val="0"/>
              <w:pageBreakBefore w:val="0"/>
              <w:widowControl/>
              <w:kinsoku/>
              <w:wordWrap/>
              <w:overflowPunct/>
              <w:topLinePunct w:val="0"/>
              <w:autoSpaceDE/>
              <w:autoSpaceDN/>
              <w:bidi w:val="0"/>
              <w:spacing w:line="240" w:lineRule="auto"/>
              <w:ind w:left="0"/>
              <w:jc w:val="center"/>
              <w:textAlignment w:val="bottom"/>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62" w:type="dxa"/>
            <w:shd w:val="clear" w:color="auto" w:fill="auto"/>
            <w:vAlign w:val="center"/>
          </w:tcPr>
          <w:p w14:paraId="48D5CC5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4</w:t>
            </w:r>
          </w:p>
        </w:tc>
        <w:tc>
          <w:tcPr>
            <w:tcW w:w="1337" w:type="dxa"/>
            <w:shd w:val="clear" w:color="auto" w:fill="auto"/>
            <w:vAlign w:val="center"/>
          </w:tcPr>
          <w:p w14:paraId="650AFB7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4</w:t>
            </w:r>
          </w:p>
        </w:tc>
      </w:tr>
      <w:tr w14:paraId="49898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16F29D7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6659B25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废金属灰</w:t>
            </w:r>
          </w:p>
        </w:tc>
        <w:tc>
          <w:tcPr>
            <w:tcW w:w="1554" w:type="dxa"/>
            <w:shd w:val="clear" w:color="auto" w:fill="auto"/>
            <w:vAlign w:val="center"/>
          </w:tcPr>
          <w:p w14:paraId="49231D1F">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255" w:type="dxa"/>
            <w:shd w:val="clear" w:color="auto" w:fill="auto"/>
            <w:vAlign w:val="center"/>
          </w:tcPr>
          <w:p w14:paraId="276498C6">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olor w:val="auto"/>
                <w:kern w:val="0"/>
                <w:sz w:val="21"/>
                <w:szCs w:val="21"/>
                <w:highlight w:val="none"/>
                <w:lang w:val="en-US" w:eastAsia="zh-CN" w:bidi="ar"/>
              </w:rPr>
              <w:t>/</w:t>
            </w:r>
          </w:p>
        </w:tc>
        <w:tc>
          <w:tcPr>
            <w:tcW w:w="1486" w:type="dxa"/>
            <w:shd w:val="clear" w:color="auto" w:fill="auto"/>
            <w:vAlign w:val="center"/>
          </w:tcPr>
          <w:p w14:paraId="180959D2">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5CA218D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0.35</w:t>
            </w:r>
          </w:p>
        </w:tc>
        <w:tc>
          <w:tcPr>
            <w:tcW w:w="1418" w:type="dxa"/>
            <w:shd w:val="clear" w:color="auto" w:fill="auto"/>
            <w:vAlign w:val="center"/>
          </w:tcPr>
          <w:p w14:paraId="768C287C">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7A8B911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0.35</w:t>
            </w:r>
          </w:p>
        </w:tc>
        <w:tc>
          <w:tcPr>
            <w:tcW w:w="1337" w:type="dxa"/>
            <w:shd w:val="clear" w:color="auto" w:fill="auto"/>
            <w:vAlign w:val="center"/>
          </w:tcPr>
          <w:p w14:paraId="11AB68F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0.35</w:t>
            </w:r>
          </w:p>
        </w:tc>
      </w:tr>
      <w:tr w14:paraId="369A2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 w:hRule="exact"/>
        </w:trPr>
        <w:tc>
          <w:tcPr>
            <w:tcW w:w="812" w:type="dxa"/>
            <w:vMerge w:val="continue"/>
            <w:vAlign w:val="center"/>
          </w:tcPr>
          <w:p w14:paraId="1886A9C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1AE50D0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纯水制备废RO膜、</w:t>
            </w:r>
          </w:p>
          <w:p w14:paraId="1E93465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hint="default" w:ascii="Times New Roman" w:hAnsi="Times New Roman" w:eastAsia="宋体" w:cs="Times New Roman"/>
                <w:b w:val="0"/>
                <w:bCs w:val="0"/>
                <w:color w:val="auto"/>
                <w:sz w:val="21"/>
                <w:szCs w:val="21"/>
                <w:highlight w:val="none"/>
                <w:lang w:val="en-US" w:eastAsia="zh-CN"/>
              </w:rPr>
              <w:t>废过滤材料</w:t>
            </w:r>
          </w:p>
        </w:tc>
        <w:tc>
          <w:tcPr>
            <w:tcW w:w="1554" w:type="dxa"/>
            <w:shd w:val="clear" w:color="auto" w:fill="auto"/>
            <w:vAlign w:val="center"/>
          </w:tcPr>
          <w:p w14:paraId="3ACCD83A">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olor w:val="auto"/>
                <w:kern w:val="0"/>
                <w:sz w:val="21"/>
                <w:szCs w:val="21"/>
                <w:highlight w:val="none"/>
                <w:lang w:val="en-US" w:eastAsia="zh-CN" w:bidi="ar"/>
              </w:rPr>
            </w:pPr>
            <w:r>
              <w:rPr>
                <w:rFonts w:hint="eastAsia" w:ascii="Times New Roman" w:hAnsi="Times New Roman" w:eastAsia="宋体"/>
                <w:color w:val="auto"/>
                <w:kern w:val="0"/>
                <w:sz w:val="21"/>
                <w:szCs w:val="21"/>
                <w:highlight w:val="none"/>
                <w:lang w:val="en-US" w:eastAsia="zh-CN" w:bidi="ar"/>
              </w:rPr>
              <w:t>/</w:t>
            </w:r>
          </w:p>
        </w:tc>
        <w:tc>
          <w:tcPr>
            <w:tcW w:w="1255" w:type="dxa"/>
            <w:shd w:val="clear" w:color="auto" w:fill="auto"/>
            <w:vAlign w:val="center"/>
          </w:tcPr>
          <w:p w14:paraId="4B67D7C0">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olor w:val="auto"/>
                <w:kern w:val="0"/>
                <w:sz w:val="21"/>
                <w:szCs w:val="21"/>
                <w:highlight w:val="none"/>
                <w:lang w:val="en-US" w:eastAsia="zh-CN" w:bidi="ar"/>
              </w:rPr>
            </w:pPr>
            <w:r>
              <w:rPr>
                <w:rFonts w:hint="eastAsia" w:ascii="Times New Roman" w:hAnsi="Times New Roman" w:eastAsia="宋体"/>
                <w:color w:val="auto"/>
                <w:kern w:val="0"/>
                <w:sz w:val="21"/>
                <w:szCs w:val="21"/>
                <w:highlight w:val="none"/>
                <w:lang w:val="en-US" w:eastAsia="zh-CN" w:bidi="ar"/>
              </w:rPr>
              <w:t>/</w:t>
            </w:r>
          </w:p>
        </w:tc>
        <w:tc>
          <w:tcPr>
            <w:tcW w:w="1486" w:type="dxa"/>
            <w:shd w:val="clear" w:color="auto" w:fill="auto"/>
            <w:vAlign w:val="center"/>
          </w:tcPr>
          <w:p w14:paraId="7EB6309D">
            <w:pPr>
              <w:keepNext w:val="0"/>
              <w:keepLines w:val="0"/>
              <w:pageBreakBefore w:val="0"/>
              <w:widowControl/>
              <w:kinsoku/>
              <w:wordWrap/>
              <w:overflowPunct/>
              <w:topLinePunct w:val="0"/>
              <w:autoSpaceDE/>
              <w:autoSpaceDN/>
              <w:bidi w:val="0"/>
              <w:spacing w:line="240" w:lineRule="auto"/>
              <w:ind w:left="0" w:leftChars="0"/>
              <w:jc w:val="center"/>
              <w:textAlignment w:val="bottom"/>
              <w:rPr>
                <w:rFonts w:ascii="Times New Roman" w:hAnsi="Times New Roman" w:eastAsia="宋体"/>
                <w:color w:val="auto"/>
                <w:kern w:val="0"/>
                <w:sz w:val="21"/>
                <w:szCs w:val="21"/>
                <w:highlight w:val="none"/>
                <w:lang w:bidi="ar"/>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527925A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0.1</w:t>
            </w:r>
          </w:p>
        </w:tc>
        <w:tc>
          <w:tcPr>
            <w:tcW w:w="1418" w:type="dxa"/>
            <w:shd w:val="clear" w:color="auto" w:fill="auto"/>
            <w:vAlign w:val="center"/>
          </w:tcPr>
          <w:p w14:paraId="4A73A5CB">
            <w:pPr>
              <w:keepNext w:val="0"/>
              <w:keepLines w:val="0"/>
              <w:pageBreakBefore w:val="0"/>
              <w:widowControl/>
              <w:kinsoku/>
              <w:wordWrap/>
              <w:overflowPunct/>
              <w:topLinePunct w:val="0"/>
              <w:autoSpaceDE/>
              <w:autoSpaceDN/>
              <w:bidi w:val="0"/>
              <w:spacing w:line="240" w:lineRule="auto"/>
              <w:ind w:left="0" w:leftChars="0"/>
              <w:jc w:val="center"/>
              <w:textAlignment w:val="bottom"/>
              <w:rPr>
                <w:rFonts w:ascii="Times New Roman" w:hAnsi="Times New Roman" w:eastAsia="宋体"/>
                <w:color w:val="auto"/>
                <w:kern w:val="0"/>
                <w:sz w:val="21"/>
                <w:szCs w:val="21"/>
                <w:highlight w:val="none"/>
                <w:lang w:bidi="ar"/>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58F4F15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hint="eastAsia" w:ascii="Times New Roman" w:hAnsi="Times New Roman" w:cs="宋体"/>
                <w:color w:val="auto"/>
                <w:spacing w:val="7"/>
                <w:sz w:val="21"/>
                <w:lang w:val="en-US" w:eastAsia="zh-CN"/>
              </w:rPr>
              <w:t>0.1</w:t>
            </w:r>
          </w:p>
        </w:tc>
        <w:tc>
          <w:tcPr>
            <w:tcW w:w="1337" w:type="dxa"/>
            <w:shd w:val="clear" w:color="auto" w:fill="auto"/>
            <w:vAlign w:val="center"/>
          </w:tcPr>
          <w:p w14:paraId="2F4AAC5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eastAsia="宋体" w:cs="宋体"/>
                <w:color w:val="auto"/>
                <w:spacing w:val="7"/>
                <w:sz w:val="21"/>
                <w:lang w:val="en-US" w:eastAsia="zh-CN"/>
              </w:rPr>
              <w:t>+</w:t>
            </w:r>
            <w:r>
              <w:rPr>
                <w:rFonts w:hint="eastAsia" w:ascii="Times New Roman" w:hAnsi="Times New Roman" w:cs="宋体"/>
                <w:color w:val="auto"/>
                <w:spacing w:val="7"/>
                <w:sz w:val="21"/>
                <w:lang w:val="en-US" w:eastAsia="zh-CN"/>
              </w:rPr>
              <w:t>0.1</w:t>
            </w:r>
          </w:p>
        </w:tc>
      </w:tr>
      <w:tr w14:paraId="25BF8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restart"/>
            <w:vAlign w:val="center"/>
          </w:tcPr>
          <w:p w14:paraId="065E1AF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ascii="Times New Roman" w:hAnsi="Times New Roman" w:eastAsia="宋体" w:cs="宋体"/>
                <w:color w:val="auto"/>
                <w:spacing w:val="7"/>
                <w:sz w:val="21"/>
              </w:rPr>
              <w:t>危险废物</w:t>
            </w:r>
          </w:p>
        </w:tc>
        <w:tc>
          <w:tcPr>
            <w:tcW w:w="2850" w:type="dxa"/>
            <w:shd w:val="clear" w:color="auto" w:fill="auto"/>
            <w:vAlign w:val="center"/>
          </w:tcPr>
          <w:p w14:paraId="77290EB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废涂料桶</w:t>
            </w:r>
          </w:p>
        </w:tc>
        <w:tc>
          <w:tcPr>
            <w:tcW w:w="1554" w:type="dxa"/>
            <w:shd w:val="clear" w:color="auto" w:fill="auto"/>
            <w:vAlign w:val="center"/>
          </w:tcPr>
          <w:p w14:paraId="343E11F6">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255" w:type="dxa"/>
            <w:shd w:val="clear" w:color="auto" w:fill="auto"/>
            <w:vAlign w:val="center"/>
          </w:tcPr>
          <w:p w14:paraId="70D9EC27">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486" w:type="dxa"/>
            <w:shd w:val="clear" w:color="auto" w:fill="auto"/>
            <w:vAlign w:val="center"/>
          </w:tcPr>
          <w:p w14:paraId="26564DC3">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7EDFAF7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0.4</w:t>
            </w:r>
          </w:p>
        </w:tc>
        <w:tc>
          <w:tcPr>
            <w:tcW w:w="1418" w:type="dxa"/>
            <w:shd w:val="clear" w:color="auto" w:fill="auto"/>
            <w:vAlign w:val="center"/>
          </w:tcPr>
          <w:p w14:paraId="6A879BC3">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501E934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0.4</w:t>
            </w:r>
          </w:p>
        </w:tc>
        <w:tc>
          <w:tcPr>
            <w:tcW w:w="1337" w:type="dxa"/>
            <w:shd w:val="clear" w:color="auto" w:fill="auto"/>
            <w:vAlign w:val="center"/>
          </w:tcPr>
          <w:p w14:paraId="7FFBFA6F">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0.4</w:t>
            </w:r>
          </w:p>
        </w:tc>
      </w:tr>
      <w:tr w14:paraId="633E5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shd w:val="clear" w:color="auto" w:fill="auto"/>
            <w:vAlign w:val="center"/>
          </w:tcPr>
          <w:p w14:paraId="1E41A68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en-US"/>
              </w:rPr>
            </w:pPr>
          </w:p>
        </w:tc>
        <w:tc>
          <w:tcPr>
            <w:tcW w:w="2850" w:type="dxa"/>
            <w:shd w:val="clear" w:color="auto" w:fill="auto"/>
            <w:vAlign w:val="center"/>
          </w:tcPr>
          <w:p w14:paraId="1662E1F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废化学品包装</w:t>
            </w:r>
          </w:p>
        </w:tc>
        <w:tc>
          <w:tcPr>
            <w:tcW w:w="1554" w:type="dxa"/>
            <w:shd w:val="clear" w:color="auto" w:fill="auto"/>
            <w:vAlign w:val="center"/>
          </w:tcPr>
          <w:p w14:paraId="6C6E66B5">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255" w:type="dxa"/>
            <w:shd w:val="clear" w:color="auto" w:fill="auto"/>
            <w:vAlign w:val="center"/>
          </w:tcPr>
          <w:p w14:paraId="2123790D">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486" w:type="dxa"/>
            <w:shd w:val="clear" w:color="auto" w:fill="auto"/>
            <w:vAlign w:val="center"/>
          </w:tcPr>
          <w:p w14:paraId="3B783487">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14" w:type="dxa"/>
            <w:shd w:val="clear" w:color="auto" w:fill="auto"/>
            <w:vAlign w:val="center"/>
          </w:tcPr>
          <w:p w14:paraId="45C1D5B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0.2</w:t>
            </w:r>
          </w:p>
        </w:tc>
        <w:tc>
          <w:tcPr>
            <w:tcW w:w="1418" w:type="dxa"/>
            <w:shd w:val="clear" w:color="auto" w:fill="auto"/>
            <w:vAlign w:val="center"/>
          </w:tcPr>
          <w:p w14:paraId="0A795D81">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5C7876D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0.2</w:t>
            </w:r>
          </w:p>
        </w:tc>
        <w:tc>
          <w:tcPr>
            <w:tcW w:w="1337" w:type="dxa"/>
            <w:shd w:val="clear" w:color="auto" w:fill="auto"/>
            <w:vAlign w:val="center"/>
          </w:tcPr>
          <w:p w14:paraId="24EAA02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0.2</w:t>
            </w:r>
          </w:p>
        </w:tc>
      </w:tr>
      <w:tr w14:paraId="0818B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5B55546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2850" w:type="dxa"/>
            <w:shd w:val="clear" w:color="auto" w:fill="auto"/>
            <w:vAlign w:val="center"/>
          </w:tcPr>
          <w:p w14:paraId="1415CCC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废过滤物</w:t>
            </w:r>
            <w:r>
              <w:rPr>
                <w:rFonts w:hint="eastAsia" w:ascii="Times New Roman" w:hAnsi="Times New Roman" w:cs="宋体"/>
                <w:color w:val="auto"/>
                <w:spacing w:val="7"/>
                <w:sz w:val="21"/>
                <w:lang w:eastAsia="zh-CN"/>
              </w:rPr>
              <w:t>（</w:t>
            </w:r>
            <w:r>
              <w:rPr>
                <w:rFonts w:hint="eastAsia" w:ascii="Times New Roman" w:hAnsi="Times New Roman" w:cs="宋体"/>
                <w:color w:val="auto"/>
                <w:spacing w:val="7"/>
                <w:sz w:val="21"/>
                <w:lang w:val="en-US" w:eastAsia="zh-CN"/>
              </w:rPr>
              <w:t>槽渣）</w:t>
            </w:r>
          </w:p>
        </w:tc>
        <w:tc>
          <w:tcPr>
            <w:tcW w:w="1554" w:type="dxa"/>
            <w:shd w:val="clear" w:color="auto" w:fill="auto"/>
            <w:vAlign w:val="center"/>
          </w:tcPr>
          <w:p w14:paraId="26D77C4F">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255" w:type="dxa"/>
            <w:shd w:val="clear" w:color="auto" w:fill="auto"/>
            <w:vAlign w:val="center"/>
          </w:tcPr>
          <w:p w14:paraId="6D74BB3E">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486" w:type="dxa"/>
            <w:shd w:val="clear" w:color="auto" w:fill="auto"/>
            <w:vAlign w:val="center"/>
          </w:tcPr>
          <w:p w14:paraId="6E0EED45">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14" w:type="dxa"/>
            <w:shd w:val="clear" w:color="auto" w:fill="auto"/>
            <w:vAlign w:val="center"/>
          </w:tcPr>
          <w:p w14:paraId="16DFBE34">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0.8</w:t>
            </w:r>
          </w:p>
        </w:tc>
        <w:tc>
          <w:tcPr>
            <w:tcW w:w="1418" w:type="dxa"/>
            <w:shd w:val="clear" w:color="auto" w:fill="auto"/>
            <w:vAlign w:val="center"/>
          </w:tcPr>
          <w:p w14:paraId="2BB11FA7">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snapToGrid w:val="0"/>
                <w:color w:val="auto"/>
                <w:kern w:val="21"/>
                <w:sz w:val="21"/>
                <w:szCs w:val="21"/>
                <w:highlight w:val="none"/>
                <w:lang w:val="en-US" w:eastAsia="zh-CN"/>
              </w:rPr>
              <w:t>/</w:t>
            </w:r>
          </w:p>
        </w:tc>
        <w:tc>
          <w:tcPr>
            <w:tcW w:w="1562" w:type="dxa"/>
            <w:shd w:val="clear" w:color="auto" w:fill="auto"/>
            <w:vAlign w:val="center"/>
          </w:tcPr>
          <w:p w14:paraId="06E9669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0.8</w:t>
            </w:r>
          </w:p>
        </w:tc>
        <w:tc>
          <w:tcPr>
            <w:tcW w:w="1337" w:type="dxa"/>
            <w:shd w:val="clear" w:color="auto" w:fill="auto"/>
            <w:vAlign w:val="center"/>
          </w:tcPr>
          <w:p w14:paraId="1AD6185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0.8</w:t>
            </w:r>
          </w:p>
        </w:tc>
      </w:tr>
      <w:tr w14:paraId="63385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3945419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0" w:type="auto"/>
            <w:shd w:val="clear" w:color="auto" w:fill="auto"/>
            <w:vAlign w:val="center"/>
          </w:tcPr>
          <w:p w14:paraId="693D5CC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废水处理污泥</w:t>
            </w:r>
          </w:p>
        </w:tc>
        <w:tc>
          <w:tcPr>
            <w:tcW w:w="0" w:type="auto"/>
            <w:shd w:val="clear" w:color="auto" w:fill="auto"/>
            <w:vAlign w:val="center"/>
          </w:tcPr>
          <w:p w14:paraId="2397EBDB">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auto"/>
                <w:kern w:val="0"/>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0" w:type="auto"/>
            <w:shd w:val="clear" w:color="auto" w:fill="auto"/>
            <w:vAlign w:val="center"/>
          </w:tcPr>
          <w:p w14:paraId="2E1B18D8">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0" w:type="auto"/>
            <w:shd w:val="clear" w:color="auto" w:fill="auto"/>
            <w:vAlign w:val="center"/>
          </w:tcPr>
          <w:p w14:paraId="6D56C7EC">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0" w:type="auto"/>
            <w:shd w:val="clear" w:color="auto" w:fill="auto"/>
            <w:vAlign w:val="center"/>
          </w:tcPr>
          <w:p w14:paraId="6A77B5C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0.95</w:t>
            </w:r>
          </w:p>
        </w:tc>
        <w:tc>
          <w:tcPr>
            <w:tcW w:w="0" w:type="auto"/>
            <w:shd w:val="clear" w:color="auto" w:fill="auto"/>
            <w:vAlign w:val="center"/>
          </w:tcPr>
          <w:p w14:paraId="5F1BF1A4">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3955D9F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0.95</w:t>
            </w:r>
          </w:p>
        </w:tc>
        <w:tc>
          <w:tcPr>
            <w:tcW w:w="1337" w:type="dxa"/>
            <w:shd w:val="clear" w:color="auto" w:fill="auto"/>
            <w:vAlign w:val="center"/>
          </w:tcPr>
          <w:p w14:paraId="436BFC1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0.95</w:t>
            </w:r>
          </w:p>
        </w:tc>
      </w:tr>
      <w:tr w14:paraId="1F093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5879C5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0" w:type="auto"/>
            <w:shd w:val="clear" w:color="auto" w:fill="auto"/>
            <w:vAlign w:val="center"/>
          </w:tcPr>
          <w:p w14:paraId="26051E8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废活性炭</w:t>
            </w:r>
          </w:p>
        </w:tc>
        <w:tc>
          <w:tcPr>
            <w:tcW w:w="0" w:type="auto"/>
            <w:shd w:val="clear" w:color="auto" w:fill="auto"/>
            <w:vAlign w:val="center"/>
          </w:tcPr>
          <w:p w14:paraId="339D7D7D">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auto"/>
                <w:kern w:val="0"/>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0" w:type="auto"/>
            <w:shd w:val="clear" w:color="auto" w:fill="auto"/>
            <w:vAlign w:val="center"/>
          </w:tcPr>
          <w:p w14:paraId="6EB55476">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0" w:type="auto"/>
            <w:shd w:val="clear" w:color="auto" w:fill="auto"/>
            <w:vAlign w:val="center"/>
          </w:tcPr>
          <w:p w14:paraId="5D0DB108">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0" w:type="auto"/>
            <w:shd w:val="clear" w:color="auto" w:fill="auto"/>
            <w:vAlign w:val="center"/>
          </w:tcPr>
          <w:p w14:paraId="2193B4B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7.9599</w:t>
            </w:r>
          </w:p>
        </w:tc>
        <w:tc>
          <w:tcPr>
            <w:tcW w:w="0" w:type="auto"/>
            <w:shd w:val="clear" w:color="auto" w:fill="auto"/>
            <w:vAlign w:val="center"/>
          </w:tcPr>
          <w:p w14:paraId="743A487A">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285A176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7.9599</w:t>
            </w:r>
          </w:p>
        </w:tc>
        <w:tc>
          <w:tcPr>
            <w:tcW w:w="1337" w:type="dxa"/>
            <w:shd w:val="clear" w:color="auto" w:fill="auto"/>
            <w:vAlign w:val="center"/>
          </w:tcPr>
          <w:p w14:paraId="7349295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kern w:val="2"/>
                <w:sz w:val="21"/>
                <w:szCs w:val="24"/>
                <w:lang w:val="en-US" w:eastAsia="zh-CN" w:bidi="ar-SA"/>
              </w:rPr>
            </w:pPr>
            <w:r>
              <w:rPr>
                <w:rFonts w:hint="eastAsia" w:ascii="Times New Roman" w:hAnsi="Times New Roman" w:cs="宋体"/>
                <w:color w:val="auto"/>
                <w:spacing w:val="7"/>
                <w:sz w:val="21"/>
                <w:lang w:val="en-US" w:eastAsia="zh-CN"/>
              </w:rPr>
              <w:t>+7.9599</w:t>
            </w:r>
          </w:p>
        </w:tc>
      </w:tr>
      <w:tr w14:paraId="4CDB5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5212836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0" w:type="auto"/>
            <w:shd w:val="clear" w:color="auto" w:fill="auto"/>
            <w:vAlign w:val="center"/>
          </w:tcPr>
          <w:p w14:paraId="2A5DDC3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废机油</w:t>
            </w:r>
          </w:p>
        </w:tc>
        <w:tc>
          <w:tcPr>
            <w:tcW w:w="0" w:type="auto"/>
            <w:shd w:val="clear" w:color="auto" w:fill="auto"/>
            <w:vAlign w:val="center"/>
          </w:tcPr>
          <w:p w14:paraId="09647F84">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color w:val="auto"/>
                <w:kern w:val="0"/>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0" w:type="auto"/>
            <w:shd w:val="clear" w:color="auto" w:fill="auto"/>
            <w:vAlign w:val="center"/>
          </w:tcPr>
          <w:p w14:paraId="312A96A3">
            <w:pPr>
              <w:pStyle w:val="51"/>
              <w:keepNext w:val="0"/>
              <w:keepLines w:val="0"/>
              <w:pageBreakBefore w:val="0"/>
              <w:kinsoku/>
              <w:wordWrap/>
              <w:overflowPunct/>
              <w:topLinePunct w:val="0"/>
              <w:autoSpaceDE/>
              <w:autoSpaceDN/>
              <w:bidi w:val="0"/>
              <w:spacing w:beforeLines="0" w:afterLines="0" w:line="240" w:lineRule="auto"/>
              <w:ind w:left="0" w:leftChars="0"/>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snapToGrid w:val="0"/>
                <w:color w:val="auto"/>
                <w:kern w:val="21"/>
                <w:sz w:val="21"/>
                <w:szCs w:val="21"/>
                <w:highlight w:val="none"/>
              </w:rPr>
              <w:t>/</w:t>
            </w:r>
          </w:p>
        </w:tc>
        <w:tc>
          <w:tcPr>
            <w:tcW w:w="0" w:type="auto"/>
            <w:shd w:val="clear" w:color="auto" w:fill="auto"/>
            <w:vAlign w:val="center"/>
          </w:tcPr>
          <w:p w14:paraId="0B19CFAB">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0" w:type="auto"/>
            <w:shd w:val="clear" w:color="auto" w:fill="auto"/>
            <w:vAlign w:val="center"/>
          </w:tcPr>
          <w:p w14:paraId="5C9F5F6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0.2</w:t>
            </w:r>
          </w:p>
        </w:tc>
        <w:tc>
          <w:tcPr>
            <w:tcW w:w="0" w:type="auto"/>
            <w:shd w:val="clear" w:color="auto" w:fill="auto"/>
            <w:vAlign w:val="center"/>
          </w:tcPr>
          <w:p w14:paraId="7A4ED9DF">
            <w:pPr>
              <w:keepNext w:val="0"/>
              <w:keepLines w:val="0"/>
              <w:pageBreakBefore w:val="0"/>
              <w:widowControl/>
              <w:kinsoku/>
              <w:wordWrap/>
              <w:overflowPunct/>
              <w:topLinePunct w:val="0"/>
              <w:autoSpaceDE/>
              <w:autoSpaceDN/>
              <w:bidi w:val="0"/>
              <w:spacing w:line="240" w:lineRule="auto"/>
              <w:ind w:left="0" w:leftChars="0"/>
              <w:jc w:val="center"/>
              <w:textAlignment w:val="bottom"/>
              <w:rPr>
                <w:rFonts w:hint="eastAsia"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olor w:val="auto"/>
                <w:kern w:val="0"/>
                <w:sz w:val="21"/>
                <w:szCs w:val="21"/>
                <w:highlight w:val="none"/>
                <w:lang w:bidi="ar"/>
              </w:rPr>
              <w:t>/</w:t>
            </w:r>
          </w:p>
        </w:tc>
        <w:tc>
          <w:tcPr>
            <w:tcW w:w="1562" w:type="dxa"/>
            <w:shd w:val="clear" w:color="auto" w:fill="auto"/>
            <w:vAlign w:val="center"/>
          </w:tcPr>
          <w:p w14:paraId="601BED3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0.2</w:t>
            </w:r>
          </w:p>
        </w:tc>
        <w:tc>
          <w:tcPr>
            <w:tcW w:w="1337" w:type="dxa"/>
            <w:shd w:val="clear" w:color="auto" w:fill="auto"/>
            <w:vAlign w:val="center"/>
          </w:tcPr>
          <w:p w14:paraId="0247E313">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0.2</w:t>
            </w:r>
          </w:p>
        </w:tc>
      </w:tr>
      <w:tr w14:paraId="5FA42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3E81EA9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0" w:type="auto"/>
            <w:shd w:val="clear" w:color="auto" w:fill="auto"/>
            <w:vAlign w:val="center"/>
          </w:tcPr>
          <w:p w14:paraId="13572C5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废油桶</w:t>
            </w:r>
          </w:p>
        </w:tc>
        <w:tc>
          <w:tcPr>
            <w:tcW w:w="0" w:type="auto"/>
            <w:shd w:val="clear" w:color="auto" w:fill="auto"/>
            <w:vAlign w:val="center"/>
          </w:tcPr>
          <w:p w14:paraId="3482F20D">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78AF7ADB">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76164F79">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07434C6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0.2</w:t>
            </w:r>
          </w:p>
        </w:tc>
        <w:tc>
          <w:tcPr>
            <w:tcW w:w="0" w:type="auto"/>
            <w:shd w:val="clear" w:color="auto" w:fill="auto"/>
            <w:vAlign w:val="center"/>
          </w:tcPr>
          <w:p w14:paraId="5B580403">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27FF6A6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0.2</w:t>
            </w:r>
          </w:p>
        </w:tc>
        <w:tc>
          <w:tcPr>
            <w:tcW w:w="1337" w:type="dxa"/>
            <w:shd w:val="clear" w:color="auto" w:fill="auto"/>
            <w:vAlign w:val="center"/>
          </w:tcPr>
          <w:p w14:paraId="6D5E2FD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0.2</w:t>
            </w:r>
          </w:p>
        </w:tc>
      </w:tr>
      <w:tr w14:paraId="6E143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exact"/>
        </w:trPr>
        <w:tc>
          <w:tcPr>
            <w:tcW w:w="812" w:type="dxa"/>
            <w:vMerge w:val="continue"/>
            <w:vAlign w:val="center"/>
          </w:tcPr>
          <w:p w14:paraId="5B340A8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p>
        </w:tc>
        <w:tc>
          <w:tcPr>
            <w:tcW w:w="0" w:type="auto"/>
            <w:shd w:val="clear" w:color="auto" w:fill="auto"/>
            <w:vAlign w:val="center"/>
          </w:tcPr>
          <w:p w14:paraId="56A7FA6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en-US"/>
              </w:rPr>
            </w:pPr>
            <w:r>
              <w:rPr>
                <w:rFonts w:ascii="Times New Roman" w:hAnsi="Times New Roman" w:eastAsia="宋体" w:cs="宋体"/>
                <w:color w:val="auto"/>
                <w:spacing w:val="7"/>
                <w:sz w:val="21"/>
              </w:rPr>
              <w:t>废滤膜</w:t>
            </w:r>
          </w:p>
        </w:tc>
        <w:tc>
          <w:tcPr>
            <w:tcW w:w="0" w:type="auto"/>
            <w:shd w:val="clear" w:color="auto" w:fill="auto"/>
            <w:vAlign w:val="center"/>
          </w:tcPr>
          <w:p w14:paraId="1FC7A22C">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1293EF7D">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6912159C">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24A91198">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0.4</w:t>
            </w:r>
          </w:p>
        </w:tc>
        <w:tc>
          <w:tcPr>
            <w:tcW w:w="0" w:type="auto"/>
            <w:shd w:val="clear" w:color="auto" w:fill="auto"/>
            <w:vAlign w:val="center"/>
          </w:tcPr>
          <w:p w14:paraId="30181678">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04C0894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0.4</w:t>
            </w:r>
          </w:p>
        </w:tc>
        <w:tc>
          <w:tcPr>
            <w:tcW w:w="1337" w:type="dxa"/>
            <w:shd w:val="clear" w:color="auto" w:fill="auto"/>
            <w:vAlign w:val="center"/>
          </w:tcPr>
          <w:p w14:paraId="7A2378B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0.4</w:t>
            </w:r>
          </w:p>
        </w:tc>
      </w:tr>
      <w:tr w14:paraId="39C38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2434DFAC">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0" w:type="auto"/>
            <w:shd w:val="clear" w:color="auto" w:fill="auto"/>
            <w:vAlign w:val="center"/>
          </w:tcPr>
          <w:p w14:paraId="243E8CF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lang w:val="en-US" w:eastAsia="en-US"/>
              </w:rPr>
            </w:pPr>
            <w:r>
              <w:rPr>
                <w:rFonts w:ascii="Times New Roman" w:hAnsi="Times New Roman" w:eastAsia="宋体" w:cs="宋体"/>
                <w:color w:val="auto"/>
                <w:spacing w:val="7"/>
                <w:sz w:val="21"/>
              </w:rPr>
              <w:t>废含油抹布手套</w:t>
            </w:r>
          </w:p>
        </w:tc>
        <w:tc>
          <w:tcPr>
            <w:tcW w:w="0" w:type="auto"/>
            <w:shd w:val="clear" w:color="auto" w:fill="auto"/>
            <w:vAlign w:val="center"/>
          </w:tcPr>
          <w:p w14:paraId="75BD8448">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5B8545B8">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5FDDD0CE">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5BF33291">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ascii="Times New Roman" w:hAnsi="Times New Roman" w:eastAsia="宋体" w:cs="宋体"/>
                <w:color w:val="auto"/>
                <w:spacing w:val="7"/>
                <w:sz w:val="21"/>
              </w:rPr>
              <w:t>0.4</w:t>
            </w:r>
          </w:p>
        </w:tc>
        <w:tc>
          <w:tcPr>
            <w:tcW w:w="0" w:type="auto"/>
            <w:shd w:val="clear" w:color="auto" w:fill="auto"/>
            <w:vAlign w:val="center"/>
          </w:tcPr>
          <w:p w14:paraId="63AAE7F0">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eastAsia"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15A7614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ascii="Times New Roman" w:hAnsi="Times New Roman" w:eastAsia="宋体" w:cs="宋体"/>
                <w:color w:val="auto"/>
                <w:spacing w:val="7"/>
                <w:sz w:val="21"/>
              </w:rPr>
              <w:t>0.4</w:t>
            </w:r>
          </w:p>
        </w:tc>
        <w:tc>
          <w:tcPr>
            <w:tcW w:w="1337" w:type="dxa"/>
            <w:shd w:val="clear" w:color="auto" w:fill="auto"/>
            <w:vAlign w:val="center"/>
          </w:tcPr>
          <w:p w14:paraId="2EDFFEAB">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kern w:val="2"/>
                <w:sz w:val="21"/>
                <w:szCs w:val="24"/>
                <w:lang w:val="en-US" w:eastAsia="zh-CN" w:bidi="ar-SA"/>
              </w:rPr>
            </w:pPr>
            <w:r>
              <w:rPr>
                <w:rFonts w:hint="eastAsia" w:ascii="Times New Roman" w:hAnsi="Times New Roman" w:eastAsia="宋体" w:cs="宋体"/>
                <w:color w:val="auto"/>
                <w:spacing w:val="7"/>
                <w:sz w:val="21"/>
                <w:lang w:val="en-US" w:eastAsia="zh-CN"/>
              </w:rPr>
              <w:t>+</w:t>
            </w:r>
            <w:r>
              <w:rPr>
                <w:rFonts w:ascii="Times New Roman" w:hAnsi="Times New Roman" w:eastAsia="宋体" w:cs="宋体"/>
                <w:color w:val="auto"/>
                <w:spacing w:val="7"/>
                <w:sz w:val="21"/>
              </w:rPr>
              <w:t>0.4</w:t>
            </w:r>
          </w:p>
        </w:tc>
      </w:tr>
      <w:tr w14:paraId="180CCC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03710767">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0" w:type="auto"/>
            <w:shd w:val="clear" w:color="auto" w:fill="auto"/>
            <w:vAlign w:val="center"/>
          </w:tcPr>
          <w:p w14:paraId="227F9C3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废滤筒滤芯</w:t>
            </w:r>
          </w:p>
        </w:tc>
        <w:tc>
          <w:tcPr>
            <w:tcW w:w="0" w:type="auto"/>
            <w:shd w:val="clear" w:color="auto" w:fill="auto"/>
            <w:vAlign w:val="center"/>
          </w:tcPr>
          <w:p w14:paraId="1533E6DF">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5A90950F">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3BBE8BBE">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1402D8A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2.0</w:t>
            </w:r>
          </w:p>
        </w:tc>
        <w:tc>
          <w:tcPr>
            <w:tcW w:w="0" w:type="auto"/>
            <w:shd w:val="clear" w:color="auto" w:fill="auto"/>
            <w:vAlign w:val="center"/>
          </w:tcPr>
          <w:p w14:paraId="1E594CE0">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57DC4A00">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hint="eastAsia" w:ascii="Times New Roman" w:hAnsi="Times New Roman" w:cs="宋体"/>
                <w:color w:val="auto"/>
                <w:spacing w:val="7"/>
                <w:sz w:val="21"/>
                <w:lang w:val="en-US" w:eastAsia="zh-CN"/>
              </w:rPr>
              <w:t>2.0</w:t>
            </w:r>
          </w:p>
        </w:tc>
        <w:tc>
          <w:tcPr>
            <w:tcW w:w="1337" w:type="dxa"/>
            <w:shd w:val="clear" w:color="auto" w:fill="auto"/>
            <w:vAlign w:val="center"/>
          </w:tcPr>
          <w:p w14:paraId="2B443EA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+2.0</w:t>
            </w:r>
          </w:p>
        </w:tc>
      </w:tr>
      <w:tr w14:paraId="70B48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51B6BDB4">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0" w:type="auto"/>
            <w:shd w:val="clear" w:color="auto" w:fill="auto"/>
            <w:vAlign w:val="center"/>
          </w:tcPr>
          <w:p w14:paraId="3FE19102">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浮油</w:t>
            </w:r>
          </w:p>
        </w:tc>
        <w:tc>
          <w:tcPr>
            <w:tcW w:w="1554" w:type="dxa"/>
            <w:shd w:val="clear" w:color="auto" w:fill="auto"/>
            <w:vAlign w:val="center"/>
          </w:tcPr>
          <w:p w14:paraId="3DD56FF8">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146A6487">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6B2B5CCC">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7B5B1B8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0.2</w:t>
            </w:r>
          </w:p>
        </w:tc>
        <w:tc>
          <w:tcPr>
            <w:tcW w:w="0" w:type="auto"/>
            <w:shd w:val="clear" w:color="auto" w:fill="auto"/>
            <w:vAlign w:val="center"/>
          </w:tcPr>
          <w:p w14:paraId="793FF955">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6534305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hint="eastAsia" w:ascii="Times New Roman" w:hAnsi="Times New Roman" w:cs="宋体"/>
                <w:color w:val="auto"/>
                <w:spacing w:val="7"/>
                <w:sz w:val="21"/>
                <w:lang w:val="en-US" w:eastAsia="zh-CN"/>
              </w:rPr>
              <w:t>0.2</w:t>
            </w:r>
          </w:p>
        </w:tc>
        <w:tc>
          <w:tcPr>
            <w:tcW w:w="1337" w:type="dxa"/>
            <w:shd w:val="clear" w:color="auto" w:fill="auto"/>
            <w:vAlign w:val="center"/>
          </w:tcPr>
          <w:p w14:paraId="65B2AFC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+0.2</w:t>
            </w:r>
          </w:p>
        </w:tc>
      </w:tr>
      <w:tr w14:paraId="593A6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605008DB">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0" w:type="auto"/>
            <w:shd w:val="clear" w:color="auto" w:fill="auto"/>
            <w:vAlign w:val="center"/>
          </w:tcPr>
          <w:p w14:paraId="3A35CA9C">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废漆渣</w:t>
            </w:r>
          </w:p>
        </w:tc>
        <w:tc>
          <w:tcPr>
            <w:tcW w:w="0" w:type="auto"/>
            <w:shd w:val="clear" w:color="auto" w:fill="auto"/>
            <w:vAlign w:val="center"/>
          </w:tcPr>
          <w:p w14:paraId="3E0FC644">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097C45D3">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0BAB7C0C">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1E20BD56">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1.6524</w:t>
            </w:r>
          </w:p>
        </w:tc>
        <w:tc>
          <w:tcPr>
            <w:tcW w:w="0" w:type="auto"/>
            <w:shd w:val="clear" w:color="auto" w:fill="auto"/>
            <w:vAlign w:val="center"/>
          </w:tcPr>
          <w:p w14:paraId="0D88CE89">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62" w:type="dxa"/>
            <w:shd w:val="clear" w:color="auto" w:fill="auto"/>
            <w:vAlign w:val="center"/>
          </w:tcPr>
          <w:p w14:paraId="2C8C434E">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auto"/>
                <w:spacing w:val="7"/>
                <w:sz w:val="21"/>
              </w:rPr>
            </w:pPr>
            <w:r>
              <w:rPr>
                <w:rFonts w:hint="eastAsia" w:ascii="Times New Roman" w:hAnsi="Times New Roman" w:cs="宋体"/>
                <w:color w:val="auto"/>
                <w:spacing w:val="7"/>
                <w:sz w:val="21"/>
                <w:lang w:val="en-US" w:eastAsia="zh-CN"/>
              </w:rPr>
              <w:t>1.6524</w:t>
            </w:r>
          </w:p>
        </w:tc>
        <w:tc>
          <w:tcPr>
            <w:tcW w:w="1337" w:type="dxa"/>
            <w:shd w:val="clear" w:color="auto" w:fill="auto"/>
            <w:vAlign w:val="center"/>
          </w:tcPr>
          <w:p w14:paraId="28794BEA">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auto"/>
                <w:spacing w:val="7"/>
                <w:sz w:val="21"/>
                <w:lang w:val="en-US" w:eastAsia="zh-CN"/>
              </w:rPr>
            </w:pPr>
            <w:r>
              <w:rPr>
                <w:rFonts w:hint="eastAsia" w:ascii="Times New Roman" w:hAnsi="Times New Roman" w:cs="宋体"/>
                <w:color w:val="auto"/>
                <w:spacing w:val="7"/>
                <w:sz w:val="21"/>
                <w:lang w:val="en-US" w:eastAsia="zh-CN"/>
              </w:rPr>
              <w:t>+1.6524</w:t>
            </w:r>
          </w:p>
        </w:tc>
      </w:tr>
      <w:tr w14:paraId="7B288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12" w:type="dxa"/>
            <w:vMerge w:val="continue"/>
            <w:vAlign w:val="center"/>
          </w:tcPr>
          <w:p w14:paraId="42014DDB">
            <w:pPr>
              <w:pStyle w:val="51"/>
              <w:keepNext w:val="0"/>
              <w:keepLines w:val="0"/>
              <w:pageBreakBefore w:val="0"/>
              <w:widowControl w:val="0"/>
              <w:kinsoku/>
              <w:wordWrap/>
              <w:overflowPunct/>
              <w:topLinePunct w:val="0"/>
              <w:autoSpaceDE/>
              <w:autoSpaceDN/>
              <w:bidi w:val="0"/>
              <w:adjustRightInd/>
              <w:snapToGrid/>
              <w:spacing w:beforeLines="0" w:afterLines="0" w:line="240" w:lineRule="auto"/>
              <w:ind w:left="0"/>
              <w:jc w:val="center"/>
              <w:textAlignment w:val="auto"/>
              <w:rPr>
                <w:rFonts w:ascii="Times New Roman" w:hAnsi="Times New Roman" w:eastAsia="宋体"/>
                <w:snapToGrid w:val="0"/>
                <w:color w:val="auto"/>
                <w:kern w:val="21"/>
                <w:sz w:val="21"/>
                <w:szCs w:val="21"/>
                <w:highlight w:val="none"/>
              </w:rPr>
            </w:pPr>
          </w:p>
        </w:tc>
        <w:tc>
          <w:tcPr>
            <w:tcW w:w="0" w:type="auto"/>
            <w:shd w:val="clear" w:color="auto" w:fill="auto"/>
            <w:vAlign w:val="center"/>
          </w:tcPr>
          <w:p w14:paraId="4A985545">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宋体"/>
                <w:color w:val="auto"/>
                <w:spacing w:val="7"/>
                <w:sz w:val="21"/>
                <w:lang w:val="en-US" w:eastAsia="zh-CN"/>
              </w:rPr>
            </w:pPr>
            <w:r>
              <w:rPr>
                <w:rFonts w:hint="eastAsia" w:ascii="Times New Roman" w:hAnsi="Times New Roman" w:cs="宋体"/>
                <w:color w:val="auto"/>
                <w:spacing w:val="7"/>
                <w:sz w:val="21"/>
                <w:lang w:val="en-US" w:eastAsia="zh-CN"/>
              </w:rPr>
              <w:t>废槽液</w:t>
            </w:r>
          </w:p>
        </w:tc>
        <w:tc>
          <w:tcPr>
            <w:tcW w:w="1554" w:type="dxa"/>
            <w:shd w:val="clear" w:color="auto" w:fill="auto"/>
            <w:vAlign w:val="center"/>
          </w:tcPr>
          <w:p w14:paraId="4A3A4B94">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55" w:type="dxa"/>
            <w:shd w:val="clear" w:color="auto" w:fill="auto"/>
            <w:vAlign w:val="center"/>
          </w:tcPr>
          <w:p w14:paraId="21D64FA3">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86" w:type="dxa"/>
            <w:shd w:val="clear" w:color="auto" w:fill="auto"/>
            <w:vAlign w:val="center"/>
          </w:tcPr>
          <w:p w14:paraId="1DA91E9E">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0" w:type="auto"/>
            <w:shd w:val="clear" w:color="auto" w:fill="auto"/>
            <w:vAlign w:val="center"/>
          </w:tcPr>
          <w:p w14:paraId="5A2B3099">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宋体"/>
                <w:color w:val="auto"/>
                <w:spacing w:val="7"/>
                <w:sz w:val="21"/>
                <w:lang w:val="en-US" w:eastAsia="zh-CN"/>
              </w:rPr>
            </w:pPr>
            <w:r>
              <w:rPr>
                <w:rFonts w:hint="eastAsia" w:ascii="Times New Roman" w:hAnsi="Times New Roman" w:cs="宋体"/>
                <w:color w:val="auto"/>
                <w:spacing w:val="7"/>
                <w:sz w:val="21"/>
                <w:lang w:val="en-US" w:eastAsia="zh-CN"/>
              </w:rPr>
              <w:t>83.18</w:t>
            </w:r>
          </w:p>
        </w:tc>
        <w:tc>
          <w:tcPr>
            <w:tcW w:w="0" w:type="auto"/>
            <w:shd w:val="clear" w:color="auto" w:fill="auto"/>
            <w:vAlign w:val="center"/>
          </w:tcPr>
          <w:p w14:paraId="4EEE7CE6">
            <w:pPr>
              <w:keepNext w:val="0"/>
              <w:keepLines w:val="0"/>
              <w:pageBreakBefore w:val="0"/>
              <w:widowControl/>
              <w:suppressLineNumbers w:val="0"/>
              <w:kinsoku/>
              <w:wordWrap/>
              <w:overflowPunct/>
              <w:topLinePunct w:val="0"/>
              <w:autoSpaceDE/>
              <w:autoSpaceDN/>
              <w:bidi w:val="0"/>
              <w:spacing w:line="240" w:lineRule="auto"/>
              <w:ind w:left="0" w:lef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2" w:type="dxa"/>
            <w:shd w:val="clear" w:color="auto" w:fill="auto"/>
            <w:vAlign w:val="center"/>
          </w:tcPr>
          <w:p w14:paraId="47C34357">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宋体"/>
                <w:color w:val="auto"/>
                <w:spacing w:val="7"/>
                <w:sz w:val="21"/>
                <w:lang w:val="en-US" w:eastAsia="zh-CN"/>
              </w:rPr>
            </w:pPr>
            <w:r>
              <w:rPr>
                <w:rFonts w:hint="eastAsia" w:ascii="Times New Roman" w:hAnsi="Times New Roman" w:cs="宋体"/>
                <w:color w:val="auto"/>
                <w:spacing w:val="7"/>
                <w:sz w:val="21"/>
                <w:lang w:val="en-US" w:eastAsia="zh-CN"/>
              </w:rPr>
              <w:t>83.18</w:t>
            </w:r>
          </w:p>
        </w:tc>
        <w:tc>
          <w:tcPr>
            <w:tcW w:w="1337" w:type="dxa"/>
            <w:shd w:val="clear" w:color="auto" w:fill="auto"/>
            <w:vAlign w:val="center"/>
          </w:tcPr>
          <w:p w14:paraId="4965420D">
            <w:pPr>
              <w:pStyle w:val="115"/>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宋体"/>
                <w:color w:val="auto"/>
                <w:spacing w:val="7"/>
                <w:sz w:val="21"/>
                <w:lang w:val="en-US" w:eastAsia="zh-CN"/>
              </w:rPr>
            </w:pPr>
            <w:r>
              <w:rPr>
                <w:rFonts w:hint="eastAsia" w:ascii="Times New Roman" w:hAnsi="Times New Roman" w:cs="宋体"/>
                <w:color w:val="auto"/>
                <w:spacing w:val="7"/>
                <w:sz w:val="21"/>
                <w:lang w:val="en-US" w:eastAsia="zh-CN"/>
              </w:rPr>
              <w:t>+83.18</w:t>
            </w:r>
          </w:p>
        </w:tc>
      </w:tr>
    </w:tbl>
    <w:p w14:paraId="7390A113">
      <w:pPr>
        <w:pStyle w:val="51"/>
        <w:keepNext w:val="0"/>
        <w:keepLines w:val="0"/>
        <w:pageBreakBefore w:val="0"/>
        <w:widowControl w:val="0"/>
        <w:kinsoku/>
        <w:wordWrap/>
        <w:overflowPunct/>
        <w:topLinePunct w:val="0"/>
        <w:autoSpaceDE/>
        <w:autoSpaceDN/>
        <w:bidi w:val="0"/>
        <w:spacing w:before="192" w:beforeLines="80" w:after="24" w:line="240" w:lineRule="auto"/>
        <w:jc w:val="left"/>
        <w:textAlignment w:val="auto"/>
        <w:rPr>
          <w:color w:val="auto"/>
          <w:highlight w:val="magenta"/>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4F212888">
      <w:pPr>
        <w:keepNext w:val="0"/>
        <w:keepLines w:val="0"/>
        <w:pageBreakBefore w:val="0"/>
        <w:widowControl w:val="0"/>
        <w:kinsoku/>
        <w:wordWrap/>
        <w:overflowPunct/>
        <w:topLinePunct w:val="0"/>
        <w:autoSpaceDE/>
        <w:autoSpaceDN/>
        <w:bidi w:val="0"/>
        <w:spacing w:line="240" w:lineRule="exact"/>
        <w:textAlignment w:val="auto"/>
        <w:rPr>
          <w:color w:val="auto"/>
          <w:highlight w:val="none"/>
        </w:rPr>
        <w:sectPr>
          <w:footerReference r:id="rId6" w:type="default"/>
          <w:pgSz w:w="16838" w:h="11905" w:orient="landscape"/>
          <w:pgMar w:top="1247" w:right="1417" w:bottom="1247" w:left="1417" w:header="851" w:footer="1077" w:gutter="0"/>
          <w:pgBorders>
            <w:top w:val="none" w:sz="0" w:space="0"/>
            <w:left w:val="none" w:sz="0" w:space="0"/>
            <w:bottom w:val="none" w:sz="0" w:space="0"/>
            <w:right w:val="none" w:sz="0" w:space="0"/>
          </w:pgBorders>
          <w:pgNumType w:fmt="decimal"/>
          <w:cols w:space="0" w:num="1"/>
          <w:docGrid w:linePitch="312" w:charSpace="0"/>
        </w:sectPr>
      </w:pPr>
    </w:p>
    <w:p w14:paraId="09E1FAC9">
      <w:pPr>
        <w:pStyle w:val="112"/>
        <w:bidi w:val="0"/>
        <w:outlineLvl w:val="0"/>
        <w:rPr>
          <w:rFonts w:hint="default"/>
          <w:lang w:val="en-US" w:eastAsia="zh-CN"/>
        </w:rPr>
      </w:pPr>
      <w:r>
        <w:rPr>
          <w:rFonts w:hint="eastAsia"/>
          <w:lang w:val="en-US" w:eastAsia="zh-CN"/>
        </w:rPr>
        <w:t>附件：关于环评文件公开文本删除的涉及国家秘密、商业秘密等内容的删除依据和理由说明</w:t>
      </w:r>
    </w:p>
    <w:p w14:paraId="7AB06C0A">
      <w:pPr>
        <w:rPr>
          <w:rFonts w:hint="default"/>
          <w:lang w:val="en-US" w:eastAsia="zh-CN"/>
        </w:rPr>
      </w:pPr>
      <w:r>
        <w:rPr>
          <w:rFonts w:hint="default"/>
          <w:lang w:val="en-US" w:eastAsia="zh-CN"/>
        </w:rPr>
        <w:drawing>
          <wp:inline distT="0" distB="0" distL="114300" distR="114300">
            <wp:extent cx="5450840" cy="7708900"/>
            <wp:effectExtent l="0" t="0" r="16510" b="6350"/>
            <wp:docPr id="220" name="图片 220" descr="建设项目环境影响报告表(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建设项目环境影响报告表(1)_06"/>
                    <pic:cNvPicPr>
                      <a:picLocks noChangeAspect="1"/>
                    </pic:cNvPicPr>
                  </pic:nvPicPr>
                  <pic:blipFill>
                    <a:blip r:embed="rId40"/>
                    <a:stretch>
                      <a:fillRect/>
                    </a:stretch>
                  </pic:blipFill>
                  <pic:spPr>
                    <a:xfrm>
                      <a:off x="0" y="0"/>
                      <a:ext cx="5450840" cy="7708900"/>
                    </a:xfrm>
                    <a:prstGeom prst="rect">
                      <a:avLst/>
                    </a:prstGeom>
                  </pic:spPr>
                </pic:pic>
              </a:graphicData>
            </a:graphic>
          </wp:inline>
        </w:drawing>
      </w:r>
      <w:r>
        <w:rPr>
          <w:rFonts w:hint="default"/>
          <w:lang w:val="en-US" w:eastAsia="zh-CN"/>
        </w:rPr>
        <w:drawing>
          <wp:inline distT="0" distB="0" distL="114300" distR="114300">
            <wp:extent cx="5586095" cy="7899400"/>
            <wp:effectExtent l="0" t="0" r="14605" b="6350"/>
            <wp:docPr id="219" name="图片 219" descr="建设项目环境影响报告表(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建设项目环境影响报告表(1)_05"/>
                    <pic:cNvPicPr>
                      <a:picLocks noChangeAspect="1"/>
                    </pic:cNvPicPr>
                  </pic:nvPicPr>
                  <pic:blipFill>
                    <a:blip r:embed="rId41"/>
                    <a:stretch>
                      <a:fillRect/>
                    </a:stretch>
                  </pic:blipFill>
                  <pic:spPr>
                    <a:xfrm>
                      <a:off x="0" y="0"/>
                      <a:ext cx="5586095" cy="7899400"/>
                    </a:xfrm>
                    <a:prstGeom prst="rect">
                      <a:avLst/>
                    </a:prstGeom>
                  </pic:spPr>
                </pic:pic>
              </a:graphicData>
            </a:graphic>
          </wp:inline>
        </w:drawing>
      </w:r>
    </w:p>
    <w:p w14:paraId="5E1EAD19">
      <w:pPr>
        <w:rPr>
          <w:rFonts w:hint="default"/>
          <w:lang w:val="en-US" w:eastAsia="zh-CN"/>
        </w:rPr>
      </w:pPr>
    </w:p>
    <w:sectPr>
      <w:headerReference r:id="rId7" w:type="default"/>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42">
      <wne:acd wne:acdName="acd1"/>
    </wne:keymap>
  </wne:keymaps>
  <wne:acds>
    <wne:acd wne:argValue="AQAAAAEA" wne:acdName="acd0" wne:fciIndexBasedOn="0065"/>
    <wne:acd wne:argValue="AgBoiDxoB2iYm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p&gt;:#">
    <w:altName w:val="Calibri"/>
    <w:panose1 w:val="020B0604020202020204"/>
    <w:charset w:val="4D"/>
    <w:family w:val="auto"/>
    <w:pitch w:val="default"/>
    <w:sig w:usb0="00000000" w:usb1="00000000" w:usb2="00000000" w:usb3="00000000" w:csb0="00000001" w:csb1="00000000"/>
  </w:font>
  <w:font w:name="方正小标宋_GBK">
    <w:altName w:val="微软雅黑"/>
    <w:panose1 w:val="02000000000000000000"/>
    <w:charset w:val="86"/>
    <w:family w:val="script"/>
    <w:pitch w:val="default"/>
    <w:sig w:usb0="00000000" w:usb1="00000000" w:usb2="00082016" w:usb3="00000000" w:csb0="0004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44E3F">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7AB46">
    <w:pPr>
      <w:pStyle w:val="23"/>
      <w:ind w:right="360" w:firstLine="36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28BA6">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48F28BA6">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C9531">
    <w:pPr>
      <w:pStyle w:val="2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72B62">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772B62">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99B77">
    <w:pPr>
      <w:pStyle w:val="2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F7DB9">
                          <w:pPr>
                            <w:pStyle w:val="2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6EF7DB9">
                    <w:pPr>
                      <w:pStyle w:val="23"/>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F3DE6">
    <w:pPr>
      <w:tabs>
        <w:tab w:val="center" w:pos="4153"/>
        <w:tab w:val="right" w:pos="8306"/>
      </w:tabs>
      <w:ind w:firstLine="48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3017E">
                          <w:pPr>
                            <w:pStyle w:val="2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123017E">
                    <w:pPr>
                      <w:pStyle w:val="23"/>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B046B">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EFAD0"/>
    <w:multiLevelType w:val="multilevel"/>
    <w:tmpl w:val="883EFAD0"/>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420"/>
        </w:tabs>
        <w:ind w:left="358" w:firstLine="0"/>
      </w:pPr>
      <w:rPr>
        <w:rFonts w:hint="default"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default"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pStyle w:val="9"/>
      <w:lvlText w:val="%1.%2.%3.%4.%5.%6.%7.%8."/>
      <w:lvlJc w:val="left"/>
      <w:pPr>
        <w:ind w:left="1798" w:hanging="1440"/>
      </w:pPr>
      <w:rPr>
        <w:rFonts w:hint="eastAsia"/>
      </w:rPr>
    </w:lvl>
    <w:lvl w:ilvl="8" w:tentative="0">
      <w:start w:val="1"/>
      <w:numFmt w:val="decimal"/>
      <w:lvlText w:val="%1.%2.%3.%4.%5.%6.%7.%8.%9."/>
      <w:lvlJc w:val="left"/>
      <w:pPr>
        <w:ind w:left="1941" w:hanging="1583"/>
      </w:pPr>
      <w:rPr>
        <w:rFonts w:hint="eastAsia"/>
      </w:rPr>
    </w:lvl>
  </w:abstractNum>
  <w:abstractNum w:abstractNumId="1">
    <w:nsid w:val="BBEE175C"/>
    <w:multiLevelType w:val="multilevel"/>
    <w:tmpl w:val="BBEE175C"/>
    <w:lvl w:ilvl="0" w:tentative="0">
      <w:start w:val="1"/>
      <w:numFmt w:val="decimal"/>
      <w:suff w:val="space"/>
      <w:lvlText w:val="第%1章 "/>
      <w:lvlJc w:val="left"/>
      <w:pPr>
        <w:tabs>
          <w:tab w:val="left" w:pos="0"/>
        </w:tabs>
        <w:ind w:left="0" w:firstLine="0"/>
      </w:pPr>
      <w:rPr>
        <w:rFonts w:hint="default" w:ascii="Times New Roman" w:hAnsi="Times New Roman" w:eastAsia="宋体" w:cs="宋体"/>
      </w:rPr>
    </w:lvl>
    <w:lvl w:ilvl="1" w:tentative="0">
      <w:start w:val="1"/>
      <w:numFmt w:val="decimal"/>
      <w:suff w:val="space"/>
      <w:lvlText w:val="%1.%2"/>
      <w:lvlJc w:val="left"/>
      <w:pPr>
        <w:tabs>
          <w:tab w:val="left" w:pos="420"/>
        </w:tabs>
        <w:ind w:left="0" w:firstLine="0"/>
      </w:pPr>
      <w:rPr>
        <w:rFonts w:hint="default" w:ascii="Times New Roman" w:hAnsi="Times New Roman" w:eastAsia="宋体" w:cs="宋体"/>
      </w:rPr>
    </w:lvl>
    <w:lvl w:ilvl="2" w:tentative="0">
      <w:start w:val="1"/>
      <w:numFmt w:val="decimal"/>
      <w:suff w:val="space"/>
      <w:lvlText w:val="%1.%2.%3"/>
      <w:lvlJc w:val="left"/>
      <w:pPr>
        <w:tabs>
          <w:tab w:val="left" w:pos="420"/>
        </w:tabs>
        <w:ind w:left="0" w:firstLine="0"/>
      </w:pPr>
      <w:rPr>
        <w:rFonts w:hint="default" w:ascii="Times New Roman" w:hAnsi="Times New Roman" w:eastAsia="宋体" w:cs="宋体"/>
      </w:rPr>
    </w:lvl>
    <w:lvl w:ilvl="3" w:tentative="0">
      <w:start w:val="1"/>
      <w:numFmt w:val="decimal"/>
      <w:suff w:val="space"/>
      <w:lvlText w:val="%1.%2.%3.%4"/>
      <w:lvlJc w:val="left"/>
      <w:pPr>
        <w:tabs>
          <w:tab w:val="left" w:pos="420"/>
        </w:tabs>
        <w:ind w:left="0" w:firstLine="0"/>
      </w:pPr>
      <w:rPr>
        <w:rFonts w:hint="default" w:ascii="Times New Roman" w:hAnsi="Times New Roman" w:eastAsia="宋体" w:cs="宋体"/>
      </w:rPr>
    </w:lvl>
    <w:lvl w:ilvl="4" w:tentative="0">
      <w:start w:val="1"/>
      <w:numFmt w:val="decimal"/>
      <w:lvlRestart w:val="2"/>
      <w:pStyle w:val="76"/>
      <w:suff w:val="space"/>
      <w:lvlText w:val="表%1.%2-%5 "/>
      <w:lvlJc w:val="left"/>
      <w:pPr>
        <w:tabs>
          <w:tab w:val="left" w:pos="420"/>
        </w:tabs>
        <w:ind w:left="0" w:firstLine="0"/>
      </w:pPr>
      <w:rPr>
        <w:rFonts w:hint="default" w:ascii="Times New Roman" w:hAnsi="Times New Roman" w:eastAsia="宋体" w:cs="宋体"/>
      </w:rPr>
    </w:lvl>
    <w:lvl w:ilvl="5" w:tentative="0">
      <w:start w:val="1"/>
      <w:numFmt w:val="decimal"/>
      <w:lvlRestart w:val="2"/>
      <w:suff w:val="space"/>
      <w:lvlText w:val="图%1.%2-%6 "/>
      <w:lvlJc w:val="left"/>
      <w:pPr>
        <w:tabs>
          <w:tab w:val="left" w:pos="420"/>
        </w:tabs>
        <w:ind w:left="0" w:firstLine="0"/>
      </w:pPr>
      <w:rPr>
        <w:rFonts w:hint="default" w:ascii="Times New Roman" w:hAnsi="Times New Roman" w:eastAsia="宋体" w:cs="宋体"/>
      </w:rPr>
    </w:lvl>
    <w:lvl w:ilvl="6" w:tentative="0">
      <w:start w:val="1"/>
      <w:numFmt w:val="none"/>
      <w:suff w:val="nothing"/>
      <w:lvlText w:val=""/>
      <w:lvlJc w:val="left"/>
      <w:pPr>
        <w:tabs>
          <w:tab w:val="left" w:pos="0"/>
        </w:tabs>
        <w:ind w:left="0" w:firstLine="402"/>
      </w:pPr>
      <w:rPr>
        <w:rFonts w:hint="default" w:ascii="宋体" w:hAnsi="宋体" w:eastAsia="宋体" w:cs="宋体"/>
      </w:rPr>
    </w:lvl>
    <w:lvl w:ilvl="7" w:tentative="0">
      <w:start w:val="1"/>
      <w:numFmt w:val="none"/>
      <w:suff w:val="nothing"/>
      <w:lvlText w:val=""/>
      <w:lvlJc w:val="left"/>
      <w:pPr>
        <w:ind w:left="0" w:firstLine="402"/>
      </w:pPr>
      <w:rPr>
        <w:rFonts w:hint="default" w:ascii="宋体" w:hAnsi="宋体" w:eastAsia="宋体" w:cs="宋体"/>
      </w:rPr>
    </w:lvl>
    <w:lvl w:ilvl="8" w:tentative="0">
      <w:start w:val="1"/>
      <w:numFmt w:val="none"/>
      <w:suff w:val="nothing"/>
      <w:lvlText w:val=""/>
      <w:lvlJc w:val="left"/>
      <w:pPr>
        <w:ind w:left="0" w:firstLine="402"/>
      </w:pPr>
      <w:rPr>
        <w:rFonts w:hint="default" w:ascii="宋体" w:hAnsi="宋体" w:eastAsia="宋体" w:cs="宋体"/>
      </w:rPr>
    </w:lvl>
  </w:abstractNum>
  <w:abstractNum w:abstractNumId="2">
    <w:nsid w:val="E17324D8"/>
    <w:multiLevelType w:val="singleLevel"/>
    <w:tmpl w:val="E17324D8"/>
    <w:lvl w:ilvl="0" w:tentative="0">
      <w:start w:val="1"/>
      <w:numFmt w:val="decimal"/>
      <w:lvlText w:val="(%1)"/>
      <w:lvlJc w:val="left"/>
      <w:pPr>
        <w:ind w:left="425" w:hanging="425"/>
      </w:pPr>
      <w:rPr>
        <w:rFonts w:hint="default"/>
      </w:rPr>
    </w:lvl>
  </w:abstractNum>
  <w:abstractNum w:abstractNumId="3">
    <w:nsid w:val="0C388FF6"/>
    <w:multiLevelType w:val="multilevel"/>
    <w:tmpl w:val="0C388FF6"/>
    <w:lvl w:ilvl="0" w:tentative="0">
      <w:start w:val="1"/>
      <w:numFmt w:val="chineseCounting"/>
      <w:suff w:val="nothing"/>
      <w:lvlText w:val="%1、"/>
      <w:lvlJc w:val="left"/>
      <w:pPr>
        <w:tabs>
          <w:tab w:val="left" w:pos="0"/>
        </w:tabs>
        <w:ind w:left="0" w:firstLine="0"/>
      </w:pPr>
      <w:rPr>
        <w:rFonts w:hint="eastAsia" w:ascii="黑体" w:hAnsi="黑体" w:eastAsia="黑体" w:cs="宋体"/>
      </w:rPr>
    </w:lvl>
    <w:lvl w:ilvl="1" w:tentative="0">
      <w:start w:val="1"/>
      <w:numFmt w:val="decimal"/>
      <w:isLgl/>
      <w:suff w:val="space"/>
      <w:lvlText w:val="%1.%2"/>
      <w:lvlJc w:val="left"/>
      <w:pPr>
        <w:tabs>
          <w:tab w:val="left" w:pos="420"/>
        </w:tabs>
        <w:ind w:left="0" w:firstLine="0"/>
      </w:pPr>
      <w:rPr>
        <w:rFonts w:hint="eastAsia" w:ascii="Times New Roman" w:hAnsi="Times New Roman" w:eastAsia="宋体" w:cs="宋体"/>
      </w:rPr>
    </w:lvl>
    <w:lvl w:ilvl="2" w:tentative="0">
      <w:start w:val="1"/>
      <w:numFmt w:val="decimal"/>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isLgl/>
      <w:suff w:val="space"/>
      <w:lvlText w:val="%1.%2.%3.%4"/>
      <w:lvlJc w:val="left"/>
      <w:pPr>
        <w:tabs>
          <w:tab w:val="left" w:pos="420"/>
        </w:tabs>
        <w:ind w:left="0" w:firstLine="0"/>
      </w:pPr>
      <w:rPr>
        <w:rFonts w:hint="eastAsia" w:ascii="Times New Roman" w:hAnsi="Times New Roman" w:eastAsia="宋体" w:cs="宋体"/>
      </w:rPr>
    </w:lvl>
    <w:lvl w:ilvl="4" w:tentative="0">
      <w:start w:val="1"/>
      <w:numFmt w:val="decimal"/>
      <w:lvlRestart w:val="2"/>
      <w:pStyle w:val="131"/>
      <w:isLgl/>
      <w:suff w:val="space"/>
      <w:lvlText w:val="表%1.%2-%5 "/>
      <w:lvlJc w:val="left"/>
      <w:pPr>
        <w:tabs>
          <w:tab w:val="left" w:pos="0"/>
        </w:tabs>
        <w:ind w:left="0" w:firstLine="0"/>
      </w:pPr>
      <w:rPr>
        <w:rFonts w:hint="eastAsia" w:ascii="Times New Roman" w:hAnsi="Times New Roman" w:eastAsia="宋体" w:cs="宋体"/>
      </w:rPr>
    </w:lvl>
    <w:lvl w:ilvl="5" w:tentative="0">
      <w:start w:val="1"/>
      <w:numFmt w:val="decimal"/>
      <w:lvlRestart w:val="2"/>
      <w:isLgl/>
      <w:suff w:val="space"/>
      <w:lvlText w:val="图%1.%2-%6 "/>
      <w:lvlJc w:val="left"/>
      <w:pPr>
        <w:tabs>
          <w:tab w:val="left" w:pos="0"/>
        </w:tabs>
        <w:ind w:left="0" w:firstLine="0"/>
      </w:pPr>
      <w:rPr>
        <w:rFonts w:hint="eastAsia" w:ascii="Times New Roman" w:hAnsi="Times New Roman" w:eastAsia="宋体" w:cs="宋体"/>
      </w:rPr>
    </w:lvl>
    <w:lvl w:ilvl="6" w:tentative="0">
      <w:start w:val="1"/>
      <w:numFmt w:val="decimal"/>
      <w:lvlText w:val="%1.%2.%3.%4.%5.%6.%7."/>
      <w:lvlJc w:val="left"/>
      <w:pPr>
        <w:tabs>
          <w:tab w:val="left" w:pos="420"/>
        </w:tabs>
        <w:ind w:left="1296" w:hanging="1296"/>
      </w:pPr>
      <w:rPr>
        <w:rFonts w:hint="eastAsia" w:ascii="宋体" w:hAnsi="宋体" w:eastAsia="宋体" w:cs="宋体"/>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4">
    <w:nsid w:val="26F55DDD"/>
    <w:multiLevelType w:val="multilevel"/>
    <w:tmpl w:val="26F55DDD"/>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0"/>
        </w:tabs>
        <w:ind w:left="358" w:firstLine="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suff w:val="space"/>
      <w:lvlText w:val="表 %1.%2-%8."/>
      <w:lvlJc w:val="left"/>
      <w:pPr>
        <w:tabs>
          <w:tab w:val="left" w:pos="420"/>
        </w:tabs>
        <w:ind w:left="1798" w:hanging="1440"/>
      </w:pPr>
      <w:rPr>
        <w:rFonts w:hint="eastAsia" w:ascii="宋体" w:hAnsi="宋体" w:eastAsia="宋体" w:cs="宋体"/>
      </w:rPr>
    </w:lvl>
    <w:lvl w:ilvl="8" w:tentative="0">
      <w:start w:val="1"/>
      <w:numFmt w:val="decimal"/>
      <w:pStyle w:val="10"/>
      <w:lvlText w:val="%1.%2.%3.%4.%5.%6.%7.%8.%9."/>
      <w:lvlJc w:val="left"/>
      <w:pPr>
        <w:ind w:left="1941" w:hanging="1583"/>
      </w:pPr>
      <w:rPr>
        <w:rFonts w:hint="eastAsia"/>
      </w:rPr>
    </w:lvl>
  </w:abstractNum>
  <w:abstractNum w:abstractNumId="5">
    <w:nsid w:val="2AA33BED"/>
    <w:multiLevelType w:val="multilevel"/>
    <w:tmpl w:val="2AA33BED"/>
    <w:lvl w:ilvl="0" w:tentative="0">
      <w:start w:val="1"/>
      <w:numFmt w:val="chineseCounting"/>
      <w:suff w:val="nothing"/>
      <w:lvlText w:val="%1、"/>
      <w:lvlJc w:val="left"/>
      <w:pPr>
        <w:tabs>
          <w:tab w:val="left" w:pos="420"/>
        </w:tabs>
        <w:ind w:left="2730" w:leftChars="0" w:firstLine="0" w:firstLineChars="0"/>
      </w:pPr>
      <w:rPr>
        <w:rFonts w:hint="eastAsia" w:ascii="宋体" w:hAnsi="宋体" w:eastAsia="宋体" w:cs="宋体"/>
      </w:rPr>
    </w:lvl>
    <w:lvl w:ilvl="1" w:tentative="0">
      <w:start w:val="1"/>
      <w:numFmt w:val="decimal"/>
      <w:isLgl/>
      <w:suff w:val="space"/>
      <w:lvlText w:val="%1.%2"/>
      <w:lvlJc w:val="left"/>
      <w:pPr>
        <w:tabs>
          <w:tab w:val="left" w:pos="420"/>
        </w:tabs>
        <w:ind w:left="0" w:leftChars="0" w:firstLine="0" w:firstLineChars="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0" w:leftChars="0" w:firstLine="0" w:firstLineChars="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0" w:leftChars="0" w:firstLine="0" w:firstLineChars="0"/>
      </w:pPr>
      <w:rPr>
        <w:rFonts w:hint="eastAsia" w:ascii="宋体" w:hAnsi="宋体" w:eastAsia="宋体" w:cs="宋体"/>
        <w:sz w:val="24"/>
      </w:rPr>
    </w:lvl>
    <w:lvl w:ilvl="4" w:tentative="0">
      <w:start w:val="1"/>
      <w:numFmt w:val="decimal"/>
      <w:pStyle w:val="6"/>
      <w:lvlText w:val="%1.%2.%3.%4.%5."/>
      <w:lvlJc w:val="left"/>
      <w:pPr>
        <w:ind w:left="1366" w:hanging="1008"/>
      </w:pPr>
      <w:rPr>
        <w:rFonts w:hint="eastAsia" w:ascii="宋体" w:hAnsi="宋体" w:eastAsia="宋体" w:cs="宋体"/>
      </w:rPr>
    </w:lvl>
    <w:lvl w:ilvl="5" w:tentative="0">
      <w:start w:val="1"/>
      <w:numFmt w:val="decimal"/>
      <w:pStyle w:val="7"/>
      <w:lvlText w:val="%1.%2.%3.%4.%5.%6."/>
      <w:lvlJc w:val="left"/>
      <w:pPr>
        <w:ind w:left="1509" w:hanging="1151"/>
      </w:pPr>
      <w:rPr>
        <w:rFonts w:hint="eastAsia" w:ascii="宋体" w:hAnsi="宋体" w:eastAsia="宋体" w:cs="宋体"/>
      </w:rPr>
    </w:lvl>
    <w:lvl w:ilvl="6" w:tentative="0">
      <w:start w:val="1"/>
      <w:numFmt w:val="decimal"/>
      <w:pStyle w:val="8"/>
      <w:lvlText w:val="%1.%2.%3.%4.%5.%6.%7."/>
      <w:lvlJc w:val="left"/>
      <w:pPr>
        <w:tabs>
          <w:tab w:val="left" w:pos="420"/>
        </w:tabs>
        <w:ind w:left="1654" w:hanging="1296"/>
      </w:pPr>
      <w:rPr>
        <w:rFonts w:hint="eastAsia" w:ascii="宋体" w:hAnsi="宋体" w:eastAsia="宋体" w:cs="宋体"/>
      </w:rPr>
    </w:lvl>
    <w:lvl w:ilvl="7" w:tentative="0">
      <w:start w:val="1"/>
      <w:numFmt w:val="decimal"/>
      <w:isLgl/>
      <w:suff w:val="space"/>
      <w:lvlText w:val="表 %1.%2-%8"/>
      <w:lvlJc w:val="left"/>
      <w:pPr>
        <w:tabs>
          <w:tab w:val="left" w:pos="0"/>
        </w:tabs>
        <w:ind w:left="0" w:leftChars="0" w:firstLine="0" w:firstLineChars="0"/>
      </w:pPr>
      <w:rPr>
        <w:rFonts w:hint="default" w:ascii="Times New Roman" w:hAnsi="Times New Roman" w:eastAsia="宋体" w:cs="Times New Roman"/>
        <w:sz w:val="24"/>
        <w:szCs w:val="24"/>
      </w:rPr>
    </w:lvl>
    <w:lvl w:ilvl="8" w:tentative="0">
      <w:start w:val="1"/>
      <w:numFmt w:val="decimal"/>
      <w:isLgl/>
      <w:suff w:val="space"/>
      <w:lvlText w:val="图 %1.%2-%9"/>
      <w:lvlJc w:val="left"/>
      <w:pPr>
        <w:tabs>
          <w:tab w:val="left" w:pos="420"/>
        </w:tabs>
        <w:ind w:left="0" w:leftChars="0" w:firstLine="0" w:firstLineChars="0"/>
      </w:pPr>
      <w:rPr>
        <w:rFonts w:hint="default" w:ascii="Times New Roman" w:hAnsi="Times New Roman" w:eastAsia="宋体" w:cs="Times New Roman"/>
      </w:rPr>
    </w:lvl>
  </w:abstractNum>
  <w:abstractNum w:abstractNumId="6">
    <w:nsid w:val="335756DA"/>
    <w:multiLevelType w:val="singleLevel"/>
    <w:tmpl w:val="335756DA"/>
    <w:lvl w:ilvl="0" w:tentative="0">
      <w:start w:val="2"/>
      <w:numFmt w:val="decimal"/>
      <w:suff w:val="nothing"/>
      <w:lvlText w:val="（%1）"/>
      <w:lvlJc w:val="left"/>
    </w:lvl>
  </w:abstractNum>
  <w:abstractNum w:abstractNumId="7">
    <w:nsid w:val="64996C12"/>
    <w:multiLevelType w:val="multilevel"/>
    <w:tmpl w:val="64996C12"/>
    <w:lvl w:ilvl="0" w:tentative="0">
      <w:start w:val="7"/>
      <w:numFmt w:val="decimal"/>
      <w:lvlText w:val="%1"/>
      <w:lvlJc w:val="left"/>
      <w:pPr>
        <w:ind w:left="432" w:hanging="432"/>
      </w:pPr>
    </w:lvl>
    <w:lvl w:ilvl="1" w:tentative="0">
      <w:start w:val="1"/>
      <w:numFmt w:val="decimal"/>
      <w:lvlText w:val="%1.%2"/>
      <w:lvlJc w:val="left"/>
      <w:pPr>
        <w:ind w:left="576" w:hanging="576"/>
        <w:textAlignment w:val="baseline"/>
      </w:pPr>
      <w:rPr>
        <w:b/>
        <w:bCs w:val="0"/>
        <w:i w:val="0"/>
        <w:iCs w:val="0"/>
        <w:caps w:val="0"/>
        <w:strike w:val="0"/>
        <w:dstrike w:val="0"/>
        <w:vanish w:val="0"/>
        <w:color w:val="000000"/>
        <w:spacing w:val="0"/>
        <w:position w:val="0"/>
        <w:u w:val="none"/>
      </w:rPr>
    </w:lvl>
    <w:lvl w:ilvl="2" w:tentative="0">
      <w:start w:val="1"/>
      <w:numFmt w:val="decimal"/>
      <w:pStyle w:val="110"/>
      <w:lvlText w:val="%1.%2.%3"/>
      <w:lvlJc w:val="left"/>
      <w:pPr>
        <w:ind w:left="4832" w:hanging="720"/>
      </w:pPr>
    </w:lvl>
    <w:lvl w:ilvl="3" w:tentative="0">
      <w:start w:val="1"/>
      <w:numFmt w:val="decimal"/>
      <w:lvlText w:val="%1.%2.%3.%4"/>
      <w:lvlJc w:val="left"/>
      <w:pPr>
        <w:snapToGrid w:val="0"/>
        <w:ind w:left="864" w:hanging="864"/>
        <w:textAlignment w:val="baseline"/>
      </w:pPr>
      <w:rPr>
        <w:rFonts w:ascii="Times New Roman" w:hAnsi="Times New Roman" w:cs="Times New Roman"/>
        <w:b/>
        <w:bCs w:val="0"/>
        <w:i w:val="0"/>
        <w:iCs w:val="0"/>
        <w:caps w:val="0"/>
        <w:strike w:val="0"/>
        <w:dstrike w:val="0"/>
        <w:vanish w:val="0"/>
        <w:color w:val="000000"/>
        <w:spacing w:val="0"/>
        <w:w w:val="0"/>
        <w:kern w:val="0"/>
        <w:position w:val="0"/>
        <w:szCs w:val="0"/>
        <w:u w:val="none"/>
      </w:r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8">
    <w:nsid w:val="6C142216"/>
    <w:multiLevelType w:val="singleLevel"/>
    <w:tmpl w:val="6C142216"/>
    <w:lvl w:ilvl="0" w:tentative="0">
      <w:start w:val="3"/>
      <w:numFmt w:val="decimal"/>
      <w:suff w:val="nothing"/>
      <w:lvlText w:val="（%1）"/>
      <w:lvlJc w:val="left"/>
    </w:lvl>
  </w:abstractNum>
  <w:abstractNum w:abstractNumId="9">
    <w:nsid w:val="6D196F0D"/>
    <w:multiLevelType w:val="multilevel"/>
    <w:tmpl w:val="6D196F0D"/>
    <w:lvl w:ilvl="0" w:tentative="0">
      <w:start w:val="1"/>
      <w:numFmt w:val="chineseCounting"/>
      <w:pStyle w:val="2"/>
      <w:suff w:val="nothing"/>
      <w:lvlText w:val="%1、"/>
      <w:lvlJc w:val="left"/>
      <w:pPr>
        <w:tabs>
          <w:tab w:val="left" w:pos="0"/>
        </w:tabs>
        <w:ind w:left="432" w:hanging="432"/>
      </w:pPr>
      <w:rPr>
        <w:rFonts w:hint="eastAsia" w:ascii="宋体" w:hAnsi="宋体" w:eastAsia="宋体" w:cs="宋体"/>
        <w:b/>
        <w:bCs/>
        <w:sz w:val="32"/>
        <w:szCs w:val="32"/>
      </w:rPr>
    </w:lvl>
    <w:lvl w:ilvl="1" w:tentative="0">
      <w:start w:val="1"/>
      <w:numFmt w:val="decimal"/>
      <w:pStyle w:val="3"/>
      <w:isLgl/>
      <w:suff w:val="space"/>
      <w:lvlText w:val="%1.%2"/>
      <w:lvlJc w:val="left"/>
      <w:pPr>
        <w:tabs>
          <w:tab w:val="left" w:pos="420"/>
        </w:tabs>
        <w:ind w:left="0" w:firstLine="0"/>
      </w:pPr>
      <w:rPr>
        <w:rFonts w:hint="default" w:ascii="Times New Roman" w:hAnsi="Times New Roman" w:eastAsia="宋体" w:cs="Times New Roman"/>
        <w:b/>
        <w:bCs/>
        <w:sz w:val="30"/>
        <w:szCs w:val="30"/>
      </w:rPr>
    </w:lvl>
    <w:lvl w:ilvl="2" w:tentative="0">
      <w:start w:val="1"/>
      <w:numFmt w:val="decimal"/>
      <w:pStyle w:val="4"/>
      <w:isLgl/>
      <w:suff w:val="space"/>
      <w:lvlText w:val="%1.%2.%3"/>
      <w:lvlJc w:val="left"/>
      <w:pPr>
        <w:tabs>
          <w:tab w:val="left" w:pos="0"/>
        </w:tabs>
        <w:ind w:left="720" w:hanging="720"/>
      </w:pPr>
      <w:rPr>
        <w:rFonts w:hint="default" w:ascii="Times New Roman" w:hAnsi="Times New Roman" w:eastAsia="宋体" w:cs="Times New Roman"/>
        <w:b/>
        <w:bCs/>
        <w:sz w:val="24"/>
        <w:szCs w:val="28"/>
      </w:rPr>
    </w:lvl>
    <w:lvl w:ilvl="3" w:tentative="0">
      <w:start w:val="1"/>
      <w:numFmt w:val="decimal"/>
      <w:pStyle w:val="5"/>
      <w:isLgl/>
      <w:suff w:val="space"/>
      <w:lvlText w:val="%1.%2.%3.%4"/>
      <w:lvlJc w:val="left"/>
      <w:pPr>
        <w:tabs>
          <w:tab w:val="left" w:pos="0"/>
        </w:tabs>
        <w:ind w:left="864" w:hanging="864"/>
      </w:pPr>
      <w:rPr>
        <w:rFonts w:hint="default" w:ascii="Times New Roman" w:hAnsi="Times New Roman" w:eastAsia="宋体" w:cs="Times New Roman"/>
        <w:sz w:val="24"/>
        <w:szCs w:val="24"/>
      </w:rPr>
    </w:lvl>
    <w:lvl w:ilvl="4" w:tentative="0">
      <w:start w:val="1"/>
      <w:numFmt w:val="decimal"/>
      <w:isLgl/>
      <w:suff w:val="nothing"/>
      <w:lvlText w:val="   （%5）"/>
      <w:lvlJc w:val="left"/>
      <w:pPr>
        <w:tabs>
          <w:tab w:val="left" w:pos="420"/>
        </w:tabs>
        <w:ind w:left="0" w:firstLine="0"/>
      </w:pPr>
      <w:rPr>
        <w:rFonts w:hint="eastAsia"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center"/>
      <w:pPr>
        <w:tabs>
          <w:tab w:val="left" w:pos="0"/>
        </w:tabs>
        <w:ind w:left="0" w:leftChars="0" w:firstLine="0" w:firstLineChars="0"/>
      </w:pPr>
      <w:rPr>
        <w:rFonts w:hint="eastAsia" w:ascii="宋体" w:hAnsi="宋体" w:eastAsia="宋体" w:cs="宋体"/>
      </w:rPr>
    </w:lvl>
    <w:lvl w:ilvl="7" w:tentative="0">
      <w:start w:val="1"/>
      <w:numFmt w:val="decimal"/>
      <w:lvlRestart w:val="2"/>
      <w:pStyle w:val="44"/>
      <w:isLgl/>
      <w:suff w:val="space"/>
      <w:lvlText w:val="表%1.%2-%8"/>
      <w:lvlJc w:val="center"/>
      <w:pPr>
        <w:tabs>
          <w:tab w:val="left" w:pos="0"/>
        </w:tabs>
        <w:ind w:left="630" w:leftChars="0" w:firstLine="0" w:firstLineChars="0"/>
      </w:pPr>
      <w:rPr>
        <w:rFonts w:hint="eastAsia" w:ascii="Times New Roman" w:hAnsi="Times New Roman" w:eastAsia="宋体" w:cs="宋体"/>
      </w:rPr>
    </w:lvl>
    <w:lvl w:ilvl="8" w:tentative="0">
      <w:start w:val="1"/>
      <w:numFmt w:val="decimal"/>
      <w:lvlRestart w:val="2"/>
      <w:pStyle w:val="49"/>
      <w:isLgl/>
      <w:suff w:val="space"/>
      <w:lvlText w:val="图%1.%2-%9"/>
      <w:lvlJc w:val="left"/>
      <w:pPr>
        <w:tabs>
          <w:tab w:val="left" w:pos="420"/>
        </w:tabs>
        <w:ind w:left="1583" w:hanging="1583"/>
      </w:pPr>
      <w:rPr>
        <w:rFonts w:hint="eastAsia" w:ascii="Times New Roman" w:hAnsi="Times New Roman" w:eastAsia="宋体" w:cs="宋体"/>
      </w:rPr>
    </w:lvl>
  </w:abstractNum>
  <w:num w:numId="1">
    <w:abstractNumId w:val="9"/>
  </w:num>
  <w:num w:numId="2">
    <w:abstractNumId w:val="5"/>
  </w:num>
  <w:num w:numId="3">
    <w:abstractNumId w:val="0"/>
  </w:num>
  <w:num w:numId="4">
    <w:abstractNumId w:val="4"/>
  </w:num>
  <w:num w:numId="5">
    <w:abstractNumId w:val="1"/>
  </w:num>
  <w:num w:numId="6">
    <w:abstractNumId w:val="7"/>
  </w:num>
  <w:num w:numId="7">
    <w:abstractNumId w:val="3"/>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ODgxMGI5Yzg3MjZlOGMzZTU4NTc1ZGRiMWEwZmIifQ=="/>
  </w:docVars>
  <w:rsids>
    <w:rsidRoot w:val="00172A27"/>
    <w:rsid w:val="000044D7"/>
    <w:rsid w:val="000060B3"/>
    <w:rsid w:val="00010C32"/>
    <w:rsid w:val="00010D61"/>
    <w:rsid w:val="000118A6"/>
    <w:rsid w:val="00013DB6"/>
    <w:rsid w:val="000150ED"/>
    <w:rsid w:val="00017225"/>
    <w:rsid w:val="000244E7"/>
    <w:rsid w:val="00027F64"/>
    <w:rsid w:val="00031A9B"/>
    <w:rsid w:val="00031EFE"/>
    <w:rsid w:val="00040EDE"/>
    <w:rsid w:val="00041B57"/>
    <w:rsid w:val="0004364B"/>
    <w:rsid w:val="000500AF"/>
    <w:rsid w:val="00051602"/>
    <w:rsid w:val="000566B6"/>
    <w:rsid w:val="0005675D"/>
    <w:rsid w:val="00057803"/>
    <w:rsid w:val="0006124E"/>
    <w:rsid w:val="00061B1F"/>
    <w:rsid w:val="00061C20"/>
    <w:rsid w:val="000629F7"/>
    <w:rsid w:val="000733C4"/>
    <w:rsid w:val="00074783"/>
    <w:rsid w:val="00077BD5"/>
    <w:rsid w:val="0008070B"/>
    <w:rsid w:val="000810AC"/>
    <w:rsid w:val="00081A02"/>
    <w:rsid w:val="00082231"/>
    <w:rsid w:val="000841D3"/>
    <w:rsid w:val="00085629"/>
    <w:rsid w:val="00092D38"/>
    <w:rsid w:val="00093075"/>
    <w:rsid w:val="0009377B"/>
    <w:rsid w:val="00094146"/>
    <w:rsid w:val="00094AEE"/>
    <w:rsid w:val="000A20C9"/>
    <w:rsid w:val="000A712D"/>
    <w:rsid w:val="000A76F9"/>
    <w:rsid w:val="000B0530"/>
    <w:rsid w:val="000B058F"/>
    <w:rsid w:val="000B369C"/>
    <w:rsid w:val="000B4467"/>
    <w:rsid w:val="000B4DB9"/>
    <w:rsid w:val="000C09AC"/>
    <w:rsid w:val="000C119D"/>
    <w:rsid w:val="000C1900"/>
    <w:rsid w:val="000C1EE7"/>
    <w:rsid w:val="000C2F92"/>
    <w:rsid w:val="000C3640"/>
    <w:rsid w:val="000C57F5"/>
    <w:rsid w:val="000C6D42"/>
    <w:rsid w:val="000C767F"/>
    <w:rsid w:val="000D03D3"/>
    <w:rsid w:val="000D0960"/>
    <w:rsid w:val="000D54D6"/>
    <w:rsid w:val="000D5A44"/>
    <w:rsid w:val="000E3ED2"/>
    <w:rsid w:val="000E4B00"/>
    <w:rsid w:val="001005DC"/>
    <w:rsid w:val="00100FD2"/>
    <w:rsid w:val="001014DC"/>
    <w:rsid w:val="00102E61"/>
    <w:rsid w:val="001062FE"/>
    <w:rsid w:val="001074DE"/>
    <w:rsid w:val="001075B4"/>
    <w:rsid w:val="00110E2B"/>
    <w:rsid w:val="001133B7"/>
    <w:rsid w:val="00114B58"/>
    <w:rsid w:val="00125D00"/>
    <w:rsid w:val="001260FF"/>
    <w:rsid w:val="0013091B"/>
    <w:rsid w:val="00131F42"/>
    <w:rsid w:val="001357F1"/>
    <w:rsid w:val="00140538"/>
    <w:rsid w:val="00140FA8"/>
    <w:rsid w:val="001418CB"/>
    <w:rsid w:val="00141D71"/>
    <w:rsid w:val="00142FEB"/>
    <w:rsid w:val="00143A2D"/>
    <w:rsid w:val="00145035"/>
    <w:rsid w:val="00145A41"/>
    <w:rsid w:val="00146B60"/>
    <w:rsid w:val="00151675"/>
    <w:rsid w:val="00154C1F"/>
    <w:rsid w:val="001573EA"/>
    <w:rsid w:val="00157435"/>
    <w:rsid w:val="00167BA7"/>
    <w:rsid w:val="00172A27"/>
    <w:rsid w:val="00173954"/>
    <w:rsid w:val="0017504D"/>
    <w:rsid w:val="00175895"/>
    <w:rsid w:val="001762F6"/>
    <w:rsid w:val="0017671A"/>
    <w:rsid w:val="00177422"/>
    <w:rsid w:val="00180EF4"/>
    <w:rsid w:val="00182E99"/>
    <w:rsid w:val="00182F24"/>
    <w:rsid w:val="00184590"/>
    <w:rsid w:val="001870D1"/>
    <w:rsid w:val="0018781E"/>
    <w:rsid w:val="0019262D"/>
    <w:rsid w:val="001968F8"/>
    <w:rsid w:val="001A0E98"/>
    <w:rsid w:val="001A1302"/>
    <w:rsid w:val="001A1944"/>
    <w:rsid w:val="001A1B35"/>
    <w:rsid w:val="001A48A2"/>
    <w:rsid w:val="001A6F61"/>
    <w:rsid w:val="001B3F5A"/>
    <w:rsid w:val="001B72B8"/>
    <w:rsid w:val="001B7EB8"/>
    <w:rsid w:val="001C2D59"/>
    <w:rsid w:val="001C3BF1"/>
    <w:rsid w:val="001C548D"/>
    <w:rsid w:val="001C69B3"/>
    <w:rsid w:val="001D4206"/>
    <w:rsid w:val="001D5595"/>
    <w:rsid w:val="001D59B0"/>
    <w:rsid w:val="001D7874"/>
    <w:rsid w:val="001D7F22"/>
    <w:rsid w:val="001E0F48"/>
    <w:rsid w:val="001E4C8D"/>
    <w:rsid w:val="001F0F17"/>
    <w:rsid w:val="001F1E07"/>
    <w:rsid w:val="001F3347"/>
    <w:rsid w:val="001F3702"/>
    <w:rsid w:val="001F49F6"/>
    <w:rsid w:val="001F69E4"/>
    <w:rsid w:val="001F7DE2"/>
    <w:rsid w:val="00201724"/>
    <w:rsid w:val="002042D4"/>
    <w:rsid w:val="002125B4"/>
    <w:rsid w:val="002155B8"/>
    <w:rsid w:val="00217661"/>
    <w:rsid w:val="00224839"/>
    <w:rsid w:val="002249B2"/>
    <w:rsid w:val="00225378"/>
    <w:rsid w:val="00226574"/>
    <w:rsid w:val="002278EC"/>
    <w:rsid w:val="0023280E"/>
    <w:rsid w:val="002377D1"/>
    <w:rsid w:val="002406E5"/>
    <w:rsid w:val="002452E1"/>
    <w:rsid w:val="00245A88"/>
    <w:rsid w:val="002506BC"/>
    <w:rsid w:val="00253756"/>
    <w:rsid w:val="00253F02"/>
    <w:rsid w:val="00254345"/>
    <w:rsid w:val="002545A7"/>
    <w:rsid w:val="002555A2"/>
    <w:rsid w:val="00256695"/>
    <w:rsid w:val="00264557"/>
    <w:rsid w:val="002701B7"/>
    <w:rsid w:val="0027359D"/>
    <w:rsid w:val="002805AB"/>
    <w:rsid w:val="002812C8"/>
    <w:rsid w:val="002814F1"/>
    <w:rsid w:val="00284204"/>
    <w:rsid w:val="00285085"/>
    <w:rsid w:val="00287861"/>
    <w:rsid w:val="00287A3B"/>
    <w:rsid w:val="00287BFF"/>
    <w:rsid w:val="00291773"/>
    <w:rsid w:val="00292C5F"/>
    <w:rsid w:val="002A168C"/>
    <w:rsid w:val="002A3DC7"/>
    <w:rsid w:val="002A4303"/>
    <w:rsid w:val="002A7B7D"/>
    <w:rsid w:val="002B14DB"/>
    <w:rsid w:val="002B2C5C"/>
    <w:rsid w:val="002B4159"/>
    <w:rsid w:val="002B49E2"/>
    <w:rsid w:val="002B7135"/>
    <w:rsid w:val="002B7B00"/>
    <w:rsid w:val="002B7C44"/>
    <w:rsid w:val="002C2B17"/>
    <w:rsid w:val="002C486B"/>
    <w:rsid w:val="002D1B33"/>
    <w:rsid w:val="002D24B4"/>
    <w:rsid w:val="002D36C8"/>
    <w:rsid w:val="002D3DD0"/>
    <w:rsid w:val="002E1F3A"/>
    <w:rsid w:val="002E298A"/>
    <w:rsid w:val="002F468E"/>
    <w:rsid w:val="002F677F"/>
    <w:rsid w:val="002F6A84"/>
    <w:rsid w:val="00301978"/>
    <w:rsid w:val="00301A3E"/>
    <w:rsid w:val="0030332C"/>
    <w:rsid w:val="003051C2"/>
    <w:rsid w:val="003105DA"/>
    <w:rsid w:val="00312296"/>
    <w:rsid w:val="00314F0E"/>
    <w:rsid w:val="003200F4"/>
    <w:rsid w:val="00320F8F"/>
    <w:rsid w:val="00321AC6"/>
    <w:rsid w:val="00321D8E"/>
    <w:rsid w:val="00325928"/>
    <w:rsid w:val="00332863"/>
    <w:rsid w:val="00332A3D"/>
    <w:rsid w:val="0033684D"/>
    <w:rsid w:val="00336FF9"/>
    <w:rsid w:val="00337B42"/>
    <w:rsid w:val="00340DA9"/>
    <w:rsid w:val="00341B42"/>
    <w:rsid w:val="0034348F"/>
    <w:rsid w:val="00351F64"/>
    <w:rsid w:val="00354BF1"/>
    <w:rsid w:val="00356653"/>
    <w:rsid w:val="003568FE"/>
    <w:rsid w:val="0035743F"/>
    <w:rsid w:val="00357647"/>
    <w:rsid w:val="00357BE2"/>
    <w:rsid w:val="00357C21"/>
    <w:rsid w:val="0036170C"/>
    <w:rsid w:val="003629A3"/>
    <w:rsid w:val="00366E0F"/>
    <w:rsid w:val="00371C4D"/>
    <w:rsid w:val="00375248"/>
    <w:rsid w:val="00376344"/>
    <w:rsid w:val="00376AEF"/>
    <w:rsid w:val="00377DA9"/>
    <w:rsid w:val="00381040"/>
    <w:rsid w:val="0038152B"/>
    <w:rsid w:val="00381A72"/>
    <w:rsid w:val="00383579"/>
    <w:rsid w:val="00384676"/>
    <w:rsid w:val="00386D64"/>
    <w:rsid w:val="00390857"/>
    <w:rsid w:val="003954FA"/>
    <w:rsid w:val="003971F9"/>
    <w:rsid w:val="00397C02"/>
    <w:rsid w:val="003A0C4E"/>
    <w:rsid w:val="003A4BF3"/>
    <w:rsid w:val="003A6D3A"/>
    <w:rsid w:val="003B1284"/>
    <w:rsid w:val="003B2260"/>
    <w:rsid w:val="003B420D"/>
    <w:rsid w:val="003B46BE"/>
    <w:rsid w:val="003C2F0A"/>
    <w:rsid w:val="003C335B"/>
    <w:rsid w:val="003C5606"/>
    <w:rsid w:val="003C6C16"/>
    <w:rsid w:val="003C6E78"/>
    <w:rsid w:val="003D27CC"/>
    <w:rsid w:val="003D476F"/>
    <w:rsid w:val="003D6C52"/>
    <w:rsid w:val="003D794D"/>
    <w:rsid w:val="003E3058"/>
    <w:rsid w:val="003E30EE"/>
    <w:rsid w:val="003E76A9"/>
    <w:rsid w:val="003F0809"/>
    <w:rsid w:val="003F24B7"/>
    <w:rsid w:val="003F6A8C"/>
    <w:rsid w:val="003F755C"/>
    <w:rsid w:val="003F75FD"/>
    <w:rsid w:val="004007F4"/>
    <w:rsid w:val="00403E9E"/>
    <w:rsid w:val="00406F01"/>
    <w:rsid w:val="0041430D"/>
    <w:rsid w:val="00415C4F"/>
    <w:rsid w:val="004163AF"/>
    <w:rsid w:val="004165E4"/>
    <w:rsid w:val="00416721"/>
    <w:rsid w:val="00416D50"/>
    <w:rsid w:val="00416FD5"/>
    <w:rsid w:val="00417772"/>
    <w:rsid w:val="00420E6A"/>
    <w:rsid w:val="004214B1"/>
    <w:rsid w:val="0042178A"/>
    <w:rsid w:val="00424290"/>
    <w:rsid w:val="00425697"/>
    <w:rsid w:val="00425A9E"/>
    <w:rsid w:val="00426D6B"/>
    <w:rsid w:val="00427601"/>
    <w:rsid w:val="00427737"/>
    <w:rsid w:val="00431E6C"/>
    <w:rsid w:val="00433CE7"/>
    <w:rsid w:val="00434CCC"/>
    <w:rsid w:val="00442F7A"/>
    <w:rsid w:val="0044384E"/>
    <w:rsid w:val="00452738"/>
    <w:rsid w:val="00452EB2"/>
    <w:rsid w:val="0045494B"/>
    <w:rsid w:val="00455C13"/>
    <w:rsid w:val="00456091"/>
    <w:rsid w:val="00460877"/>
    <w:rsid w:val="00464233"/>
    <w:rsid w:val="00465D27"/>
    <w:rsid w:val="00466321"/>
    <w:rsid w:val="00471427"/>
    <w:rsid w:val="00480B81"/>
    <w:rsid w:val="004826E8"/>
    <w:rsid w:val="00484B9B"/>
    <w:rsid w:val="004855F6"/>
    <w:rsid w:val="0048661E"/>
    <w:rsid w:val="004930FE"/>
    <w:rsid w:val="0049347D"/>
    <w:rsid w:val="00494670"/>
    <w:rsid w:val="004957F7"/>
    <w:rsid w:val="004977A7"/>
    <w:rsid w:val="004A22C0"/>
    <w:rsid w:val="004A3823"/>
    <w:rsid w:val="004B072F"/>
    <w:rsid w:val="004B4C3D"/>
    <w:rsid w:val="004C0992"/>
    <w:rsid w:val="004C24B9"/>
    <w:rsid w:val="004D03BC"/>
    <w:rsid w:val="004D1DEA"/>
    <w:rsid w:val="004D53C0"/>
    <w:rsid w:val="004D7269"/>
    <w:rsid w:val="004E6946"/>
    <w:rsid w:val="004F1301"/>
    <w:rsid w:val="004F1AB3"/>
    <w:rsid w:val="004F1AD8"/>
    <w:rsid w:val="004F7EF0"/>
    <w:rsid w:val="00501CB7"/>
    <w:rsid w:val="005039CB"/>
    <w:rsid w:val="0050558F"/>
    <w:rsid w:val="00506286"/>
    <w:rsid w:val="00510813"/>
    <w:rsid w:val="00511990"/>
    <w:rsid w:val="00511DE0"/>
    <w:rsid w:val="00514090"/>
    <w:rsid w:val="00514870"/>
    <w:rsid w:val="00514B9B"/>
    <w:rsid w:val="005155CE"/>
    <w:rsid w:val="005166DA"/>
    <w:rsid w:val="0051690D"/>
    <w:rsid w:val="00517F02"/>
    <w:rsid w:val="0052098F"/>
    <w:rsid w:val="00523E89"/>
    <w:rsid w:val="00524283"/>
    <w:rsid w:val="00524303"/>
    <w:rsid w:val="005252E8"/>
    <w:rsid w:val="005258A2"/>
    <w:rsid w:val="00530161"/>
    <w:rsid w:val="005332E5"/>
    <w:rsid w:val="005401AE"/>
    <w:rsid w:val="00540D9F"/>
    <w:rsid w:val="00541FBC"/>
    <w:rsid w:val="00542A31"/>
    <w:rsid w:val="00542E07"/>
    <w:rsid w:val="005441EE"/>
    <w:rsid w:val="00544E42"/>
    <w:rsid w:val="00545424"/>
    <w:rsid w:val="005502E5"/>
    <w:rsid w:val="0055192A"/>
    <w:rsid w:val="005524AB"/>
    <w:rsid w:val="005539A0"/>
    <w:rsid w:val="00554A7B"/>
    <w:rsid w:val="00554A98"/>
    <w:rsid w:val="0055572C"/>
    <w:rsid w:val="0056081F"/>
    <w:rsid w:val="0056106A"/>
    <w:rsid w:val="00562308"/>
    <w:rsid w:val="00562804"/>
    <w:rsid w:val="005630B8"/>
    <w:rsid w:val="00564EAF"/>
    <w:rsid w:val="00566256"/>
    <w:rsid w:val="00571A06"/>
    <w:rsid w:val="005720AE"/>
    <w:rsid w:val="00574266"/>
    <w:rsid w:val="00577718"/>
    <w:rsid w:val="00577855"/>
    <w:rsid w:val="00580EB8"/>
    <w:rsid w:val="00583880"/>
    <w:rsid w:val="00593870"/>
    <w:rsid w:val="00593C6F"/>
    <w:rsid w:val="00594D77"/>
    <w:rsid w:val="005969E4"/>
    <w:rsid w:val="00596E55"/>
    <w:rsid w:val="005A06B7"/>
    <w:rsid w:val="005A1759"/>
    <w:rsid w:val="005A23BB"/>
    <w:rsid w:val="005A569C"/>
    <w:rsid w:val="005A611C"/>
    <w:rsid w:val="005A68A7"/>
    <w:rsid w:val="005B7084"/>
    <w:rsid w:val="005B7E0B"/>
    <w:rsid w:val="005C4544"/>
    <w:rsid w:val="005C5557"/>
    <w:rsid w:val="005C6079"/>
    <w:rsid w:val="005C6B61"/>
    <w:rsid w:val="005C6E58"/>
    <w:rsid w:val="005C6F05"/>
    <w:rsid w:val="005D143F"/>
    <w:rsid w:val="005D2AD3"/>
    <w:rsid w:val="005D36AB"/>
    <w:rsid w:val="005D42D4"/>
    <w:rsid w:val="005D6A8F"/>
    <w:rsid w:val="005E0E91"/>
    <w:rsid w:val="005E45AA"/>
    <w:rsid w:val="005E5417"/>
    <w:rsid w:val="005E6D12"/>
    <w:rsid w:val="005F32A7"/>
    <w:rsid w:val="005F65CD"/>
    <w:rsid w:val="005F678A"/>
    <w:rsid w:val="005F7DA6"/>
    <w:rsid w:val="00612E39"/>
    <w:rsid w:val="00614091"/>
    <w:rsid w:val="00617CC3"/>
    <w:rsid w:val="00620B0A"/>
    <w:rsid w:val="00621FB3"/>
    <w:rsid w:val="0062376A"/>
    <w:rsid w:val="006241B4"/>
    <w:rsid w:val="00626B64"/>
    <w:rsid w:val="006272DC"/>
    <w:rsid w:val="006309E7"/>
    <w:rsid w:val="00630EAA"/>
    <w:rsid w:val="00632DD4"/>
    <w:rsid w:val="00635A2C"/>
    <w:rsid w:val="006377A6"/>
    <w:rsid w:val="00637A3D"/>
    <w:rsid w:val="006411EF"/>
    <w:rsid w:val="00641E35"/>
    <w:rsid w:val="00650286"/>
    <w:rsid w:val="00656DE9"/>
    <w:rsid w:val="006572DD"/>
    <w:rsid w:val="00657F1A"/>
    <w:rsid w:val="00661F6F"/>
    <w:rsid w:val="006622C5"/>
    <w:rsid w:val="006672D3"/>
    <w:rsid w:val="00673BEF"/>
    <w:rsid w:val="006748B8"/>
    <w:rsid w:val="006775C3"/>
    <w:rsid w:val="006803E7"/>
    <w:rsid w:val="006821CB"/>
    <w:rsid w:val="00685593"/>
    <w:rsid w:val="006861A9"/>
    <w:rsid w:val="0069290A"/>
    <w:rsid w:val="00692B71"/>
    <w:rsid w:val="00694CDA"/>
    <w:rsid w:val="0069529F"/>
    <w:rsid w:val="0069775A"/>
    <w:rsid w:val="00697813"/>
    <w:rsid w:val="006A05C5"/>
    <w:rsid w:val="006A2F9F"/>
    <w:rsid w:val="006A3EE8"/>
    <w:rsid w:val="006A4002"/>
    <w:rsid w:val="006A6A7D"/>
    <w:rsid w:val="006A6A99"/>
    <w:rsid w:val="006A6F1A"/>
    <w:rsid w:val="006A72BF"/>
    <w:rsid w:val="006B03F2"/>
    <w:rsid w:val="006B1885"/>
    <w:rsid w:val="006B197D"/>
    <w:rsid w:val="006B37DC"/>
    <w:rsid w:val="006B4F68"/>
    <w:rsid w:val="006B5689"/>
    <w:rsid w:val="006C0592"/>
    <w:rsid w:val="006C272E"/>
    <w:rsid w:val="006C2DF8"/>
    <w:rsid w:val="006C3D18"/>
    <w:rsid w:val="006C52BF"/>
    <w:rsid w:val="006C5479"/>
    <w:rsid w:val="006C7F54"/>
    <w:rsid w:val="006D13B5"/>
    <w:rsid w:val="006D1B7A"/>
    <w:rsid w:val="006E12FF"/>
    <w:rsid w:val="006E1E7B"/>
    <w:rsid w:val="006E1FE5"/>
    <w:rsid w:val="006E2B7C"/>
    <w:rsid w:val="006E3839"/>
    <w:rsid w:val="006E4E7D"/>
    <w:rsid w:val="006E607E"/>
    <w:rsid w:val="006E6121"/>
    <w:rsid w:val="006E6229"/>
    <w:rsid w:val="006E68E5"/>
    <w:rsid w:val="006F4235"/>
    <w:rsid w:val="006F4B3C"/>
    <w:rsid w:val="006F67EF"/>
    <w:rsid w:val="00700434"/>
    <w:rsid w:val="007013BB"/>
    <w:rsid w:val="00706C5D"/>
    <w:rsid w:val="00711ABB"/>
    <w:rsid w:val="00712365"/>
    <w:rsid w:val="00712379"/>
    <w:rsid w:val="00713A0F"/>
    <w:rsid w:val="0071464A"/>
    <w:rsid w:val="007155D2"/>
    <w:rsid w:val="00715E44"/>
    <w:rsid w:val="007206CA"/>
    <w:rsid w:val="0072149F"/>
    <w:rsid w:val="0072691E"/>
    <w:rsid w:val="007270A1"/>
    <w:rsid w:val="00732922"/>
    <w:rsid w:val="0073444E"/>
    <w:rsid w:val="00744027"/>
    <w:rsid w:val="0074513C"/>
    <w:rsid w:val="00750323"/>
    <w:rsid w:val="0075162E"/>
    <w:rsid w:val="00754034"/>
    <w:rsid w:val="00756556"/>
    <w:rsid w:val="007570A8"/>
    <w:rsid w:val="0076052D"/>
    <w:rsid w:val="00761479"/>
    <w:rsid w:val="007618C4"/>
    <w:rsid w:val="007630CE"/>
    <w:rsid w:val="0076455E"/>
    <w:rsid w:val="007662BD"/>
    <w:rsid w:val="00767980"/>
    <w:rsid w:val="00770B19"/>
    <w:rsid w:val="007712CE"/>
    <w:rsid w:val="0077463F"/>
    <w:rsid w:val="00775B08"/>
    <w:rsid w:val="00780C6F"/>
    <w:rsid w:val="00781478"/>
    <w:rsid w:val="007836EA"/>
    <w:rsid w:val="00784CDA"/>
    <w:rsid w:val="007906C4"/>
    <w:rsid w:val="007940EA"/>
    <w:rsid w:val="00796411"/>
    <w:rsid w:val="007967E8"/>
    <w:rsid w:val="00796F67"/>
    <w:rsid w:val="007A2170"/>
    <w:rsid w:val="007A22BF"/>
    <w:rsid w:val="007A3323"/>
    <w:rsid w:val="007A6B91"/>
    <w:rsid w:val="007B3760"/>
    <w:rsid w:val="007B4B49"/>
    <w:rsid w:val="007B506A"/>
    <w:rsid w:val="007B72B8"/>
    <w:rsid w:val="007B7A58"/>
    <w:rsid w:val="007C0F2D"/>
    <w:rsid w:val="007C1109"/>
    <w:rsid w:val="007C21B5"/>
    <w:rsid w:val="007C21CE"/>
    <w:rsid w:val="007C39C9"/>
    <w:rsid w:val="007C453B"/>
    <w:rsid w:val="007D28A2"/>
    <w:rsid w:val="007E05AA"/>
    <w:rsid w:val="007E0EFD"/>
    <w:rsid w:val="007E11D2"/>
    <w:rsid w:val="007E49E5"/>
    <w:rsid w:val="007E4BD2"/>
    <w:rsid w:val="007E58F5"/>
    <w:rsid w:val="007E5A7E"/>
    <w:rsid w:val="007F0743"/>
    <w:rsid w:val="007F1787"/>
    <w:rsid w:val="007F1A14"/>
    <w:rsid w:val="007F5D15"/>
    <w:rsid w:val="00801393"/>
    <w:rsid w:val="00802F88"/>
    <w:rsid w:val="0080332F"/>
    <w:rsid w:val="008056A7"/>
    <w:rsid w:val="008109AB"/>
    <w:rsid w:val="0081293E"/>
    <w:rsid w:val="00812A66"/>
    <w:rsid w:val="00815465"/>
    <w:rsid w:val="00816122"/>
    <w:rsid w:val="00817E9A"/>
    <w:rsid w:val="00820597"/>
    <w:rsid w:val="00820F8F"/>
    <w:rsid w:val="008306BD"/>
    <w:rsid w:val="00831A80"/>
    <w:rsid w:val="00833743"/>
    <w:rsid w:val="00833CC0"/>
    <w:rsid w:val="008340A4"/>
    <w:rsid w:val="008342B6"/>
    <w:rsid w:val="008347C4"/>
    <w:rsid w:val="00834D1D"/>
    <w:rsid w:val="00837E78"/>
    <w:rsid w:val="00844986"/>
    <w:rsid w:val="0084520B"/>
    <w:rsid w:val="00846175"/>
    <w:rsid w:val="00856472"/>
    <w:rsid w:val="00860591"/>
    <w:rsid w:val="0086140A"/>
    <w:rsid w:val="008646BA"/>
    <w:rsid w:val="00866C83"/>
    <w:rsid w:val="0087131C"/>
    <w:rsid w:val="0087135F"/>
    <w:rsid w:val="00872D94"/>
    <w:rsid w:val="008741C4"/>
    <w:rsid w:val="00877FCF"/>
    <w:rsid w:val="00880364"/>
    <w:rsid w:val="008815CB"/>
    <w:rsid w:val="00883579"/>
    <w:rsid w:val="00885337"/>
    <w:rsid w:val="00885689"/>
    <w:rsid w:val="00886DC7"/>
    <w:rsid w:val="00891592"/>
    <w:rsid w:val="00891E9E"/>
    <w:rsid w:val="00893553"/>
    <w:rsid w:val="00893D06"/>
    <w:rsid w:val="00895C9A"/>
    <w:rsid w:val="008A2F68"/>
    <w:rsid w:val="008A3083"/>
    <w:rsid w:val="008A63FF"/>
    <w:rsid w:val="008B17A5"/>
    <w:rsid w:val="008B4FA6"/>
    <w:rsid w:val="008B5282"/>
    <w:rsid w:val="008B5446"/>
    <w:rsid w:val="008B6924"/>
    <w:rsid w:val="008B7C17"/>
    <w:rsid w:val="008C1E6E"/>
    <w:rsid w:val="008C2D01"/>
    <w:rsid w:val="008C40E6"/>
    <w:rsid w:val="008C689E"/>
    <w:rsid w:val="008D0F7A"/>
    <w:rsid w:val="008D1EB4"/>
    <w:rsid w:val="008D68E4"/>
    <w:rsid w:val="008E0506"/>
    <w:rsid w:val="008E0CFF"/>
    <w:rsid w:val="008E169E"/>
    <w:rsid w:val="008E28BC"/>
    <w:rsid w:val="008E34A0"/>
    <w:rsid w:val="008E5D6B"/>
    <w:rsid w:val="008E76F0"/>
    <w:rsid w:val="008F158B"/>
    <w:rsid w:val="008F15FE"/>
    <w:rsid w:val="008F2D29"/>
    <w:rsid w:val="008F3EFD"/>
    <w:rsid w:val="008F5187"/>
    <w:rsid w:val="008F60D8"/>
    <w:rsid w:val="008F6E35"/>
    <w:rsid w:val="008F6EB2"/>
    <w:rsid w:val="00902727"/>
    <w:rsid w:val="00902C2A"/>
    <w:rsid w:val="0090312B"/>
    <w:rsid w:val="009034FB"/>
    <w:rsid w:val="00903F6B"/>
    <w:rsid w:val="00905DCF"/>
    <w:rsid w:val="00906786"/>
    <w:rsid w:val="009110C4"/>
    <w:rsid w:val="0091186E"/>
    <w:rsid w:val="00912D18"/>
    <w:rsid w:val="0091736D"/>
    <w:rsid w:val="009224FE"/>
    <w:rsid w:val="009268D1"/>
    <w:rsid w:val="00927ACB"/>
    <w:rsid w:val="0093037A"/>
    <w:rsid w:val="00930AD3"/>
    <w:rsid w:val="00931EEF"/>
    <w:rsid w:val="00934F08"/>
    <w:rsid w:val="0094154D"/>
    <w:rsid w:val="0094579C"/>
    <w:rsid w:val="00946ED7"/>
    <w:rsid w:val="00950F53"/>
    <w:rsid w:val="009513D1"/>
    <w:rsid w:val="00951439"/>
    <w:rsid w:val="0095155F"/>
    <w:rsid w:val="00954429"/>
    <w:rsid w:val="009563CE"/>
    <w:rsid w:val="00962D9D"/>
    <w:rsid w:val="00963589"/>
    <w:rsid w:val="00973F93"/>
    <w:rsid w:val="00973FCE"/>
    <w:rsid w:val="009760F1"/>
    <w:rsid w:val="00976328"/>
    <w:rsid w:val="0097680D"/>
    <w:rsid w:val="00977EAC"/>
    <w:rsid w:val="00980ACF"/>
    <w:rsid w:val="00982438"/>
    <w:rsid w:val="0098256A"/>
    <w:rsid w:val="009837A2"/>
    <w:rsid w:val="0098404C"/>
    <w:rsid w:val="00984EFB"/>
    <w:rsid w:val="00985283"/>
    <w:rsid w:val="00993133"/>
    <w:rsid w:val="00993585"/>
    <w:rsid w:val="00993935"/>
    <w:rsid w:val="00995992"/>
    <w:rsid w:val="0099731D"/>
    <w:rsid w:val="009A0241"/>
    <w:rsid w:val="009A03E5"/>
    <w:rsid w:val="009A0F3B"/>
    <w:rsid w:val="009A1BB4"/>
    <w:rsid w:val="009A1F39"/>
    <w:rsid w:val="009A2628"/>
    <w:rsid w:val="009A3200"/>
    <w:rsid w:val="009A3379"/>
    <w:rsid w:val="009A45BE"/>
    <w:rsid w:val="009A7CFB"/>
    <w:rsid w:val="009B0897"/>
    <w:rsid w:val="009B4AD9"/>
    <w:rsid w:val="009B5609"/>
    <w:rsid w:val="009B7BD9"/>
    <w:rsid w:val="009C7DD5"/>
    <w:rsid w:val="009D0FEE"/>
    <w:rsid w:val="009D1A93"/>
    <w:rsid w:val="009D2748"/>
    <w:rsid w:val="009D4E2B"/>
    <w:rsid w:val="009D77B2"/>
    <w:rsid w:val="009D79D6"/>
    <w:rsid w:val="009E18E4"/>
    <w:rsid w:val="009E227D"/>
    <w:rsid w:val="009E5019"/>
    <w:rsid w:val="009E5253"/>
    <w:rsid w:val="009E623D"/>
    <w:rsid w:val="009F2204"/>
    <w:rsid w:val="009F58F9"/>
    <w:rsid w:val="00A01AC5"/>
    <w:rsid w:val="00A04E90"/>
    <w:rsid w:val="00A04F1B"/>
    <w:rsid w:val="00A0501B"/>
    <w:rsid w:val="00A069FC"/>
    <w:rsid w:val="00A1108E"/>
    <w:rsid w:val="00A14947"/>
    <w:rsid w:val="00A16D19"/>
    <w:rsid w:val="00A20D6F"/>
    <w:rsid w:val="00A216F9"/>
    <w:rsid w:val="00A22342"/>
    <w:rsid w:val="00A2703B"/>
    <w:rsid w:val="00A27D49"/>
    <w:rsid w:val="00A322B4"/>
    <w:rsid w:val="00A32A83"/>
    <w:rsid w:val="00A3572D"/>
    <w:rsid w:val="00A368DB"/>
    <w:rsid w:val="00A41EB4"/>
    <w:rsid w:val="00A42273"/>
    <w:rsid w:val="00A423AA"/>
    <w:rsid w:val="00A444A9"/>
    <w:rsid w:val="00A44F0A"/>
    <w:rsid w:val="00A53220"/>
    <w:rsid w:val="00A53A1C"/>
    <w:rsid w:val="00A53EC6"/>
    <w:rsid w:val="00A54E5B"/>
    <w:rsid w:val="00A5520C"/>
    <w:rsid w:val="00A55C0F"/>
    <w:rsid w:val="00A5655A"/>
    <w:rsid w:val="00A56967"/>
    <w:rsid w:val="00A576C9"/>
    <w:rsid w:val="00A6159F"/>
    <w:rsid w:val="00A61FB3"/>
    <w:rsid w:val="00A67D58"/>
    <w:rsid w:val="00A703E5"/>
    <w:rsid w:val="00A72FBE"/>
    <w:rsid w:val="00A740FC"/>
    <w:rsid w:val="00A76CFF"/>
    <w:rsid w:val="00A80215"/>
    <w:rsid w:val="00A8386F"/>
    <w:rsid w:val="00A843C5"/>
    <w:rsid w:val="00A85B5B"/>
    <w:rsid w:val="00A8713F"/>
    <w:rsid w:val="00A87252"/>
    <w:rsid w:val="00A90BA1"/>
    <w:rsid w:val="00A90DCD"/>
    <w:rsid w:val="00A97846"/>
    <w:rsid w:val="00A97A9A"/>
    <w:rsid w:val="00A97F0F"/>
    <w:rsid w:val="00AA0417"/>
    <w:rsid w:val="00AA0671"/>
    <w:rsid w:val="00AA21DA"/>
    <w:rsid w:val="00AA2531"/>
    <w:rsid w:val="00AA3A21"/>
    <w:rsid w:val="00AA751B"/>
    <w:rsid w:val="00AB1E09"/>
    <w:rsid w:val="00AB2627"/>
    <w:rsid w:val="00AB5330"/>
    <w:rsid w:val="00AB7747"/>
    <w:rsid w:val="00AB7874"/>
    <w:rsid w:val="00AC017F"/>
    <w:rsid w:val="00AC14CE"/>
    <w:rsid w:val="00AC2A56"/>
    <w:rsid w:val="00AC49F5"/>
    <w:rsid w:val="00AC4D7A"/>
    <w:rsid w:val="00AD055E"/>
    <w:rsid w:val="00AD198C"/>
    <w:rsid w:val="00AD2054"/>
    <w:rsid w:val="00AD43D6"/>
    <w:rsid w:val="00AD47A7"/>
    <w:rsid w:val="00AD575B"/>
    <w:rsid w:val="00AD7338"/>
    <w:rsid w:val="00AE291D"/>
    <w:rsid w:val="00AE2BAC"/>
    <w:rsid w:val="00AE4E5E"/>
    <w:rsid w:val="00AE4FE1"/>
    <w:rsid w:val="00AE6A4E"/>
    <w:rsid w:val="00AF003F"/>
    <w:rsid w:val="00AF0CBF"/>
    <w:rsid w:val="00AF2082"/>
    <w:rsid w:val="00AF257F"/>
    <w:rsid w:val="00AF33CF"/>
    <w:rsid w:val="00AF4D50"/>
    <w:rsid w:val="00AF56FB"/>
    <w:rsid w:val="00AF6179"/>
    <w:rsid w:val="00AF754F"/>
    <w:rsid w:val="00B00D28"/>
    <w:rsid w:val="00B017EA"/>
    <w:rsid w:val="00B0330C"/>
    <w:rsid w:val="00B04662"/>
    <w:rsid w:val="00B07B3D"/>
    <w:rsid w:val="00B12080"/>
    <w:rsid w:val="00B128DD"/>
    <w:rsid w:val="00B1295A"/>
    <w:rsid w:val="00B12E88"/>
    <w:rsid w:val="00B16519"/>
    <w:rsid w:val="00B17FB0"/>
    <w:rsid w:val="00B2009E"/>
    <w:rsid w:val="00B20A45"/>
    <w:rsid w:val="00B22BFD"/>
    <w:rsid w:val="00B22C5C"/>
    <w:rsid w:val="00B24F30"/>
    <w:rsid w:val="00B253F3"/>
    <w:rsid w:val="00B30462"/>
    <w:rsid w:val="00B31ABF"/>
    <w:rsid w:val="00B3380D"/>
    <w:rsid w:val="00B33BE3"/>
    <w:rsid w:val="00B40BF0"/>
    <w:rsid w:val="00B43428"/>
    <w:rsid w:val="00B44183"/>
    <w:rsid w:val="00B4648B"/>
    <w:rsid w:val="00B47BC1"/>
    <w:rsid w:val="00B52557"/>
    <w:rsid w:val="00B531FE"/>
    <w:rsid w:val="00B535D5"/>
    <w:rsid w:val="00B53B5D"/>
    <w:rsid w:val="00B57FDE"/>
    <w:rsid w:val="00B6055E"/>
    <w:rsid w:val="00B60DDB"/>
    <w:rsid w:val="00B62049"/>
    <w:rsid w:val="00B6317D"/>
    <w:rsid w:val="00B63B6F"/>
    <w:rsid w:val="00B659A7"/>
    <w:rsid w:val="00B70EBE"/>
    <w:rsid w:val="00B71018"/>
    <w:rsid w:val="00B7144D"/>
    <w:rsid w:val="00B7723F"/>
    <w:rsid w:val="00B775C1"/>
    <w:rsid w:val="00B801AF"/>
    <w:rsid w:val="00B80534"/>
    <w:rsid w:val="00B8180B"/>
    <w:rsid w:val="00B8377A"/>
    <w:rsid w:val="00B8390D"/>
    <w:rsid w:val="00B839FB"/>
    <w:rsid w:val="00B8433C"/>
    <w:rsid w:val="00B87491"/>
    <w:rsid w:val="00B91147"/>
    <w:rsid w:val="00B95AAA"/>
    <w:rsid w:val="00B96EB4"/>
    <w:rsid w:val="00B9774A"/>
    <w:rsid w:val="00BA1F3E"/>
    <w:rsid w:val="00BA29E9"/>
    <w:rsid w:val="00BA7142"/>
    <w:rsid w:val="00BB1443"/>
    <w:rsid w:val="00BB237C"/>
    <w:rsid w:val="00BB2492"/>
    <w:rsid w:val="00BB41A3"/>
    <w:rsid w:val="00BB4E23"/>
    <w:rsid w:val="00BB7890"/>
    <w:rsid w:val="00BC32DC"/>
    <w:rsid w:val="00BC35B6"/>
    <w:rsid w:val="00BC6C7A"/>
    <w:rsid w:val="00BC7D6F"/>
    <w:rsid w:val="00BD1B51"/>
    <w:rsid w:val="00BD4596"/>
    <w:rsid w:val="00BE1405"/>
    <w:rsid w:val="00BE312D"/>
    <w:rsid w:val="00BE32F3"/>
    <w:rsid w:val="00BE4601"/>
    <w:rsid w:val="00BE7E86"/>
    <w:rsid w:val="00BF1C20"/>
    <w:rsid w:val="00C04FC1"/>
    <w:rsid w:val="00C0619C"/>
    <w:rsid w:val="00C10578"/>
    <w:rsid w:val="00C12D62"/>
    <w:rsid w:val="00C135BC"/>
    <w:rsid w:val="00C15C95"/>
    <w:rsid w:val="00C20E6A"/>
    <w:rsid w:val="00C211BC"/>
    <w:rsid w:val="00C24F0D"/>
    <w:rsid w:val="00C2596A"/>
    <w:rsid w:val="00C27537"/>
    <w:rsid w:val="00C328FE"/>
    <w:rsid w:val="00C33507"/>
    <w:rsid w:val="00C336C7"/>
    <w:rsid w:val="00C37C6E"/>
    <w:rsid w:val="00C4409D"/>
    <w:rsid w:val="00C44E72"/>
    <w:rsid w:val="00C45A06"/>
    <w:rsid w:val="00C4762A"/>
    <w:rsid w:val="00C47E5B"/>
    <w:rsid w:val="00C52DD6"/>
    <w:rsid w:val="00C572CE"/>
    <w:rsid w:val="00C61DEB"/>
    <w:rsid w:val="00C61E4B"/>
    <w:rsid w:val="00C621A8"/>
    <w:rsid w:val="00C64BFF"/>
    <w:rsid w:val="00C652B5"/>
    <w:rsid w:val="00C65AD9"/>
    <w:rsid w:val="00C65D27"/>
    <w:rsid w:val="00C67C87"/>
    <w:rsid w:val="00C67F8B"/>
    <w:rsid w:val="00C704E9"/>
    <w:rsid w:val="00C72ACE"/>
    <w:rsid w:val="00C763C9"/>
    <w:rsid w:val="00C77D12"/>
    <w:rsid w:val="00C80057"/>
    <w:rsid w:val="00C806E5"/>
    <w:rsid w:val="00C81FE5"/>
    <w:rsid w:val="00C82232"/>
    <w:rsid w:val="00C82913"/>
    <w:rsid w:val="00C906D8"/>
    <w:rsid w:val="00C91E1A"/>
    <w:rsid w:val="00C94135"/>
    <w:rsid w:val="00C972B1"/>
    <w:rsid w:val="00C978A8"/>
    <w:rsid w:val="00CA23ED"/>
    <w:rsid w:val="00CA2CCE"/>
    <w:rsid w:val="00CA43FD"/>
    <w:rsid w:val="00CA7EF8"/>
    <w:rsid w:val="00CB09CE"/>
    <w:rsid w:val="00CB184A"/>
    <w:rsid w:val="00CB5002"/>
    <w:rsid w:val="00CC152F"/>
    <w:rsid w:val="00CC2C19"/>
    <w:rsid w:val="00CC489B"/>
    <w:rsid w:val="00CC5CDD"/>
    <w:rsid w:val="00CC7B59"/>
    <w:rsid w:val="00CC7C9E"/>
    <w:rsid w:val="00CD0E6D"/>
    <w:rsid w:val="00CD2A33"/>
    <w:rsid w:val="00CD2BCD"/>
    <w:rsid w:val="00CD3A4C"/>
    <w:rsid w:val="00CE10E9"/>
    <w:rsid w:val="00CE2910"/>
    <w:rsid w:val="00CE5393"/>
    <w:rsid w:val="00CE6CD5"/>
    <w:rsid w:val="00CE7177"/>
    <w:rsid w:val="00CF2259"/>
    <w:rsid w:val="00CF3194"/>
    <w:rsid w:val="00CF36BE"/>
    <w:rsid w:val="00CF50BA"/>
    <w:rsid w:val="00CF6000"/>
    <w:rsid w:val="00CF78AF"/>
    <w:rsid w:val="00CF7E73"/>
    <w:rsid w:val="00D003F3"/>
    <w:rsid w:val="00D008F3"/>
    <w:rsid w:val="00D01B9C"/>
    <w:rsid w:val="00D0364F"/>
    <w:rsid w:val="00D038CB"/>
    <w:rsid w:val="00D06834"/>
    <w:rsid w:val="00D074CA"/>
    <w:rsid w:val="00D14F57"/>
    <w:rsid w:val="00D15112"/>
    <w:rsid w:val="00D15E6A"/>
    <w:rsid w:val="00D21454"/>
    <w:rsid w:val="00D2416B"/>
    <w:rsid w:val="00D245A4"/>
    <w:rsid w:val="00D2732C"/>
    <w:rsid w:val="00D308ED"/>
    <w:rsid w:val="00D31571"/>
    <w:rsid w:val="00D326AC"/>
    <w:rsid w:val="00D36D86"/>
    <w:rsid w:val="00D428AA"/>
    <w:rsid w:val="00D42B17"/>
    <w:rsid w:val="00D451A1"/>
    <w:rsid w:val="00D45BBF"/>
    <w:rsid w:val="00D50A34"/>
    <w:rsid w:val="00D525B9"/>
    <w:rsid w:val="00D53EFA"/>
    <w:rsid w:val="00D621AE"/>
    <w:rsid w:val="00D743B5"/>
    <w:rsid w:val="00D84242"/>
    <w:rsid w:val="00D86FB1"/>
    <w:rsid w:val="00D877C8"/>
    <w:rsid w:val="00D94A7C"/>
    <w:rsid w:val="00D95896"/>
    <w:rsid w:val="00D96B3D"/>
    <w:rsid w:val="00D97760"/>
    <w:rsid w:val="00D979F1"/>
    <w:rsid w:val="00DA3073"/>
    <w:rsid w:val="00DA38D9"/>
    <w:rsid w:val="00DB032D"/>
    <w:rsid w:val="00DB145B"/>
    <w:rsid w:val="00DB18E6"/>
    <w:rsid w:val="00DB2983"/>
    <w:rsid w:val="00DB3425"/>
    <w:rsid w:val="00DC1257"/>
    <w:rsid w:val="00DC38A6"/>
    <w:rsid w:val="00DC3A55"/>
    <w:rsid w:val="00DC3DC0"/>
    <w:rsid w:val="00DC5B2B"/>
    <w:rsid w:val="00DC6AB1"/>
    <w:rsid w:val="00DD318D"/>
    <w:rsid w:val="00DD5525"/>
    <w:rsid w:val="00DD6B72"/>
    <w:rsid w:val="00DD7536"/>
    <w:rsid w:val="00DE19EB"/>
    <w:rsid w:val="00DE5CB4"/>
    <w:rsid w:val="00DF217B"/>
    <w:rsid w:val="00DF2E12"/>
    <w:rsid w:val="00DF3633"/>
    <w:rsid w:val="00DF43B0"/>
    <w:rsid w:val="00DF514A"/>
    <w:rsid w:val="00DF6690"/>
    <w:rsid w:val="00DF6804"/>
    <w:rsid w:val="00E01990"/>
    <w:rsid w:val="00E02630"/>
    <w:rsid w:val="00E02C89"/>
    <w:rsid w:val="00E0358D"/>
    <w:rsid w:val="00E04323"/>
    <w:rsid w:val="00E070A2"/>
    <w:rsid w:val="00E1323E"/>
    <w:rsid w:val="00E16FEF"/>
    <w:rsid w:val="00E17158"/>
    <w:rsid w:val="00E17FF8"/>
    <w:rsid w:val="00E21B57"/>
    <w:rsid w:val="00E23E53"/>
    <w:rsid w:val="00E25546"/>
    <w:rsid w:val="00E2656A"/>
    <w:rsid w:val="00E2752D"/>
    <w:rsid w:val="00E2758C"/>
    <w:rsid w:val="00E330DA"/>
    <w:rsid w:val="00E36010"/>
    <w:rsid w:val="00E37E55"/>
    <w:rsid w:val="00E412D0"/>
    <w:rsid w:val="00E51F01"/>
    <w:rsid w:val="00E56322"/>
    <w:rsid w:val="00E60982"/>
    <w:rsid w:val="00E61CFA"/>
    <w:rsid w:val="00E62C62"/>
    <w:rsid w:val="00E62C94"/>
    <w:rsid w:val="00E654C1"/>
    <w:rsid w:val="00E65D97"/>
    <w:rsid w:val="00E71EEB"/>
    <w:rsid w:val="00E727E4"/>
    <w:rsid w:val="00E72A5A"/>
    <w:rsid w:val="00E73141"/>
    <w:rsid w:val="00E73354"/>
    <w:rsid w:val="00E7523A"/>
    <w:rsid w:val="00E8018A"/>
    <w:rsid w:val="00E82E20"/>
    <w:rsid w:val="00E843F0"/>
    <w:rsid w:val="00E86578"/>
    <w:rsid w:val="00E865C2"/>
    <w:rsid w:val="00E9242D"/>
    <w:rsid w:val="00E96BDF"/>
    <w:rsid w:val="00EA1BCE"/>
    <w:rsid w:val="00EA3264"/>
    <w:rsid w:val="00EA7761"/>
    <w:rsid w:val="00EB5255"/>
    <w:rsid w:val="00EB5C47"/>
    <w:rsid w:val="00EC0730"/>
    <w:rsid w:val="00EC2429"/>
    <w:rsid w:val="00EC332E"/>
    <w:rsid w:val="00ED0639"/>
    <w:rsid w:val="00ED20AB"/>
    <w:rsid w:val="00ED2FA8"/>
    <w:rsid w:val="00ED64CA"/>
    <w:rsid w:val="00EE0251"/>
    <w:rsid w:val="00EF2649"/>
    <w:rsid w:val="00EF3297"/>
    <w:rsid w:val="00EF380F"/>
    <w:rsid w:val="00EF4755"/>
    <w:rsid w:val="00EF5BA2"/>
    <w:rsid w:val="00EF7135"/>
    <w:rsid w:val="00F01B06"/>
    <w:rsid w:val="00F027DB"/>
    <w:rsid w:val="00F06167"/>
    <w:rsid w:val="00F06E9A"/>
    <w:rsid w:val="00F10742"/>
    <w:rsid w:val="00F14A7A"/>
    <w:rsid w:val="00F15CEA"/>
    <w:rsid w:val="00F16279"/>
    <w:rsid w:val="00F22985"/>
    <w:rsid w:val="00F2389E"/>
    <w:rsid w:val="00F26AB1"/>
    <w:rsid w:val="00F271E2"/>
    <w:rsid w:val="00F32FF8"/>
    <w:rsid w:val="00F33347"/>
    <w:rsid w:val="00F3383E"/>
    <w:rsid w:val="00F37BE6"/>
    <w:rsid w:val="00F40357"/>
    <w:rsid w:val="00F4099A"/>
    <w:rsid w:val="00F44E64"/>
    <w:rsid w:val="00F465A7"/>
    <w:rsid w:val="00F4666D"/>
    <w:rsid w:val="00F46F8E"/>
    <w:rsid w:val="00F50B7C"/>
    <w:rsid w:val="00F51ED4"/>
    <w:rsid w:val="00F52A8D"/>
    <w:rsid w:val="00F53303"/>
    <w:rsid w:val="00F550E6"/>
    <w:rsid w:val="00F575A4"/>
    <w:rsid w:val="00F5782B"/>
    <w:rsid w:val="00F63C0C"/>
    <w:rsid w:val="00F6462F"/>
    <w:rsid w:val="00F66529"/>
    <w:rsid w:val="00F70C59"/>
    <w:rsid w:val="00F72660"/>
    <w:rsid w:val="00F74345"/>
    <w:rsid w:val="00F74A57"/>
    <w:rsid w:val="00F755E6"/>
    <w:rsid w:val="00F759F3"/>
    <w:rsid w:val="00F75B94"/>
    <w:rsid w:val="00F80A0A"/>
    <w:rsid w:val="00F82B19"/>
    <w:rsid w:val="00F84D59"/>
    <w:rsid w:val="00F878E7"/>
    <w:rsid w:val="00F9212D"/>
    <w:rsid w:val="00F965DA"/>
    <w:rsid w:val="00F96819"/>
    <w:rsid w:val="00FA2391"/>
    <w:rsid w:val="00FA406A"/>
    <w:rsid w:val="00FB503A"/>
    <w:rsid w:val="00FB516C"/>
    <w:rsid w:val="00FB5674"/>
    <w:rsid w:val="00FB5F7E"/>
    <w:rsid w:val="00FB76CA"/>
    <w:rsid w:val="00FC24AD"/>
    <w:rsid w:val="00FC3895"/>
    <w:rsid w:val="00FC6A10"/>
    <w:rsid w:val="00FC79CB"/>
    <w:rsid w:val="00FD0236"/>
    <w:rsid w:val="00FD18F4"/>
    <w:rsid w:val="00FD26EE"/>
    <w:rsid w:val="00FD54DB"/>
    <w:rsid w:val="00FD619F"/>
    <w:rsid w:val="00FE1B8B"/>
    <w:rsid w:val="00FE2C4F"/>
    <w:rsid w:val="00FE532C"/>
    <w:rsid w:val="00FE5D81"/>
    <w:rsid w:val="00FE754F"/>
    <w:rsid w:val="00FE764F"/>
    <w:rsid w:val="00FF0CC8"/>
    <w:rsid w:val="00FF5B8C"/>
    <w:rsid w:val="01031C21"/>
    <w:rsid w:val="010B03A2"/>
    <w:rsid w:val="011473B7"/>
    <w:rsid w:val="011C4005"/>
    <w:rsid w:val="011F3044"/>
    <w:rsid w:val="01221997"/>
    <w:rsid w:val="01284C10"/>
    <w:rsid w:val="01290F7E"/>
    <w:rsid w:val="01312193"/>
    <w:rsid w:val="013159A7"/>
    <w:rsid w:val="01351B14"/>
    <w:rsid w:val="013637D1"/>
    <w:rsid w:val="01366D4C"/>
    <w:rsid w:val="01381965"/>
    <w:rsid w:val="013E4434"/>
    <w:rsid w:val="013F7DD9"/>
    <w:rsid w:val="01431A4A"/>
    <w:rsid w:val="01435C42"/>
    <w:rsid w:val="014741DA"/>
    <w:rsid w:val="01503F3D"/>
    <w:rsid w:val="01514167"/>
    <w:rsid w:val="01533DD0"/>
    <w:rsid w:val="01534D67"/>
    <w:rsid w:val="01570B0A"/>
    <w:rsid w:val="015772A4"/>
    <w:rsid w:val="0159126E"/>
    <w:rsid w:val="015D1E09"/>
    <w:rsid w:val="015D36C0"/>
    <w:rsid w:val="01626374"/>
    <w:rsid w:val="01635C49"/>
    <w:rsid w:val="01663DA5"/>
    <w:rsid w:val="0169049A"/>
    <w:rsid w:val="016C257C"/>
    <w:rsid w:val="016D6AC7"/>
    <w:rsid w:val="017642C4"/>
    <w:rsid w:val="01795324"/>
    <w:rsid w:val="01822C60"/>
    <w:rsid w:val="01877B89"/>
    <w:rsid w:val="018B4D7A"/>
    <w:rsid w:val="018E7169"/>
    <w:rsid w:val="019404F8"/>
    <w:rsid w:val="019649B3"/>
    <w:rsid w:val="01992B49"/>
    <w:rsid w:val="01994A5B"/>
    <w:rsid w:val="019978BC"/>
    <w:rsid w:val="019B0C01"/>
    <w:rsid w:val="01A249C3"/>
    <w:rsid w:val="01AA7D1B"/>
    <w:rsid w:val="01B14C06"/>
    <w:rsid w:val="01B711E2"/>
    <w:rsid w:val="01BA61B0"/>
    <w:rsid w:val="01BD17FD"/>
    <w:rsid w:val="01BD4C9A"/>
    <w:rsid w:val="01BF0BDA"/>
    <w:rsid w:val="01C963F3"/>
    <w:rsid w:val="01CC3FA0"/>
    <w:rsid w:val="01CC7C92"/>
    <w:rsid w:val="01D32DCE"/>
    <w:rsid w:val="01D81E3B"/>
    <w:rsid w:val="01D83D26"/>
    <w:rsid w:val="01DE3E81"/>
    <w:rsid w:val="01DE6CE9"/>
    <w:rsid w:val="01E11BC6"/>
    <w:rsid w:val="01E30724"/>
    <w:rsid w:val="01E32192"/>
    <w:rsid w:val="01E7050A"/>
    <w:rsid w:val="01E90844"/>
    <w:rsid w:val="01F27B47"/>
    <w:rsid w:val="01F32EBA"/>
    <w:rsid w:val="01FB408B"/>
    <w:rsid w:val="01FD42EF"/>
    <w:rsid w:val="01FF44CB"/>
    <w:rsid w:val="02005A7B"/>
    <w:rsid w:val="02005B8D"/>
    <w:rsid w:val="020C62E0"/>
    <w:rsid w:val="020E7BCB"/>
    <w:rsid w:val="02160F0D"/>
    <w:rsid w:val="021876EC"/>
    <w:rsid w:val="021B4775"/>
    <w:rsid w:val="021D3D2C"/>
    <w:rsid w:val="02284DF1"/>
    <w:rsid w:val="02290C40"/>
    <w:rsid w:val="022D6017"/>
    <w:rsid w:val="022E6257"/>
    <w:rsid w:val="022F7E4F"/>
    <w:rsid w:val="02304CB8"/>
    <w:rsid w:val="02340733"/>
    <w:rsid w:val="02353375"/>
    <w:rsid w:val="023814FB"/>
    <w:rsid w:val="02436CFA"/>
    <w:rsid w:val="02532161"/>
    <w:rsid w:val="02532473"/>
    <w:rsid w:val="02570038"/>
    <w:rsid w:val="02570457"/>
    <w:rsid w:val="025A6E7A"/>
    <w:rsid w:val="025B3F76"/>
    <w:rsid w:val="026115F0"/>
    <w:rsid w:val="026659F0"/>
    <w:rsid w:val="02666686"/>
    <w:rsid w:val="02697903"/>
    <w:rsid w:val="026B1259"/>
    <w:rsid w:val="027A5940"/>
    <w:rsid w:val="027D47AD"/>
    <w:rsid w:val="02801D3F"/>
    <w:rsid w:val="028B583D"/>
    <w:rsid w:val="028E4DFF"/>
    <w:rsid w:val="029167E5"/>
    <w:rsid w:val="0293255D"/>
    <w:rsid w:val="029562D6"/>
    <w:rsid w:val="029E1F6C"/>
    <w:rsid w:val="029F53A6"/>
    <w:rsid w:val="02AE4C2A"/>
    <w:rsid w:val="02B0310F"/>
    <w:rsid w:val="02B153BE"/>
    <w:rsid w:val="02B55F34"/>
    <w:rsid w:val="02BB1EF3"/>
    <w:rsid w:val="02BF1304"/>
    <w:rsid w:val="02BF3C54"/>
    <w:rsid w:val="02C26B15"/>
    <w:rsid w:val="02C82F21"/>
    <w:rsid w:val="02C8425D"/>
    <w:rsid w:val="02CD28BB"/>
    <w:rsid w:val="02D069A1"/>
    <w:rsid w:val="02D2318C"/>
    <w:rsid w:val="02D52B76"/>
    <w:rsid w:val="02D54924"/>
    <w:rsid w:val="02DB3646"/>
    <w:rsid w:val="02E81F09"/>
    <w:rsid w:val="02EC75E1"/>
    <w:rsid w:val="02ED10F0"/>
    <w:rsid w:val="02ED12BC"/>
    <w:rsid w:val="02F0175E"/>
    <w:rsid w:val="02F23728"/>
    <w:rsid w:val="02F54220"/>
    <w:rsid w:val="02F73C38"/>
    <w:rsid w:val="02F84D75"/>
    <w:rsid w:val="02F96569"/>
    <w:rsid w:val="02FF5E45"/>
    <w:rsid w:val="02FF7C6D"/>
    <w:rsid w:val="03035935"/>
    <w:rsid w:val="030560C6"/>
    <w:rsid w:val="030627CB"/>
    <w:rsid w:val="03065425"/>
    <w:rsid w:val="03074C27"/>
    <w:rsid w:val="03082EFC"/>
    <w:rsid w:val="031418F0"/>
    <w:rsid w:val="0317318F"/>
    <w:rsid w:val="031C2553"/>
    <w:rsid w:val="031C644F"/>
    <w:rsid w:val="03237D85"/>
    <w:rsid w:val="03265180"/>
    <w:rsid w:val="032A4C70"/>
    <w:rsid w:val="033112EF"/>
    <w:rsid w:val="03343D40"/>
    <w:rsid w:val="03345AEF"/>
    <w:rsid w:val="0337738D"/>
    <w:rsid w:val="03411FB9"/>
    <w:rsid w:val="03457CFC"/>
    <w:rsid w:val="03465822"/>
    <w:rsid w:val="034B38FA"/>
    <w:rsid w:val="03504809"/>
    <w:rsid w:val="03575C81"/>
    <w:rsid w:val="035D6367"/>
    <w:rsid w:val="035F4F1E"/>
    <w:rsid w:val="036D1E15"/>
    <w:rsid w:val="036F2B61"/>
    <w:rsid w:val="036F61FC"/>
    <w:rsid w:val="0371289F"/>
    <w:rsid w:val="03764A7A"/>
    <w:rsid w:val="037B371D"/>
    <w:rsid w:val="037F58E9"/>
    <w:rsid w:val="0382266C"/>
    <w:rsid w:val="0385748B"/>
    <w:rsid w:val="038756BD"/>
    <w:rsid w:val="038B270C"/>
    <w:rsid w:val="03925E4A"/>
    <w:rsid w:val="03926793"/>
    <w:rsid w:val="03991DF6"/>
    <w:rsid w:val="03993BA4"/>
    <w:rsid w:val="039A70F6"/>
    <w:rsid w:val="039D18E6"/>
    <w:rsid w:val="03A54299"/>
    <w:rsid w:val="03A74512"/>
    <w:rsid w:val="03A762C0"/>
    <w:rsid w:val="03A826E5"/>
    <w:rsid w:val="03B0291E"/>
    <w:rsid w:val="03B078E4"/>
    <w:rsid w:val="03B3086D"/>
    <w:rsid w:val="03B44E81"/>
    <w:rsid w:val="03B94246"/>
    <w:rsid w:val="03BB4C97"/>
    <w:rsid w:val="03C54999"/>
    <w:rsid w:val="03CF3A69"/>
    <w:rsid w:val="03D96696"/>
    <w:rsid w:val="03DC2C52"/>
    <w:rsid w:val="03DD6566"/>
    <w:rsid w:val="03E11877"/>
    <w:rsid w:val="03E12273"/>
    <w:rsid w:val="03E71595"/>
    <w:rsid w:val="03E9062E"/>
    <w:rsid w:val="03E95DBD"/>
    <w:rsid w:val="03EA7B21"/>
    <w:rsid w:val="03EE34DF"/>
    <w:rsid w:val="03EE3EEF"/>
    <w:rsid w:val="03F31C32"/>
    <w:rsid w:val="03F90F5B"/>
    <w:rsid w:val="03F91619"/>
    <w:rsid w:val="03FA7FA9"/>
    <w:rsid w:val="03FF6831"/>
    <w:rsid w:val="0402799B"/>
    <w:rsid w:val="04042F63"/>
    <w:rsid w:val="04060002"/>
    <w:rsid w:val="04086A8E"/>
    <w:rsid w:val="040A58BD"/>
    <w:rsid w:val="040C0819"/>
    <w:rsid w:val="04115E30"/>
    <w:rsid w:val="041312FA"/>
    <w:rsid w:val="041548EB"/>
    <w:rsid w:val="04163DA0"/>
    <w:rsid w:val="041A2F36"/>
    <w:rsid w:val="042079B1"/>
    <w:rsid w:val="04253689"/>
    <w:rsid w:val="0426181E"/>
    <w:rsid w:val="042A2A20"/>
    <w:rsid w:val="04322347"/>
    <w:rsid w:val="04390EE3"/>
    <w:rsid w:val="043F474B"/>
    <w:rsid w:val="044624FA"/>
    <w:rsid w:val="04463D2B"/>
    <w:rsid w:val="044B1342"/>
    <w:rsid w:val="04541040"/>
    <w:rsid w:val="04541A21"/>
    <w:rsid w:val="045803CB"/>
    <w:rsid w:val="04581CB1"/>
    <w:rsid w:val="045A531B"/>
    <w:rsid w:val="045D1075"/>
    <w:rsid w:val="04674EF8"/>
    <w:rsid w:val="0467675D"/>
    <w:rsid w:val="046C3066"/>
    <w:rsid w:val="047069DC"/>
    <w:rsid w:val="047405BC"/>
    <w:rsid w:val="0478072F"/>
    <w:rsid w:val="0483664D"/>
    <w:rsid w:val="04893C18"/>
    <w:rsid w:val="048E317B"/>
    <w:rsid w:val="049525BD"/>
    <w:rsid w:val="0495629B"/>
    <w:rsid w:val="04992B5B"/>
    <w:rsid w:val="049C7160"/>
    <w:rsid w:val="049E533B"/>
    <w:rsid w:val="04A0376C"/>
    <w:rsid w:val="04A24703"/>
    <w:rsid w:val="04A24E62"/>
    <w:rsid w:val="04A37004"/>
    <w:rsid w:val="04A86794"/>
    <w:rsid w:val="04AD224F"/>
    <w:rsid w:val="04B3566F"/>
    <w:rsid w:val="04B3747D"/>
    <w:rsid w:val="04B844FD"/>
    <w:rsid w:val="04BA0275"/>
    <w:rsid w:val="04BC5CE3"/>
    <w:rsid w:val="04BD1B14"/>
    <w:rsid w:val="04C2712A"/>
    <w:rsid w:val="04C6380B"/>
    <w:rsid w:val="04CB5FDF"/>
    <w:rsid w:val="04D23E5A"/>
    <w:rsid w:val="04D806FC"/>
    <w:rsid w:val="04DB187B"/>
    <w:rsid w:val="04DD1649"/>
    <w:rsid w:val="04E2452E"/>
    <w:rsid w:val="04EE6171"/>
    <w:rsid w:val="04F574FF"/>
    <w:rsid w:val="04F95358"/>
    <w:rsid w:val="04F96FF0"/>
    <w:rsid w:val="04FC263C"/>
    <w:rsid w:val="050414F1"/>
    <w:rsid w:val="050634BB"/>
    <w:rsid w:val="05065269"/>
    <w:rsid w:val="050E236F"/>
    <w:rsid w:val="050F6813"/>
    <w:rsid w:val="051239A1"/>
    <w:rsid w:val="052E47BF"/>
    <w:rsid w:val="053E2C54"/>
    <w:rsid w:val="05483AD3"/>
    <w:rsid w:val="0548762F"/>
    <w:rsid w:val="054B711F"/>
    <w:rsid w:val="0550438A"/>
    <w:rsid w:val="0553688F"/>
    <w:rsid w:val="05551E3C"/>
    <w:rsid w:val="05592C3C"/>
    <w:rsid w:val="055E3FA0"/>
    <w:rsid w:val="05616943"/>
    <w:rsid w:val="056401E1"/>
    <w:rsid w:val="05654D72"/>
    <w:rsid w:val="05663F59"/>
    <w:rsid w:val="05685F23"/>
    <w:rsid w:val="056961A2"/>
    <w:rsid w:val="056A3A4A"/>
    <w:rsid w:val="056A57F8"/>
    <w:rsid w:val="056A6DF1"/>
    <w:rsid w:val="056D52E8"/>
    <w:rsid w:val="057C19CF"/>
    <w:rsid w:val="05816655"/>
    <w:rsid w:val="05835E44"/>
    <w:rsid w:val="058C785F"/>
    <w:rsid w:val="058F48A0"/>
    <w:rsid w:val="05900FAE"/>
    <w:rsid w:val="059447BF"/>
    <w:rsid w:val="05973D2B"/>
    <w:rsid w:val="059A343D"/>
    <w:rsid w:val="059B00A7"/>
    <w:rsid w:val="059C5085"/>
    <w:rsid w:val="059C5BCD"/>
    <w:rsid w:val="059D2164"/>
    <w:rsid w:val="05A031FE"/>
    <w:rsid w:val="05AC3D16"/>
    <w:rsid w:val="05AF5900"/>
    <w:rsid w:val="05B22460"/>
    <w:rsid w:val="05B75BEB"/>
    <w:rsid w:val="05B9052D"/>
    <w:rsid w:val="05BC001D"/>
    <w:rsid w:val="05BD1DD8"/>
    <w:rsid w:val="05BD26FC"/>
    <w:rsid w:val="05BF5D55"/>
    <w:rsid w:val="05C173E2"/>
    <w:rsid w:val="05C82AA8"/>
    <w:rsid w:val="05D9472B"/>
    <w:rsid w:val="05DE1D42"/>
    <w:rsid w:val="05E55DA7"/>
    <w:rsid w:val="05EA4E20"/>
    <w:rsid w:val="05F20AC9"/>
    <w:rsid w:val="05F51EB9"/>
    <w:rsid w:val="05F577E4"/>
    <w:rsid w:val="05F61781"/>
    <w:rsid w:val="05F83EAE"/>
    <w:rsid w:val="05F91D68"/>
    <w:rsid w:val="05FB02F8"/>
    <w:rsid w:val="06043E9E"/>
    <w:rsid w:val="060A6FDB"/>
    <w:rsid w:val="0619625D"/>
    <w:rsid w:val="061E65E2"/>
    <w:rsid w:val="061F452A"/>
    <w:rsid w:val="0620235A"/>
    <w:rsid w:val="06233BF8"/>
    <w:rsid w:val="062E385C"/>
    <w:rsid w:val="062E734D"/>
    <w:rsid w:val="063577E2"/>
    <w:rsid w:val="063E7D85"/>
    <w:rsid w:val="064222D0"/>
    <w:rsid w:val="06426774"/>
    <w:rsid w:val="0644429B"/>
    <w:rsid w:val="06455DC2"/>
    <w:rsid w:val="06473D8B"/>
    <w:rsid w:val="06482387"/>
    <w:rsid w:val="06562815"/>
    <w:rsid w:val="0659586C"/>
    <w:rsid w:val="0662414E"/>
    <w:rsid w:val="06640499"/>
    <w:rsid w:val="06695AAF"/>
    <w:rsid w:val="066F0D8B"/>
    <w:rsid w:val="0673273B"/>
    <w:rsid w:val="06772656"/>
    <w:rsid w:val="06776FF6"/>
    <w:rsid w:val="06783F44"/>
    <w:rsid w:val="06787497"/>
    <w:rsid w:val="0680104B"/>
    <w:rsid w:val="06893E96"/>
    <w:rsid w:val="068A74B1"/>
    <w:rsid w:val="06950A28"/>
    <w:rsid w:val="06952D48"/>
    <w:rsid w:val="069550F6"/>
    <w:rsid w:val="0696086E"/>
    <w:rsid w:val="069A3EBB"/>
    <w:rsid w:val="069F7723"/>
    <w:rsid w:val="06A42F8B"/>
    <w:rsid w:val="06AC1E40"/>
    <w:rsid w:val="06B17456"/>
    <w:rsid w:val="06B66178"/>
    <w:rsid w:val="06B7530D"/>
    <w:rsid w:val="06B84C89"/>
    <w:rsid w:val="06C23411"/>
    <w:rsid w:val="06C471B8"/>
    <w:rsid w:val="06C9640A"/>
    <w:rsid w:val="06D53145"/>
    <w:rsid w:val="06D54CA5"/>
    <w:rsid w:val="06DF1E00"/>
    <w:rsid w:val="06E43569"/>
    <w:rsid w:val="06E710CA"/>
    <w:rsid w:val="06EE2458"/>
    <w:rsid w:val="06F04422"/>
    <w:rsid w:val="06F32E19"/>
    <w:rsid w:val="06F54C0E"/>
    <w:rsid w:val="06FC5AD8"/>
    <w:rsid w:val="06FD0C16"/>
    <w:rsid w:val="06FD4B00"/>
    <w:rsid w:val="07010901"/>
    <w:rsid w:val="07100621"/>
    <w:rsid w:val="07140111"/>
    <w:rsid w:val="0715152D"/>
    <w:rsid w:val="071A6247"/>
    <w:rsid w:val="071C0D73"/>
    <w:rsid w:val="07265555"/>
    <w:rsid w:val="07267E44"/>
    <w:rsid w:val="07293586"/>
    <w:rsid w:val="07295285"/>
    <w:rsid w:val="072D35EB"/>
    <w:rsid w:val="073A744C"/>
    <w:rsid w:val="073B3F7A"/>
    <w:rsid w:val="073F54F1"/>
    <w:rsid w:val="07480E14"/>
    <w:rsid w:val="07550729"/>
    <w:rsid w:val="07571191"/>
    <w:rsid w:val="075C154C"/>
    <w:rsid w:val="07636392"/>
    <w:rsid w:val="076A5F83"/>
    <w:rsid w:val="076D7821"/>
    <w:rsid w:val="077000C1"/>
    <w:rsid w:val="077027BF"/>
    <w:rsid w:val="07740BAF"/>
    <w:rsid w:val="07770C56"/>
    <w:rsid w:val="077F1302"/>
    <w:rsid w:val="0781507A"/>
    <w:rsid w:val="07841615"/>
    <w:rsid w:val="07871073"/>
    <w:rsid w:val="078E5C48"/>
    <w:rsid w:val="07941252"/>
    <w:rsid w:val="07985E68"/>
    <w:rsid w:val="079E3E7E"/>
    <w:rsid w:val="07A322FF"/>
    <w:rsid w:val="07AB405C"/>
    <w:rsid w:val="07AC2B56"/>
    <w:rsid w:val="07AC4B4A"/>
    <w:rsid w:val="07AE4AEA"/>
    <w:rsid w:val="07B67872"/>
    <w:rsid w:val="07B90CB8"/>
    <w:rsid w:val="07BA3CB6"/>
    <w:rsid w:val="07BC60B3"/>
    <w:rsid w:val="07BD4AFA"/>
    <w:rsid w:val="07C531B9"/>
    <w:rsid w:val="07CE6099"/>
    <w:rsid w:val="07D04AFD"/>
    <w:rsid w:val="07D20941"/>
    <w:rsid w:val="07DF2BAA"/>
    <w:rsid w:val="07E42167"/>
    <w:rsid w:val="07E421F5"/>
    <w:rsid w:val="07E436C5"/>
    <w:rsid w:val="07EC5935"/>
    <w:rsid w:val="07FC35D5"/>
    <w:rsid w:val="07FD5D01"/>
    <w:rsid w:val="07FE065A"/>
    <w:rsid w:val="07FE491D"/>
    <w:rsid w:val="07FE66CB"/>
    <w:rsid w:val="07FF70D4"/>
    <w:rsid w:val="08023599"/>
    <w:rsid w:val="08031F33"/>
    <w:rsid w:val="08057A5A"/>
    <w:rsid w:val="08177E0E"/>
    <w:rsid w:val="08224729"/>
    <w:rsid w:val="0822685D"/>
    <w:rsid w:val="082A3964"/>
    <w:rsid w:val="082B7A28"/>
    <w:rsid w:val="082D0D5E"/>
    <w:rsid w:val="0836736F"/>
    <w:rsid w:val="08393BA7"/>
    <w:rsid w:val="084367D4"/>
    <w:rsid w:val="08485B98"/>
    <w:rsid w:val="08491082"/>
    <w:rsid w:val="084A5733"/>
    <w:rsid w:val="084C7436"/>
    <w:rsid w:val="085F46B4"/>
    <w:rsid w:val="086C1887"/>
    <w:rsid w:val="086E23EC"/>
    <w:rsid w:val="086E3851"/>
    <w:rsid w:val="08716E9D"/>
    <w:rsid w:val="087A0447"/>
    <w:rsid w:val="08860018"/>
    <w:rsid w:val="0886648E"/>
    <w:rsid w:val="08872B64"/>
    <w:rsid w:val="088766C0"/>
    <w:rsid w:val="088E13EE"/>
    <w:rsid w:val="088F37C7"/>
    <w:rsid w:val="08924756"/>
    <w:rsid w:val="08927A28"/>
    <w:rsid w:val="08975A73"/>
    <w:rsid w:val="08976A82"/>
    <w:rsid w:val="08993A4E"/>
    <w:rsid w:val="089B216C"/>
    <w:rsid w:val="08AC25CB"/>
    <w:rsid w:val="08AE1E9F"/>
    <w:rsid w:val="08B17BE1"/>
    <w:rsid w:val="08B4633C"/>
    <w:rsid w:val="08B562F5"/>
    <w:rsid w:val="08B97F61"/>
    <w:rsid w:val="08BC2855"/>
    <w:rsid w:val="08BD6586"/>
    <w:rsid w:val="08C1646C"/>
    <w:rsid w:val="08C7739B"/>
    <w:rsid w:val="08D86F1C"/>
    <w:rsid w:val="08DE690B"/>
    <w:rsid w:val="08ED686D"/>
    <w:rsid w:val="08EE0192"/>
    <w:rsid w:val="08EE4992"/>
    <w:rsid w:val="08F33D56"/>
    <w:rsid w:val="08F55D20"/>
    <w:rsid w:val="09061CDB"/>
    <w:rsid w:val="09095327"/>
    <w:rsid w:val="0910671C"/>
    <w:rsid w:val="091270F8"/>
    <w:rsid w:val="091508CA"/>
    <w:rsid w:val="0917056E"/>
    <w:rsid w:val="091E602A"/>
    <w:rsid w:val="092217DD"/>
    <w:rsid w:val="09271EEA"/>
    <w:rsid w:val="09306D58"/>
    <w:rsid w:val="09336848"/>
    <w:rsid w:val="093A7294"/>
    <w:rsid w:val="093E197F"/>
    <w:rsid w:val="093F343F"/>
    <w:rsid w:val="0946032A"/>
    <w:rsid w:val="094E763E"/>
    <w:rsid w:val="09516776"/>
    <w:rsid w:val="0955056D"/>
    <w:rsid w:val="09650D30"/>
    <w:rsid w:val="0974300E"/>
    <w:rsid w:val="09784CC1"/>
    <w:rsid w:val="097B3C16"/>
    <w:rsid w:val="097D7547"/>
    <w:rsid w:val="097F55EA"/>
    <w:rsid w:val="0983157E"/>
    <w:rsid w:val="098350DA"/>
    <w:rsid w:val="0984499B"/>
    <w:rsid w:val="098451E2"/>
    <w:rsid w:val="09862E1C"/>
    <w:rsid w:val="098D18E2"/>
    <w:rsid w:val="09903C9B"/>
    <w:rsid w:val="09971C3C"/>
    <w:rsid w:val="09972933"/>
    <w:rsid w:val="09976F5B"/>
    <w:rsid w:val="099872E7"/>
    <w:rsid w:val="099A01B0"/>
    <w:rsid w:val="09A3752A"/>
    <w:rsid w:val="09A67019"/>
    <w:rsid w:val="09AD19E0"/>
    <w:rsid w:val="09B4439A"/>
    <w:rsid w:val="09BA137D"/>
    <w:rsid w:val="09C2764F"/>
    <w:rsid w:val="09C33728"/>
    <w:rsid w:val="09C347D2"/>
    <w:rsid w:val="09C51AEE"/>
    <w:rsid w:val="09CD45A7"/>
    <w:rsid w:val="09DF0151"/>
    <w:rsid w:val="09DF6712"/>
    <w:rsid w:val="09E37206"/>
    <w:rsid w:val="09EC6316"/>
    <w:rsid w:val="09F00295"/>
    <w:rsid w:val="09F0752D"/>
    <w:rsid w:val="09F10707"/>
    <w:rsid w:val="09F14739"/>
    <w:rsid w:val="09F215F6"/>
    <w:rsid w:val="09F63AFE"/>
    <w:rsid w:val="09F7191B"/>
    <w:rsid w:val="09F73401"/>
    <w:rsid w:val="09F775B4"/>
    <w:rsid w:val="0A0023A1"/>
    <w:rsid w:val="0A0077B9"/>
    <w:rsid w:val="0A0148F0"/>
    <w:rsid w:val="0A032F38"/>
    <w:rsid w:val="0A090190"/>
    <w:rsid w:val="0A0D78C6"/>
    <w:rsid w:val="0A122902"/>
    <w:rsid w:val="0A1246B0"/>
    <w:rsid w:val="0A1B3564"/>
    <w:rsid w:val="0A1C0257"/>
    <w:rsid w:val="0A21224E"/>
    <w:rsid w:val="0A263993"/>
    <w:rsid w:val="0A2A37A7"/>
    <w:rsid w:val="0A2C39C3"/>
    <w:rsid w:val="0A2D3AC2"/>
    <w:rsid w:val="0A2E773B"/>
    <w:rsid w:val="0A301556"/>
    <w:rsid w:val="0A3C1312"/>
    <w:rsid w:val="0A407F4A"/>
    <w:rsid w:val="0A454492"/>
    <w:rsid w:val="0A481E7F"/>
    <w:rsid w:val="0A49242C"/>
    <w:rsid w:val="0A516F86"/>
    <w:rsid w:val="0A5258D9"/>
    <w:rsid w:val="0A5470C9"/>
    <w:rsid w:val="0A6740A8"/>
    <w:rsid w:val="0A6767AA"/>
    <w:rsid w:val="0A7274CC"/>
    <w:rsid w:val="0A784193"/>
    <w:rsid w:val="0A8259B1"/>
    <w:rsid w:val="0A884A60"/>
    <w:rsid w:val="0A886720"/>
    <w:rsid w:val="0A907017"/>
    <w:rsid w:val="0A981335"/>
    <w:rsid w:val="0A9817DB"/>
    <w:rsid w:val="0A984BB5"/>
    <w:rsid w:val="0A9C4C1B"/>
    <w:rsid w:val="0AA33AA0"/>
    <w:rsid w:val="0AA45322"/>
    <w:rsid w:val="0AA55524"/>
    <w:rsid w:val="0AA755DF"/>
    <w:rsid w:val="0AA856C0"/>
    <w:rsid w:val="0ABB1630"/>
    <w:rsid w:val="0ACA6D38"/>
    <w:rsid w:val="0ACC485F"/>
    <w:rsid w:val="0AD169DA"/>
    <w:rsid w:val="0AD772DE"/>
    <w:rsid w:val="0AE24082"/>
    <w:rsid w:val="0AE4604C"/>
    <w:rsid w:val="0AE61DC4"/>
    <w:rsid w:val="0AEE2A27"/>
    <w:rsid w:val="0AF53DB5"/>
    <w:rsid w:val="0AF73FD1"/>
    <w:rsid w:val="0AFA5870"/>
    <w:rsid w:val="0B09160F"/>
    <w:rsid w:val="0B0C10FF"/>
    <w:rsid w:val="0B0E7932"/>
    <w:rsid w:val="0B120D44"/>
    <w:rsid w:val="0B1676E4"/>
    <w:rsid w:val="0B1D330C"/>
    <w:rsid w:val="0B260413"/>
    <w:rsid w:val="0B2E5519"/>
    <w:rsid w:val="0B30290D"/>
    <w:rsid w:val="0B347497"/>
    <w:rsid w:val="0B357B6B"/>
    <w:rsid w:val="0B376726"/>
    <w:rsid w:val="0B3820A2"/>
    <w:rsid w:val="0B3F3282"/>
    <w:rsid w:val="0B41524D"/>
    <w:rsid w:val="0B440899"/>
    <w:rsid w:val="0B444D3D"/>
    <w:rsid w:val="0B492353"/>
    <w:rsid w:val="0B497A74"/>
    <w:rsid w:val="0B4F3EE4"/>
    <w:rsid w:val="0B580CA0"/>
    <w:rsid w:val="0B5A00BC"/>
    <w:rsid w:val="0B5A402C"/>
    <w:rsid w:val="0B5D195B"/>
    <w:rsid w:val="0B5D5CE3"/>
    <w:rsid w:val="0B61144B"/>
    <w:rsid w:val="0B6B3E24"/>
    <w:rsid w:val="0B6C6BC1"/>
    <w:rsid w:val="0B6D4294"/>
    <w:rsid w:val="0B6E3B68"/>
    <w:rsid w:val="0B6F27AF"/>
    <w:rsid w:val="0B736D54"/>
    <w:rsid w:val="0B7F172C"/>
    <w:rsid w:val="0B854B0F"/>
    <w:rsid w:val="0B882E7B"/>
    <w:rsid w:val="0B887641"/>
    <w:rsid w:val="0B892750"/>
    <w:rsid w:val="0B8A42B3"/>
    <w:rsid w:val="0B901D30"/>
    <w:rsid w:val="0B9335CE"/>
    <w:rsid w:val="0B9428A2"/>
    <w:rsid w:val="0B9A2502"/>
    <w:rsid w:val="0BA6715E"/>
    <w:rsid w:val="0BA837F1"/>
    <w:rsid w:val="0BAB0918"/>
    <w:rsid w:val="0BB43C70"/>
    <w:rsid w:val="0BB71B42"/>
    <w:rsid w:val="0BBB4168"/>
    <w:rsid w:val="0BBF24FF"/>
    <w:rsid w:val="0BC65752"/>
    <w:rsid w:val="0BC67500"/>
    <w:rsid w:val="0BC7515D"/>
    <w:rsid w:val="0BC948B1"/>
    <w:rsid w:val="0BCA561A"/>
    <w:rsid w:val="0BD240F7"/>
    <w:rsid w:val="0BD27BF6"/>
    <w:rsid w:val="0BDD5322"/>
    <w:rsid w:val="0BE34248"/>
    <w:rsid w:val="0BE5207C"/>
    <w:rsid w:val="0BE539E8"/>
    <w:rsid w:val="0BF6421D"/>
    <w:rsid w:val="0BF7590B"/>
    <w:rsid w:val="0BF95B27"/>
    <w:rsid w:val="0BFC73C5"/>
    <w:rsid w:val="0BFF537C"/>
    <w:rsid w:val="0C03314E"/>
    <w:rsid w:val="0C0A1AE2"/>
    <w:rsid w:val="0C175FAD"/>
    <w:rsid w:val="0C177116"/>
    <w:rsid w:val="0C1907D5"/>
    <w:rsid w:val="0C194C0B"/>
    <w:rsid w:val="0C1B5C6F"/>
    <w:rsid w:val="0C1E04B1"/>
    <w:rsid w:val="0C210BDA"/>
    <w:rsid w:val="0C24583E"/>
    <w:rsid w:val="0C2562F9"/>
    <w:rsid w:val="0C264F49"/>
    <w:rsid w:val="0C26538B"/>
    <w:rsid w:val="0C30706F"/>
    <w:rsid w:val="0C375EA8"/>
    <w:rsid w:val="0C3974BF"/>
    <w:rsid w:val="0C3B3C7D"/>
    <w:rsid w:val="0C3C492C"/>
    <w:rsid w:val="0C405504"/>
    <w:rsid w:val="0C47331D"/>
    <w:rsid w:val="0C475BCF"/>
    <w:rsid w:val="0C4D5B93"/>
    <w:rsid w:val="0C5A6B62"/>
    <w:rsid w:val="0C5D60B6"/>
    <w:rsid w:val="0C633433"/>
    <w:rsid w:val="0C6F07CA"/>
    <w:rsid w:val="0C707DF8"/>
    <w:rsid w:val="0C750F4B"/>
    <w:rsid w:val="0C752FB1"/>
    <w:rsid w:val="0C7927C4"/>
    <w:rsid w:val="0C796C68"/>
    <w:rsid w:val="0C7A1C57"/>
    <w:rsid w:val="0C7B1859"/>
    <w:rsid w:val="0C7B478E"/>
    <w:rsid w:val="0C7C270A"/>
    <w:rsid w:val="0C7E727A"/>
    <w:rsid w:val="0C807FF6"/>
    <w:rsid w:val="0C833643"/>
    <w:rsid w:val="0C85421C"/>
    <w:rsid w:val="0C871034"/>
    <w:rsid w:val="0C907472"/>
    <w:rsid w:val="0C965124"/>
    <w:rsid w:val="0C9F66CF"/>
    <w:rsid w:val="0CA10AFC"/>
    <w:rsid w:val="0CA32D23"/>
    <w:rsid w:val="0CAB2EAE"/>
    <w:rsid w:val="0CB5460A"/>
    <w:rsid w:val="0CB61638"/>
    <w:rsid w:val="0CB96281"/>
    <w:rsid w:val="0CBD6427"/>
    <w:rsid w:val="0CCB7DB3"/>
    <w:rsid w:val="0CCD7495"/>
    <w:rsid w:val="0CD46235"/>
    <w:rsid w:val="0CDB6FDB"/>
    <w:rsid w:val="0CDC06BB"/>
    <w:rsid w:val="0CDF2F6F"/>
    <w:rsid w:val="0CE328FF"/>
    <w:rsid w:val="0CED10CD"/>
    <w:rsid w:val="0CF26929"/>
    <w:rsid w:val="0CF93D55"/>
    <w:rsid w:val="0D004C93"/>
    <w:rsid w:val="0D0227BA"/>
    <w:rsid w:val="0D0A78C0"/>
    <w:rsid w:val="0D1129FD"/>
    <w:rsid w:val="0D1150F2"/>
    <w:rsid w:val="0D1424ED"/>
    <w:rsid w:val="0D145F83"/>
    <w:rsid w:val="0D1522B7"/>
    <w:rsid w:val="0D1653D3"/>
    <w:rsid w:val="0D1B16BD"/>
    <w:rsid w:val="0D1C0526"/>
    <w:rsid w:val="0D2210AE"/>
    <w:rsid w:val="0D2414F5"/>
    <w:rsid w:val="0D256754"/>
    <w:rsid w:val="0D297801"/>
    <w:rsid w:val="0D2C79FD"/>
    <w:rsid w:val="0D2F1884"/>
    <w:rsid w:val="0D33458A"/>
    <w:rsid w:val="0D3606B5"/>
    <w:rsid w:val="0D3B3F1D"/>
    <w:rsid w:val="0D3D37F2"/>
    <w:rsid w:val="0D431422"/>
    <w:rsid w:val="0D473A32"/>
    <w:rsid w:val="0D4A5F0F"/>
    <w:rsid w:val="0D4B4161"/>
    <w:rsid w:val="0D51729D"/>
    <w:rsid w:val="0D5A25F6"/>
    <w:rsid w:val="0D5B011C"/>
    <w:rsid w:val="0D5E339D"/>
    <w:rsid w:val="0D613984"/>
    <w:rsid w:val="0D6214AA"/>
    <w:rsid w:val="0D621C7D"/>
    <w:rsid w:val="0D624BAF"/>
    <w:rsid w:val="0D6B3773"/>
    <w:rsid w:val="0D755FFE"/>
    <w:rsid w:val="0D7A3989"/>
    <w:rsid w:val="0D7A7EA4"/>
    <w:rsid w:val="0D7B1B27"/>
    <w:rsid w:val="0D7B39BE"/>
    <w:rsid w:val="0D8060B9"/>
    <w:rsid w:val="0D8A61D3"/>
    <w:rsid w:val="0D9172AB"/>
    <w:rsid w:val="0D961154"/>
    <w:rsid w:val="0DA0092E"/>
    <w:rsid w:val="0DA6583B"/>
    <w:rsid w:val="0DB00467"/>
    <w:rsid w:val="0DBA12E6"/>
    <w:rsid w:val="0DBA7538"/>
    <w:rsid w:val="0DC27315"/>
    <w:rsid w:val="0DC65EBE"/>
    <w:rsid w:val="0DC65EDD"/>
    <w:rsid w:val="0DCB34F3"/>
    <w:rsid w:val="0DCF4D92"/>
    <w:rsid w:val="0DD24882"/>
    <w:rsid w:val="0DD759F4"/>
    <w:rsid w:val="0DD8176C"/>
    <w:rsid w:val="0DDE6877"/>
    <w:rsid w:val="0DE2767D"/>
    <w:rsid w:val="0DE900B9"/>
    <w:rsid w:val="0DED346A"/>
    <w:rsid w:val="0DF5231E"/>
    <w:rsid w:val="0DF5338E"/>
    <w:rsid w:val="0DFD4F28"/>
    <w:rsid w:val="0E0019BA"/>
    <w:rsid w:val="0E0367E9"/>
    <w:rsid w:val="0E0C69F8"/>
    <w:rsid w:val="0E0E371C"/>
    <w:rsid w:val="0E0F3672"/>
    <w:rsid w:val="0E115619"/>
    <w:rsid w:val="0E1327A4"/>
    <w:rsid w:val="0E1529C0"/>
    <w:rsid w:val="0E1B7FD7"/>
    <w:rsid w:val="0E26072A"/>
    <w:rsid w:val="0E303DCA"/>
    <w:rsid w:val="0E356BBF"/>
    <w:rsid w:val="0E3746E5"/>
    <w:rsid w:val="0E39295C"/>
    <w:rsid w:val="0E3F5557"/>
    <w:rsid w:val="0E4669CF"/>
    <w:rsid w:val="0E4A3AEE"/>
    <w:rsid w:val="0E4B34AC"/>
    <w:rsid w:val="0E4C2056"/>
    <w:rsid w:val="0E507888"/>
    <w:rsid w:val="0E5E6115"/>
    <w:rsid w:val="0E654F27"/>
    <w:rsid w:val="0E666D78"/>
    <w:rsid w:val="0E673D73"/>
    <w:rsid w:val="0E6D762C"/>
    <w:rsid w:val="0E73034D"/>
    <w:rsid w:val="0E7771D7"/>
    <w:rsid w:val="0E793B97"/>
    <w:rsid w:val="0E7C2DCE"/>
    <w:rsid w:val="0E83018A"/>
    <w:rsid w:val="0E96765D"/>
    <w:rsid w:val="0E99714E"/>
    <w:rsid w:val="0E9D2B11"/>
    <w:rsid w:val="0E9D6C3E"/>
    <w:rsid w:val="0EA0228A"/>
    <w:rsid w:val="0EA33EF7"/>
    <w:rsid w:val="0EA74990"/>
    <w:rsid w:val="0EAA05FC"/>
    <w:rsid w:val="0EAB6D84"/>
    <w:rsid w:val="0EB67D00"/>
    <w:rsid w:val="0EB77E38"/>
    <w:rsid w:val="0EB9334C"/>
    <w:rsid w:val="0EC07097"/>
    <w:rsid w:val="0ECC2D59"/>
    <w:rsid w:val="0ED1069F"/>
    <w:rsid w:val="0ED10E76"/>
    <w:rsid w:val="0ED75FF3"/>
    <w:rsid w:val="0ED76E18"/>
    <w:rsid w:val="0ED92472"/>
    <w:rsid w:val="0EDB32C2"/>
    <w:rsid w:val="0EDD346A"/>
    <w:rsid w:val="0EDE591C"/>
    <w:rsid w:val="0EE228A3"/>
    <w:rsid w:val="0EE25041"/>
    <w:rsid w:val="0EE51585"/>
    <w:rsid w:val="0EE52393"/>
    <w:rsid w:val="0EE654DD"/>
    <w:rsid w:val="0EE71826"/>
    <w:rsid w:val="0EEA5BFB"/>
    <w:rsid w:val="0EF41053"/>
    <w:rsid w:val="0EF460F9"/>
    <w:rsid w:val="0EF600FC"/>
    <w:rsid w:val="0EF80318"/>
    <w:rsid w:val="0EF86860"/>
    <w:rsid w:val="0EFE0513"/>
    <w:rsid w:val="0EFE6510"/>
    <w:rsid w:val="0F0547E3"/>
    <w:rsid w:val="0F0942D3"/>
    <w:rsid w:val="0F0A1DF9"/>
    <w:rsid w:val="0F0A4F36"/>
    <w:rsid w:val="0F0C3DC3"/>
    <w:rsid w:val="0F0E604F"/>
    <w:rsid w:val="0F13775A"/>
    <w:rsid w:val="0F1D21B0"/>
    <w:rsid w:val="0F1D38DB"/>
    <w:rsid w:val="0F2509E1"/>
    <w:rsid w:val="0F2E5AE8"/>
    <w:rsid w:val="0F3763CB"/>
    <w:rsid w:val="0F3A2647"/>
    <w:rsid w:val="0F3D21CF"/>
    <w:rsid w:val="0F4027BC"/>
    <w:rsid w:val="0F40581B"/>
    <w:rsid w:val="0F410892"/>
    <w:rsid w:val="0F4D4849"/>
    <w:rsid w:val="0F504D75"/>
    <w:rsid w:val="0F56503F"/>
    <w:rsid w:val="0F580DB7"/>
    <w:rsid w:val="0F5F45FE"/>
    <w:rsid w:val="0F5F7650"/>
    <w:rsid w:val="0F6045F2"/>
    <w:rsid w:val="0F6459AD"/>
    <w:rsid w:val="0F696B20"/>
    <w:rsid w:val="0F6B6D3C"/>
    <w:rsid w:val="0F6E05DA"/>
    <w:rsid w:val="0F706100"/>
    <w:rsid w:val="0F753EFF"/>
    <w:rsid w:val="0F786D63"/>
    <w:rsid w:val="0F803E6A"/>
    <w:rsid w:val="0F843812"/>
    <w:rsid w:val="0F87344A"/>
    <w:rsid w:val="0F8A3E81"/>
    <w:rsid w:val="0F917E25"/>
    <w:rsid w:val="0F924F7F"/>
    <w:rsid w:val="0F9470FA"/>
    <w:rsid w:val="0F9638D0"/>
    <w:rsid w:val="0F97684E"/>
    <w:rsid w:val="0F9A112B"/>
    <w:rsid w:val="0FA364D6"/>
    <w:rsid w:val="0FAB538A"/>
    <w:rsid w:val="0FAF0CB0"/>
    <w:rsid w:val="0FB51D65"/>
    <w:rsid w:val="0FBE2C88"/>
    <w:rsid w:val="0FBF4992"/>
    <w:rsid w:val="0FC05FDF"/>
    <w:rsid w:val="0FC65D20"/>
    <w:rsid w:val="0FC91CB4"/>
    <w:rsid w:val="0FC93A62"/>
    <w:rsid w:val="0FCD3553"/>
    <w:rsid w:val="0FD07339"/>
    <w:rsid w:val="0FD146C5"/>
    <w:rsid w:val="0FDA5C70"/>
    <w:rsid w:val="0FDD51C2"/>
    <w:rsid w:val="0FEB39D9"/>
    <w:rsid w:val="0FF60BFB"/>
    <w:rsid w:val="0FF91F75"/>
    <w:rsid w:val="0FFC0386"/>
    <w:rsid w:val="0FFC1742"/>
    <w:rsid w:val="100625C1"/>
    <w:rsid w:val="1013011B"/>
    <w:rsid w:val="101F18D4"/>
    <w:rsid w:val="10214329"/>
    <w:rsid w:val="10234F21"/>
    <w:rsid w:val="102A03A0"/>
    <w:rsid w:val="102E2AE3"/>
    <w:rsid w:val="10421006"/>
    <w:rsid w:val="10432474"/>
    <w:rsid w:val="10477DE2"/>
    <w:rsid w:val="10484987"/>
    <w:rsid w:val="10525806"/>
    <w:rsid w:val="1057025C"/>
    <w:rsid w:val="10586CA8"/>
    <w:rsid w:val="106169ED"/>
    <w:rsid w:val="1066305F"/>
    <w:rsid w:val="10667503"/>
    <w:rsid w:val="106B4B1A"/>
    <w:rsid w:val="106D2F64"/>
    <w:rsid w:val="10702130"/>
    <w:rsid w:val="10725EEA"/>
    <w:rsid w:val="10727C56"/>
    <w:rsid w:val="107647A0"/>
    <w:rsid w:val="10835914"/>
    <w:rsid w:val="108B6001"/>
    <w:rsid w:val="108C1CE2"/>
    <w:rsid w:val="108C615E"/>
    <w:rsid w:val="108F6F4D"/>
    <w:rsid w:val="10976D85"/>
    <w:rsid w:val="109B089C"/>
    <w:rsid w:val="10A36062"/>
    <w:rsid w:val="10AA73F0"/>
    <w:rsid w:val="10B224C7"/>
    <w:rsid w:val="10B36533"/>
    <w:rsid w:val="10B62239"/>
    <w:rsid w:val="10B62EE4"/>
    <w:rsid w:val="10B63710"/>
    <w:rsid w:val="10B63FE7"/>
    <w:rsid w:val="10B65D95"/>
    <w:rsid w:val="10C078BD"/>
    <w:rsid w:val="10C217ED"/>
    <w:rsid w:val="10C336E4"/>
    <w:rsid w:val="10C34956"/>
    <w:rsid w:val="10C85AC8"/>
    <w:rsid w:val="10CD7582"/>
    <w:rsid w:val="10CF790B"/>
    <w:rsid w:val="10D43D2C"/>
    <w:rsid w:val="10D62C4F"/>
    <w:rsid w:val="10D80401"/>
    <w:rsid w:val="10D872D0"/>
    <w:rsid w:val="10DB5880"/>
    <w:rsid w:val="10E10521"/>
    <w:rsid w:val="10E13D97"/>
    <w:rsid w:val="10F10820"/>
    <w:rsid w:val="10F13271"/>
    <w:rsid w:val="10F26EA5"/>
    <w:rsid w:val="10F90377"/>
    <w:rsid w:val="10F95750"/>
    <w:rsid w:val="10FC5772"/>
    <w:rsid w:val="10FD1F0A"/>
    <w:rsid w:val="11016E0F"/>
    <w:rsid w:val="110472BA"/>
    <w:rsid w:val="11065765"/>
    <w:rsid w:val="110F2985"/>
    <w:rsid w:val="110F6D61"/>
    <w:rsid w:val="111927C8"/>
    <w:rsid w:val="111C2F7A"/>
    <w:rsid w:val="112847B9"/>
    <w:rsid w:val="112C6B8F"/>
    <w:rsid w:val="112C7AF5"/>
    <w:rsid w:val="112C7CAB"/>
    <w:rsid w:val="1133021E"/>
    <w:rsid w:val="11337C03"/>
    <w:rsid w:val="11351DE6"/>
    <w:rsid w:val="1139527B"/>
    <w:rsid w:val="113C4CD1"/>
    <w:rsid w:val="113D2012"/>
    <w:rsid w:val="113D6807"/>
    <w:rsid w:val="113F5854"/>
    <w:rsid w:val="114026B7"/>
    <w:rsid w:val="11405448"/>
    <w:rsid w:val="11407FD1"/>
    <w:rsid w:val="11486486"/>
    <w:rsid w:val="11497CF6"/>
    <w:rsid w:val="114B3686"/>
    <w:rsid w:val="114C04A7"/>
    <w:rsid w:val="11506D23"/>
    <w:rsid w:val="115074B9"/>
    <w:rsid w:val="11551A52"/>
    <w:rsid w:val="115B693C"/>
    <w:rsid w:val="115E1DEE"/>
    <w:rsid w:val="116432A2"/>
    <w:rsid w:val="11643A43"/>
    <w:rsid w:val="11665CA1"/>
    <w:rsid w:val="116D479C"/>
    <w:rsid w:val="116E4122"/>
    <w:rsid w:val="1172671C"/>
    <w:rsid w:val="1176761B"/>
    <w:rsid w:val="11801A2F"/>
    <w:rsid w:val="118045F5"/>
    <w:rsid w:val="11895257"/>
    <w:rsid w:val="118C21B4"/>
    <w:rsid w:val="118E6D12"/>
    <w:rsid w:val="11912563"/>
    <w:rsid w:val="11940F05"/>
    <w:rsid w:val="11951E4E"/>
    <w:rsid w:val="119610D6"/>
    <w:rsid w:val="11973C1D"/>
    <w:rsid w:val="119F4A7B"/>
    <w:rsid w:val="11AB1672"/>
    <w:rsid w:val="11AD072E"/>
    <w:rsid w:val="11AE4CBE"/>
    <w:rsid w:val="11B524F0"/>
    <w:rsid w:val="11B9125B"/>
    <w:rsid w:val="11BA3663"/>
    <w:rsid w:val="11BD1AE3"/>
    <w:rsid w:val="11BF336F"/>
    <w:rsid w:val="11C1549D"/>
    <w:rsid w:val="11C27375"/>
    <w:rsid w:val="11C30D95"/>
    <w:rsid w:val="11C66D88"/>
    <w:rsid w:val="11CD727D"/>
    <w:rsid w:val="11D50FAE"/>
    <w:rsid w:val="11D612CB"/>
    <w:rsid w:val="11D81D3B"/>
    <w:rsid w:val="11D84431"/>
    <w:rsid w:val="11E06E41"/>
    <w:rsid w:val="11E32BE3"/>
    <w:rsid w:val="11E37E0A"/>
    <w:rsid w:val="11E7673F"/>
    <w:rsid w:val="11EC3A38"/>
    <w:rsid w:val="12025774"/>
    <w:rsid w:val="120312C4"/>
    <w:rsid w:val="12042B30"/>
    <w:rsid w:val="12071881"/>
    <w:rsid w:val="120B496E"/>
    <w:rsid w:val="120C4D1D"/>
    <w:rsid w:val="121277D8"/>
    <w:rsid w:val="12166C60"/>
    <w:rsid w:val="12173DEA"/>
    <w:rsid w:val="122371C4"/>
    <w:rsid w:val="12260B76"/>
    <w:rsid w:val="12367933"/>
    <w:rsid w:val="124037F5"/>
    <w:rsid w:val="12415B32"/>
    <w:rsid w:val="12423479"/>
    <w:rsid w:val="124B4C03"/>
    <w:rsid w:val="124F64A1"/>
    <w:rsid w:val="12502B3B"/>
    <w:rsid w:val="12584CB9"/>
    <w:rsid w:val="125D0492"/>
    <w:rsid w:val="125D2D63"/>
    <w:rsid w:val="126857B5"/>
    <w:rsid w:val="126B2BAF"/>
    <w:rsid w:val="127001C5"/>
    <w:rsid w:val="127203E1"/>
    <w:rsid w:val="12791770"/>
    <w:rsid w:val="12812F7B"/>
    <w:rsid w:val="1283614B"/>
    <w:rsid w:val="12847522"/>
    <w:rsid w:val="128B3915"/>
    <w:rsid w:val="128C1201"/>
    <w:rsid w:val="128E14A8"/>
    <w:rsid w:val="128E2FDB"/>
    <w:rsid w:val="12916AA6"/>
    <w:rsid w:val="129C545E"/>
    <w:rsid w:val="129E7212"/>
    <w:rsid w:val="12A8795F"/>
    <w:rsid w:val="12B37A9B"/>
    <w:rsid w:val="12B71B99"/>
    <w:rsid w:val="12C0286C"/>
    <w:rsid w:val="12C16C73"/>
    <w:rsid w:val="12C241E1"/>
    <w:rsid w:val="12D57132"/>
    <w:rsid w:val="12DC585B"/>
    <w:rsid w:val="12E04FE4"/>
    <w:rsid w:val="12F232D0"/>
    <w:rsid w:val="12F30695"/>
    <w:rsid w:val="12F4756B"/>
    <w:rsid w:val="12FB6FCB"/>
    <w:rsid w:val="12FC5EFD"/>
    <w:rsid w:val="130649E5"/>
    <w:rsid w:val="130725B8"/>
    <w:rsid w:val="13091A27"/>
    <w:rsid w:val="130A686C"/>
    <w:rsid w:val="130D57ED"/>
    <w:rsid w:val="131256EE"/>
    <w:rsid w:val="13147D53"/>
    <w:rsid w:val="1319085D"/>
    <w:rsid w:val="131B58EC"/>
    <w:rsid w:val="13250612"/>
    <w:rsid w:val="13252B32"/>
    <w:rsid w:val="13263708"/>
    <w:rsid w:val="132C233E"/>
    <w:rsid w:val="13337B71"/>
    <w:rsid w:val="133E106E"/>
    <w:rsid w:val="134168FD"/>
    <w:rsid w:val="134A4EBA"/>
    <w:rsid w:val="134B3EA6"/>
    <w:rsid w:val="134C0C32"/>
    <w:rsid w:val="134F24D1"/>
    <w:rsid w:val="13516249"/>
    <w:rsid w:val="13566748"/>
    <w:rsid w:val="13596E11"/>
    <w:rsid w:val="136476FE"/>
    <w:rsid w:val="136F4C00"/>
    <w:rsid w:val="13710699"/>
    <w:rsid w:val="137633A8"/>
    <w:rsid w:val="13841D40"/>
    <w:rsid w:val="13875453"/>
    <w:rsid w:val="13884F5B"/>
    <w:rsid w:val="138C102F"/>
    <w:rsid w:val="139300F1"/>
    <w:rsid w:val="13951726"/>
    <w:rsid w:val="139630E6"/>
    <w:rsid w:val="139B74C4"/>
    <w:rsid w:val="13A51DF8"/>
    <w:rsid w:val="13A66473"/>
    <w:rsid w:val="13A90FB1"/>
    <w:rsid w:val="13A97E33"/>
    <w:rsid w:val="13AA53E8"/>
    <w:rsid w:val="13AD2810"/>
    <w:rsid w:val="13B6042B"/>
    <w:rsid w:val="13B8757C"/>
    <w:rsid w:val="13BD7245"/>
    <w:rsid w:val="13C35E4E"/>
    <w:rsid w:val="13DA207F"/>
    <w:rsid w:val="13DA623E"/>
    <w:rsid w:val="13DA7FEC"/>
    <w:rsid w:val="13DE5507"/>
    <w:rsid w:val="13E1581F"/>
    <w:rsid w:val="13E16790"/>
    <w:rsid w:val="13E42C19"/>
    <w:rsid w:val="13E548CB"/>
    <w:rsid w:val="13E9022F"/>
    <w:rsid w:val="13ED1715"/>
    <w:rsid w:val="13EE5846"/>
    <w:rsid w:val="13EE708C"/>
    <w:rsid w:val="13F366E5"/>
    <w:rsid w:val="13F72D89"/>
    <w:rsid w:val="13F85EAD"/>
    <w:rsid w:val="13FA068E"/>
    <w:rsid w:val="13FA0EB0"/>
    <w:rsid w:val="13FD09D7"/>
    <w:rsid w:val="140831E2"/>
    <w:rsid w:val="140F69EF"/>
    <w:rsid w:val="141334FE"/>
    <w:rsid w:val="14137D1C"/>
    <w:rsid w:val="141E7449"/>
    <w:rsid w:val="141F4656"/>
    <w:rsid w:val="142474B9"/>
    <w:rsid w:val="14257900"/>
    <w:rsid w:val="142E37AA"/>
    <w:rsid w:val="14305E5E"/>
    <w:rsid w:val="14356565"/>
    <w:rsid w:val="14396509"/>
    <w:rsid w:val="143B6AC6"/>
    <w:rsid w:val="143C0390"/>
    <w:rsid w:val="143D057B"/>
    <w:rsid w:val="1441006B"/>
    <w:rsid w:val="14496F20"/>
    <w:rsid w:val="144B3CAB"/>
    <w:rsid w:val="144E2788"/>
    <w:rsid w:val="145204CA"/>
    <w:rsid w:val="14531B4D"/>
    <w:rsid w:val="145C2705"/>
    <w:rsid w:val="14634486"/>
    <w:rsid w:val="14673E8A"/>
    <w:rsid w:val="1468329B"/>
    <w:rsid w:val="146F280C"/>
    <w:rsid w:val="147F2942"/>
    <w:rsid w:val="14814211"/>
    <w:rsid w:val="14904B4F"/>
    <w:rsid w:val="149363ED"/>
    <w:rsid w:val="14991C55"/>
    <w:rsid w:val="149E1A09"/>
    <w:rsid w:val="149E53A8"/>
    <w:rsid w:val="149E726C"/>
    <w:rsid w:val="14A779A2"/>
    <w:rsid w:val="14AB6958"/>
    <w:rsid w:val="14AC691B"/>
    <w:rsid w:val="14AE207C"/>
    <w:rsid w:val="14B60A59"/>
    <w:rsid w:val="14BA1BCC"/>
    <w:rsid w:val="14BB3567"/>
    <w:rsid w:val="14C276A9"/>
    <w:rsid w:val="14C50E0E"/>
    <w:rsid w:val="14C52A4A"/>
    <w:rsid w:val="14DD2C3C"/>
    <w:rsid w:val="14DF1632"/>
    <w:rsid w:val="14E60C13"/>
    <w:rsid w:val="14E86F37"/>
    <w:rsid w:val="14ED1FA1"/>
    <w:rsid w:val="14F96B98"/>
    <w:rsid w:val="14FE7D0A"/>
    <w:rsid w:val="150317C5"/>
    <w:rsid w:val="15062A62"/>
    <w:rsid w:val="150A5D36"/>
    <w:rsid w:val="150D1602"/>
    <w:rsid w:val="150F3CC6"/>
    <w:rsid w:val="15104ED0"/>
    <w:rsid w:val="1514752E"/>
    <w:rsid w:val="151632A6"/>
    <w:rsid w:val="151C1D06"/>
    <w:rsid w:val="152010FA"/>
    <w:rsid w:val="15211C2B"/>
    <w:rsid w:val="15225EAA"/>
    <w:rsid w:val="15273705"/>
    <w:rsid w:val="15273F9C"/>
    <w:rsid w:val="15280A08"/>
    <w:rsid w:val="152B494E"/>
    <w:rsid w:val="152C0D1B"/>
    <w:rsid w:val="152D21D3"/>
    <w:rsid w:val="1536685F"/>
    <w:rsid w:val="153800CF"/>
    <w:rsid w:val="1539337C"/>
    <w:rsid w:val="154047C7"/>
    <w:rsid w:val="1540687E"/>
    <w:rsid w:val="154F4A0A"/>
    <w:rsid w:val="15542020"/>
    <w:rsid w:val="155B515D"/>
    <w:rsid w:val="155D0ED5"/>
    <w:rsid w:val="155D7127"/>
    <w:rsid w:val="156009C5"/>
    <w:rsid w:val="15604521"/>
    <w:rsid w:val="15610299"/>
    <w:rsid w:val="1568787A"/>
    <w:rsid w:val="1569600E"/>
    <w:rsid w:val="156B2D54"/>
    <w:rsid w:val="156C0FD0"/>
    <w:rsid w:val="1571358E"/>
    <w:rsid w:val="157C0F10"/>
    <w:rsid w:val="157F5AE9"/>
    <w:rsid w:val="15875F52"/>
    <w:rsid w:val="158B1366"/>
    <w:rsid w:val="158C17BA"/>
    <w:rsid w:val="15933FC9"/>
    <w:rsid w:val="15945BD8"/>
    <w:rsid w:val="15A46B04"/>
    <w:rsid w:val="15A765F4"/>
    <w:rsid w:val="15AE34DE"/>
    <w:rsid w:val="15AE7982"/>
    <w:rsid w:val="15AF7257"/>
    <w:rsid w:val="15B27C83"/>
    <w:rsid w:val="15B4298A"/>
    <w:rsid w:val="15C076B6"/>
    <w:rsid w:val="15C2342E"/>
    <w:rsid w:val="15C86F27"/>
    <w:rsid w:val="15C90318"/>
    <w:rsid w:val="15C965B4"/>
    <w:rsid w:val="15D23CCD"/>
    <w:rsid w:val="15D47330"/>
    <w:rsid w:val="15D6261D"/>
    <w:rsid w:val="15E16159"/>
    <w:rsid w:val="15E44D75"/>
    <w:rsid w:val="15E52C78"/>
    <w:rsid w:val="15E55653"/>
    <w:rsid w:val="15EA5BD2"/>
    <w:rsid w:val="15ED4C0D"/>
    <w:rsid w:val="15F1161D"/>
    <w:rsid w:val="15F31284"/>
    <w:rsid w:val="15F8662E"/>
    <w:rsid w:val="15FD4107"/>
    <w:rsid w:val="15FE1933"/>
    <w:rsid w:val="1602382A"/>
    <w:rsid w:val="16087E1D"/>
    <w:rsid w:val="160F5030"/>
    <w:rsid w:val="16100520"/>
    <w:rsid w:val="16104199"/>
    <w:rsid w:val="161720CF"/>
    <w:rsid w:val="16193209"/>
    <w:rsid w:val="161A7D77"/>
    <w:rsid w:val="16221331"/>
    <w:rsid w:val="16226BBD"/>
    <w:rsid w:val="162639BD"/>
    <w:rsid w:val="162714E3"/>
    <w:rsid w:val="164215E6"/>
    <w:rsid w:val="164C0F14"/>
    <w:rsid w:val="16525639"/>
    <w:rsid w:val="16552777"/>
    <w:rsid w:val="165D6CB3"/>
    <w:rsid w:val="16671013"/>
    <w:rsid w:val="167214D2"/>
    <w:rsid w:val="167A2A3F"/>
    <w:rsid w:val="167A7865"/>
    <w:rsid w:val="167E337C"/>
    <w:rsid w:val="167E6D9E"/>
    <w:rsid w:val="167F12F4"/>
    <w:rsid w:val="16824E45"/>
    <w:rsid w:val="16870995"/>
    <w:rsid w:val="168801D3"/>
    <w:rsid w:val="168C6CAB"/>
    <w:rsid w:val="169067A1"/>
    <w:rsid w:val="169104A3"/>
    <w:rsid w:val="16930926"/>
    <w:rsid w:val="169E17A5"/>
    <w:rsid w:val="16A17133"/>
    <w:rsid w:val="16A239F0"/>
    <w:rsid w:val="16A65C05"/>
    <w:rsid w:val="16A947D3"/>
    <w:rsid w:val="16A95FB0"/>
    <w:rsid w:val="16A97EE1"/>
    <w:rsid w:val="16AA3D7D"/>
    <w:rsid w:val="16AA5385"/>
    <w:rsid w:val="16AB2114"/>
    <w:rsid w:val="16B0772A"/>
    <w:rsid w:val="16B311A4"/>
    <w:rsid w:val="16B8519F"/>
    <w:rsid w:val="16BC3FE0"/>
    <w:rsid w:val="16BE6656"/>
    <w:rsid w:val="16C7125F"/>
    <w:rsid w:val="16C848EF"/>
    <w:rsid w:val="16CA07EC"/>
    <w:rsid w:val="16CA259A"/>
    <w:rsid w:val="16CC200A"/>
    <w:rsid w:val="16D37283"/>
    <w:rsid w:val="16D52CED"/>
    <w:rsid w:val="16DF7733"/>
    <w:rsid w:val="16E01DBD"/>
    <w:rsid w:val="16E77551"/>
    <w:rsid w:val="16EA0415"/>
    <w:rsid w:val="17041A51"/>
    <w:rsid w:val="17050E64"/>
    <w:rsid w:val="1706559C"/>
    <w:rsid w:val="170961D4"/>
    <w:rsid w:val="170A508C"/>
    <w:rsid w:val="171001C9"/>
    <w:rsid w:val="17123F41"/>
    <w:rsid w:val="17141A67"/>
    <w:rsid w:val="171D6F79"/>
    <w:rsid w:val="172311CA"/>
    <w:rsid w:val="1728765F"/>
    <w:rsid w:val="172E1F8A"/>
    <w:rsid w:val="173079FD"/>
    <w:rsid w:val="173C10D1"/>
    <w:rsid w:val="173D7ECA"/>
    <w:rsid w:val="17430B04"/>
    <w:rsid w:val="174312CB"/>
    <w:rsid w:val="17444901"/>
    <w:rsid w:val="174E0C78"/>
    <w:rsid w:val="174F1B03"/>
    <w:rsid w:val="1753361B"/>
    <w:rsid w:val="17540E4C"/>
    <w:rsid w:val="17556BAC"/>
    <w:rsid w:val="176302F9"/>
    <w:rsid w:val="1767428D"/>
    <w:rsid w:val="176C34D8"/>
    <w:rsid w:val="17701D14"/>
    <w:rsid w:val="1773037A"/>
    <w:rsid w:val="17735226"/>
    <w:rsid w:val="1773582D"/>
    <w:rsid w:val="17740758"/>
    <w:rsid w:val="17763DC2"/>
    <w:rsid w:val="1779567C"/>
    <w:rsid w:val="177B5642"/>
    <w:rsid w:val="178065ED"/>
    <w:rsid w:val="17813E0E"/>
    <w:rsid w:val="17817AC7"/>
    <w:rsid w:val="17860A7E"/>
    <w:rsid w:val="1787048B"/>
    <w:rsid w:val="178C784F"/>
    <w:rsid w:val="17914E66"/>
    <w:rsid w:val="179928AA"/>
    <w:rsid w:val="179E26DB"/>
    <w:rsid w:val="17A032FB"/>
    <w:rsid w:val="17A10E21"/>
    <w:rsid w:val="17A821AF"/>
    <w:rsid w:val="17AB51FB"/>
    <w:rsid w:val="17AE3CDD"/>
    <w:rsid w:val="17B1375A"/>
    <w:rsid w:val="17B7090E"/>
    <w:rsid w:val="17B76721"/>
    <w:rsid w:val="17BD027B"/>
    <w:rsid w:val="17C90AA4"/>
    <w:rsid w:val="17CB2112"/>
    <w:rsid w:val="17CC6F89"/>
    <w:rsid w:val="17CE4184"/>
    <w:rsid w:val="17D564E4"/>
    <w:rsid w:val="17D734C7"/>
    <w:rsid w:val="17D75D7F"/>
    <w:rsid w:val="17D86F39"/>
    <w:rsid w:val="17DB2585"/>
    <w:rsid w:val="17DD454F"/>
    <w:rsid w:val="17E30D6D"/>
    <w:rsid w:val="17E86A50"/>
    <w:rsid w:val="17E94CA2"/>
    <w:rsid w:val="17EB07C7"/>
    <w:rsid w:val="17EB6C6C"/>
    <w:rsid w:val="17ED7AA9"/>
    <w:rsid w:val="17EE78BD"/>
    <w:rsid w:val="17F1593F"/>
    <w:rsid w:val="17F17FFA"/>
    <w:rsid w:val="18027B12"/>
    <w:rsid w:val="18027D54"/>
    <w:rsid w:val="180D4CD7"/>
    <w:rsid w:val="180E6F53"/>
    <w:rsid w:val="180F222F"/>
    <w:rsid w:val="1812011E"/>
    <w:rsid w:val="18136C2D"/>
    <w:rsid w:val="18147845"/>
    <w:rsid w:val="18185587"/>
    <w:rsid w:val="181F0AA9"/>
    <w:rsid w:val="18216A70"/>
    <w:rsid w:val="18250A27"/>
    <w:rsid w:val="18306AB5"/>
    <w:rsid w:val="183F0D66"/>
    <w:rsid w:val="18421907"/>
    <w:rsid w:val="18422604"/>
    <w:rsid w:val="18455C50"/>
    <w:rsid w:val="18475E6C"/>
    <w:rsid w:val="185D11EC"/>
    <w:rsid w:val="18624A54"/>
    <w:rsid w:val="186A0E96"/>
    <w:rsid w:val="18732EE3"/>
    <w:rsid w:val="187C3D68"/>
    <w:rsid w:val="18856728"/>
    <w:rsid w:val="188622FA"/>
    <w:rsid w:val="1887378A"/>
    <w:rsid w:val="188B7B07"/>
    <w:rsid w:val="188C3A80"/>
    <w:rsid w:val="188C7154"/>
    <w:rsid w:val="189440E7"/>
    <w:rsid w:val="189A30ED"/>
    <w:rsid w:val="189F624C"/>
    <w:rsid w:val="18A1557C"/>
    <w:rsid w:val="18AD3F21"/>
    <w:rsid w:val="18AD58E7"/>
    <w:rsid w:val="18B2778A"/>
    <w:rsid w:val="18B40068"/>
    <w:rsid w:val="18B43325"/>
    <w:rsid w:val="18BC1226"/>
    <w:rsid w:val="18C3272C"/>
    <w:rsid w:val="18C80D5B"/>
    <w:rsid w:val="18C96E4C"/>
    <w:rsid w:val="18CD45C3"/>
    <w:rsid w:val="18D07816"/>
    <w:rsid w:val="18D27471"/>
    <w:rsid w:val="18D45952"/>
    <w:rsid w:val="18D63751"/>
    <w:rsid w:val="18D771F0"/>
    <w:rsid w:val="18E454B9"/>
    <w:rsid w:val="18E757E1"/>
    <w:rsid w:val="18E91412"/>
    <w:rsid w:val="18F356AC"/>
    <w:rsid w:val="18F45BA2"/>
    <w:rsid w:val="18F470D3"/>
    <w:rsid w:val="18F720F3"/>
    <w:rsid w:val="18FA1BDE"/>
    <w:rsid w:val="18FE3C0F"/>
    <w:rsid w:val="18FE6837"/>
    <w:rsid w:val="18FF4051"/>
    <w:rsid w:val="19006747"/>
    <w:rsid w:val="190E2D74"/>
    <w:rsid w:val="190F158D"/>
    <w:rsid w:val="191061F1"/>
    <w:rsid w:val="19140BA8"/>
    <w:rsid w:val="19155A3E"/>
    <w:rsid w:val="19175E02"/>
    <w:rsid w:val="191E2F8B"/>
    <w:rsid w:val="19212BB3"/>
    <w:rsid w:val="192252A0"/>
    <w:rsid w:val="192F4E41"/>
    <w:rsid w:val="19306658"/>
    <w:rsid w:val="1932246C"/>
    <w:rsid w:val="19334B3D"/>
    <w:rsid w:val="1934019F"/>
    <w:rsid w:val="19352849"/>
    <w:rsid w:val="193622D8"/>
    <w:rsid w:val="193B39B3"/>
    <w:rsid w:val="193B6B04"/>
    <w:rsid w:val="193C1CDB"/>
    <w:rsid w:val="19432476"/>
    <w:rsid w:val="19457133"/>
    <w:rsid w:val="194B4C86"/>
    <w:rsid w:val="195070AB"/>
    <w:rsid w:val="19526C77"/>
    <w:rsid w:val="19545BF2"/>
    <w:rsid w:val="195645B9"/>
    <w:rsid w:val="19573E8D"/>
    <w:rsid w:val="195846A8"/>
    <w:rsid w:val="195A572B"/>
    <w:rsid w:val="19616685"/>
    <w:rsid w:val="19622F5E"/>
    <w:rsid w:val="19762565"/>
    <w:rsid w:val="1977008B"/>
    <w:rsid w:val="1977321F"/>
    <w:rsid w:val="197D38E3"/>
    <w:rsid w:val="19802744"/>
    <w:rsid w:val="19814DA7"/>
    <w:rsid w:val="198937BC"/>
    <w:rsid w:val="198B6D5B"/>
    <w:rsid w:val="198D3D53"/>
    <w:rsid w:val="198F49A9"/>
    <w:rsid w:val="19930790"/>
    <w:rsid w:val="199332F6"/>
    <w:rsid w:val="199926F8"/>
    <w:rsid w:val="19A90B8D"/>
    <w:rsid w:val="19A93778"/>
    <w:rsid w:val="19AC1C8E"/>
    <w:rsid w:val="19AC5F87"/>
    <w:rsid w:val="19AF7825"/>
    <w:rsid w:val="19B24CE4"/>
    <w:rsid w:val="19B46E78"/>
    <w:rsid w:val="19BE3F0C"/>
    <w:rsid w:val="19CB7118"/>
    <w:rsid w:val="19CF6119"/>
    <w:rsid w:val="19CF6B1C"/>
    <w:rsid w:val="19D12263"/>
    <w:rsid w:val="19D63004"/>
    <w:rsid w:val="19D76D7C"/>
    <w:rsid w:val="19DB686C"/>
    <w:rsid w:val="19DE3827"/>
    <w:rsid w:val="19DE56BA"/>
    <w:rsid w:val="19E21F67"/>
    <w:rsid w:val="19E60D5F"/>
    <w:rsid w:val="19EA1DF8"/>
    <w:rsid w:val="19EC0A79"/>
    <w:rsid w:val="19ED66F3"/>
    <w:rsid w:val="19EF5A99"/>
    <w:rsid w:val="19F77872"/>
    <w:rsid w:val="19FD1A2C"/>
    <w:rsid w:val="19FF1D60"/>
    <w:rsid w:val="1A004B69"/>
    <w:rsid w:val="1A044015"/>
    <w:rsid w:val="1A057015"/>
    <w:rsid w:val="1A0A53A3"/>
    <w:rsid w:val="1A0A5C1B"/>
    <w:rsid w:val="1A0C14D1"/>
    <w:rsid w:val="1A136006"/>
    <w:rsid w:val="1A1678A4"/>
    <w:rsid w:val="1A1A7675"/>
    <w:rsid w:val="1A1C66C0"/>
    <w:rsid w:val="1A253F8B"/>
    <w:rsid w:val="1A2C531A"/>
    <w:rsid w:val="1A2D7AAA"/>
    <w:rsid w:val="1A3E0932"/>
    <w:rsid w:val="1A3E4845"/>
    <w:rsid w:val="1A42393B"/>
    <w:rsid w:val="1A4239CB"/>
    <w:rsid w:val="1A4D6898"/>
    <w:rsid w:val="1A50725A"/>
    <w:rsid w:val="1A582E70"/>
    <w:rsid w:val="1A5A2DE1"/>
    <w:rsid w:val="1A5F6A15"/>
    <w:rsid w:val="1A6C1BBA"/>
    <w:rsid w:val="1A6E7F98"/>
    <w:rsid w:val="1A710E2A"/>
    <w:rsid w:val="1A714D3D"/>
    <w:rsid w:val="1A7A7E33"/>
    <w:rsid w:val="1A7B0F93"/>
    <w:rsid w:val="1A826D31"/>
    <w:rsid w:val="1A8962C8"/>
    <w:rsid w:val="1A8A3DEE"/>
    <w:rsid w:val="1A8B60F3"/>
    <w:rsid w:val="1A905843"/>
    <w:rsid w:val="1A96061B"/>
    <w:rsid w:val="1A975EF7"/>
    <w:rsid w:val="1A995465"/>
    <w:rsid w:val="1A9A4026"/>
    <w:rsid w:val="1A9C647F"/>
    <w:rsid w:val="1A9F5AEC"/>
    <w:rsid w:val="1AA0767C"/>
    <w:rsid w:val="1AA1138B"/>
    <w:rsid w:val="1AAD45DE"/>
    <w:rsid w:val="1AB250DF"/>
    <w:rsid w:val="1AB8095B"/>
    <w:rsid w:val="1ABA46D4"/>
    <w:rsid w:val="1ABC412F"/>
    <w:rsid w:val="1ABF7180"/>
    <w:rsid w:val="1ABF7F3C"/>
    <w:rsid w:val="1AC75042"/>
    <w:rsid w:val="1ACB4A8B"/>
    <w:rsid w:val="1ACB4B33"/>
    <w:rsid w:val="1ACF421E"/>
    <w:rsid w:val="1ACF4EEE"/>
    <w:rsid w:val="1AD75285"/>
    <w:rsid w:val="1AE532C2"/>
    <w:rsid w:val="1AE6371B"/>
    <w:rsid w:val="1AE75AAF"/>
    <w:rsid w:val="1AE87493"/>
    <w:rsid w:val="1AE92581"/>
    <w:rsid w:val="1AED4AA9"/>
    <w:rsid w:val="1AFA2B88"/>
    <w:rsid w:val="1AFA63AD"/>
    <w:rsid w:val="1AFC4CEC"/>
    <w:rsid w:val="1B046F80"/>
    <w:rsid w:val="1B0523FF"/>
    <w:rsid w:val="1B0B4F2F"/>
    <w:rsid w:val="1B0D6EF9"/>
    <w:rsid w:val="1B0E67CD"/>
    <w:rsid w:val="1B1436F0"/>
    <w:rsid w:val="1B234C9B"/>
    <w:rsid w:val="1B2840D9"/>
    <w:rsid w:val="1B2A7C8E"/>
    <w:rsid w:val="1B2B737F"/>
    <w:rsid w:val="1B3267B5"/>
    <w:rsid w:val="1B3A6F73"/>
    <w:rsid w:val="1B3E7FE4"/>
    <w:rsid w:val="1B40161D"/>
    <w:rsid w:val="1B410951"/>
    <w:rsid w:val="1B441859"/>
    <w:rsid w:val="1B45265B"/>
    <w:rsid w:val="1B4747B6"/>
    <w:rsid w:val="1B490E98"/>
    <w:rsid w:val="1B4D553A"/>
    <w:rsid w:val="1B4F12C0"/>
    <w:rsid w:val="1B522B5E"/>
    <w:rsid w:val="1B544B28"/>
    <w:rsid w:val="1B5508A0"/>
    <w:rsid w:val="1B5563F0"/>
    <w:rsid w:val="1B5565C8"/>
    <w:rsid w:val="1B5C1C2F"/>
    <w:rsid w:val="1B6606B1"/>
    <w:rsid w:val="1B682381"/>
    <w:rsid w:val="1B695789"/>
    <w:rsid w:val="1B732BA1"/>
    <w:rsid w:val="1B762CF0"/>
    <w:rsid w:val="1B7658E2"/>
    <w:rsid w:val="1B7B0307"/>
    <w:rsid w:val="1B7D6BEA"/>
    <w:rsid w:val="1B8120B5"/>
    <w:rsid w:val="1B87021B"/>
    <w:rsid w:val="1B9F38C9"/>
    <w:rsid w:val="1BA20491"/>
    <w:rsid w:val="1BAA0AF2"/>
    <w:rsid w:val="1BAA0BEC"/>
    <w:rsid w:val="1BAC3E4E"/>
    <w:rsid w:val="1BAF1D5E"/>
    <w:rsid w:val="1BB14E59"/>
    <w:rsid w:val="1BBB416A"/>
    <w:rsid w:val="1BBD01E0"/>
    <w:rsid w:val="1BC83936"/>
    <w:rsid w:val="1BCB6AA7"/>
    <w:rsid w:val="1BCF4B8C"/>
    <w:rsid w:val="1BD14514"/>
    <w:rsid w:val="1BD417C5"/>
    <w:rsid w:val="1BD619E1"/>
    <w:rsid w:val="1BDC68CC"/>
    <w:rsid w:val="1BDE124D"/>
    <w:rsid w:val="1BE3033D"/>
    <w:rsid w:val="1BE7774A"/>
    <w:rsid w:val="1BEC092D"/>
    <w:rsid w:val="1BF30ADC"/>
    <w:rsid w:val="1BFB31F6"/>
    <w:rsid w:val="1BFC7309"/>
    <w:rsid w:val="1C0C4C1E"/>
    <w:rsid w:val="1C0C71B1"/>
    <w:rsid w:val="1C18299F"/>
    <w:rsid w:val="1C1E6EE4"/>
    <w:rsid w:val="1C250273"/>
    <w:rsid w:val="1C253471"/>
    <w:rsid w:val="1C38518D"/>
    <w:rsid w:val="1C3C426C"/>
    <w:rsid w:val="1C3E1334"/>
    <w:rsid w:val="1C427076"/>
    <w:rsid w:val="1C4306F9"/>
    <w:rsid w:val="1C451E8D"/>
    <w:rsid w:val="1C4A101B"/>
    <w:rsid w:val="1C4E0858"/>
    <w:rsid w:val="1C4F52EF"/>
    <w:rsid w:val="1C592FF9"/>
    <w:rsid w:val="1C5D6CE6"/>
    <w:rsid w:val="1C5E7925"/>
    <w:rsid w:val="1C67332C"/>
    <w:rsid w:val="1C6D688A"/>
    <w:rsid w:val="1C6E7E6B"/>
    <w:rsid w:val="1C6F417C"/>
    <w:rsid w:val="1C71317B"/>
    <w:rsid w:val="1C751B4D"/>
    <w:rsid w:val="1C783E1E"/>
    <w:rsid w:val="1C796CC0"/>
    <w:rsid w:val="1C7C4FAA"/>
    <w:rsid w:val="1C7D5C81"/>
    <w:rsid w:val="1C7F6310"/>
    <w:rsid w:val="1C8165C7"/>
    <w:rsid w:val="1C827766"/>
    <w:rsid w:val="1C8925AF"/>
    <w:rsid w:val="1C8B186A"/>
    <w:rsid w:val="1C96041C"/>
    <w:rsid w:val="1C9E08E0"/>
    <w:rsid w:val="1CA34F4C"/>
    <w:rsid w:val="1CAA0778"/>
    <w:rsid w:val="1CAD4631"/>
    <w:rsid w:val="1CB17D58"/>
    <w:rsid w:val="1CB841CA"/>
    <w:rsid w:val="1CBD0BF0"/>
    <w:rsid w:val="1CC11027"/>
    <w:rsid w:val="1CC1746F"/>
    <w:rsid w:val="1CC31F3D"/>
    <w:rsid w:val="1CC45CDD"/>
    <w:rsid w:val="1CCA6B98"/>
    <w:rsid w:val="1CCE5D2E"/>
    <w:rsid w:val="1CCF6669"/>
    <w:rsid w:val="1CDA72AF"/>
    <w:rsid w:val="1CE04199"/>
    <w:rsid w:val="1CE161F5"/>
    <w:rsid w:val="1CE27781"/>
    <w:rsid w:val="1CE42735"/>
    <w:rsid w:val="1CE72814"/>
    <w:rsid w:val="1CE82086"/>
    <w:rsid w:val="1CEB326A"/>
    <w:rsid w:val="1CEB65DF"/>
    <w:rsid w:val="1CEC2B3E"/>
    <w:rsid w:val="1CF33784"/>
    <w:rsid w:val="1CF617BC"/>
    <w:rsid w:val="1CF917A7"/>
    <w:rsid w:val="1CFB15A0"/>
    <w:rsid w:val="1CFD070F"/>
    <w:rsid w:val="1D0600A4"/>
    <w:rsid w:val="1D076D5E"/>
    <w:rsid w:val="1D084214"/>
    <w:rsid w:val="1D0E0D07"/>
    <w:rsid w:val="1D126D38"/>
    <w:rsid w:val="1D152095"/>
    <w:rsid w:val="1D225A6E"/>
    <w:rsid w:val="1D270E9D"/>
    <w:rsid w:val="1D273A22"/>
    <w:rsid w:val="1D3342DB"/>
    <w:rsid w:val="1D36584D"/>
    <w:rsid w:val="1D3A1AFC"/>
    <w:rsid w:val="1D4E4115"/>
    <w:rsid w:val="1D552DD9"/>
    <w:rsid w:val="1D571E02"/>
    <w:rsid w:val="1D5B4DC6"/>
    <w:rsid w:val="1D5F6196"/>
    <w:rsid w:val="1D6132A5"/>
    <w:rsid w:val="1D7165FD"/>
    <w:rsid w:val="1D794860"/>
    <w:rsid w:val="1D7B4A10"/>
    <w:rsid w:val="1D7B65A1"/>
    <w:rsid w:val="1D7C1643"/>
    <w:rsid w:val="1D7D4F81"/>
    <w:rsid w:val="1D7F16EB"/>
    <w:rsid w:val="1D814DB7"/>
    <w:rsid w:val="1D816DBF"/>
    <w:rsid w:val="1D862F93"/>
    <w:rsid w:val="1D8B05A9"/>
    <w:rsid w:val="1D8E56D5"/>
    <w:rsid w:val="1D8F38EF"/>
    <w:rsid w:val="1D90796E"/>
    <w:rsid w:val="1D917260"/>
    <w:rsid w:val="1D963C5A"/>
    <w:rsid w:val="1D9873A5"/>
    <w:rsid w:val="1D9A259A"/>
    <w:rsid w:val="1D9A4E1B"/>
    <w:rsid w:val="1D9B34A2"/>
    <w:rsid w:val="1DA70300"/>
    <w:rsid w:val="1DAF315C"/>
    <w:rsid w:val="1DB25B36"/>
    <w:rsid w:val="1DB751AC"/>
    <w:rsid w:val="1DBC69B5"/>
    <w:rsid w:val="1DBD61A7"/>
    <w:rsid w:val="1DC31D56"/>
    <w:rsid w:val="1DC35F95"/>
    <w:rsid w:val="1DC37D43"/>
    <w:rsid w:val="1DC6338F"/>
    <w:rsid w:val="1DCB7E93"/>
    <w:rsid w:val="1DD12460"/>
    <w:rsid w:val="1DD31078"/>
    <w:rsid w:val="1DD43CFE"/>
    <w:rsid w:val="1DD91315"/>
    <w:rsid w:val="1DD957B9"/>
    <w:rsid w:val="1DD979BE"/>
    <w:rsid w:val="1DDB32DF"/>
    <w:rsid w:val="1DE047C6"/>
    <w:rsid w:val="1DE877AA"/>
    <w:rsid w:val="1DE93768"/>
    <w:rsid w:val="1DF75C3F"/>
    <w:rsid w:val="1DF84CBF"/>
    <w:rsid w:val="1DF93765"/>
    <w:rsid w:val="1DFB5164"/>
    <w:rsid w:val="1E036392"/>
    <w:rsid w:val="1E054CC9"/>
    <w:rsid w:val="1E067C30"/>
    <w:rsid w:val="1E0A3BC4"/>
    <w:rsid w:val="1E0C0B57"/>
    <w:rsid w:val="1E0C16EA"/>
    <w:rsid w:val="1E0D5462"/>
    <w:rsid w:val="1E115081"/>
    <w:rsid w:val="1E195BB5"/>
    <w:rsid w:val="1E1F222A"/>
    <w:rsid w:val="1E220F0E"/>
    <w:rsid w:val="1E2419AF"/>
    <w:rsid w:val="1E262080"/>
    <w:rsid w:val="1E2B113A"/>
    <w:rsid w:val="1E326C0D"/>
    <w:rsid w:val="1E342A1C"/>
    <w:rsid w:val="1E34479D"/>
    <w:rsid w:val="1E380731"/>
    <w:rsid w:val="1E392745"/>
    <w:rsid w:val="1E393859"/>
    <w:rsid w:val="1E3B1FCF"/>
    <w:rsid w:val="1E3D2E33"/>
    <w:rsid w:val="1E4221DE"/>
    <w:rsid w:val="1E52011B"/>
    <w:rsid w:val="1E526701"/>
    <w:rsid w:val="1E535688"/>
    <w:rsid w:val="1E537319"/>
    <w:rsid w:val="1E634270"/>
    <w:rsid w:val="1E6428E0"/>
    <w:rsid w:val="1E664002"/>
    <w:rsid w:val="1E674B72"/>
    <w:rsid w:val="1E727739"/>
    <w:rsid w:val="1E7A4110"/>
    <w:rsid w:val="1E7A43DA"/>
    <w:rsid w:val="1E7B6870"/>
    <w:rsid w:val="1E7E1EBC"/>
    <w:rsid w:val="1E7E3C6A"/>
    <w:rsid w:val="1E806D8A"/>
    <w:rsid w:val="1E831280"/>
    <w:rsid w:val="1E86139B"/>
    <w:rsid w:val="1E8759F3"/>
    <w:rsid w:val="1E8A260F"/>
    <w:rsid w:val="1E950C29"/>
    <w:rsid w:val="1E965B18"/>
    <w:rsid w:val="1E983954"/>
    <w:rsid w:val="1E9B246D"/>
    <w:rsid w:val="1E9C1F92"/>
    <w:rsid w:val="1E9C767B"/>
    <w:rsid w:val="1E9D139F"/>
    <w:rsid w:val="1EA27A4D"/>
    <w:rsid w:val="1EA41923"/>
    <w:rsid w:val="1EA825AB"/>
    <w:rsid w:val="1EAE2DD9"/>
    <w:rsid w:val="1EB57234"/>
    <w:rsid w:val="1EC43D73"/>
    <w:rsid w:val="1EC54878"/>
    <w:rsid w:val="1ECA1DD5"/>
    <w:rsid w:val="1ECA5FEF"/>
    <w:rsid w:val="1ECA6EAF"/>
    <w:rsid w:val="1ED0096A"/>
    <w:rsid w:val="1EDB2E6A"/>
    <w:rsid w:val="1EDD1822"/>
    <w:rsid w:val="1EDE67E5"/>
    <w:rsid w:val="1EE2069D"/>
    <w:rsid w:val="1EE30CEA"/>
    <w:rsid w:val="1EEF72D8"/>
    <w:rsid w:val="1EF1354B"/>
    <w:rsid w:val="1EF13911"/>
    <w:rsid w:val="1EF2469F"/>
    <w:rsid w:val="1EF5217E"/>
    <w:rsid w:val="1EF740FB"/>
    <w:rsid w:val="1EFC175F"/>
    <w:rsid w:val="1EFF07F4"/>
    <w:rsid w:val="1F017D5D"/>
    <w:rsid w:val="1F081BD7"/>
    <w:rsid w:val="1F10520A"/>
    <w:rsid w:val="1F152820"/>
    <w:rsid w:val="1F1545CE"/>
    <w:rsid w:val="1F196E7F"/>
    <w:rsid w:val="1F204D21"/>
    <w:rsid w:val="1F244811"/>
    <w:rsid w:val="1F2C5F1E"/>
    <w:rsid w:val="1F2D4DD8"/>
    <w:rsid w:val="1F30765A"/>
    <w:rsid w:val="1F310441"/>
    <w:rsid w:val="1F31742D"/>
    <w:rsid w:val="1F354072"/>
    <w:rsid w:val="1F3A5DE3"/>
    <w:rsid w:val="1F3F164B"/>
    <w:rsid w:val="1F4B6242"/>
    <w:rsid w:val="1F4D3D68"/>
    <w:rsid w:val="1F4E5D32"/>
    <w:rsid w:val="1F502710"/>
    <w:rsid w:val="1F511F82"/>
    <w:rsid w:val="1F51492C"/>
    <w:rsid w:val="1F63002C"/>
    <w:rsid w:val="1F64288F"/>
    <w:rsid w:val="1F7A63FD"/>
    <w:rsid w:val="1F7B1B7C"/>
    <w:rsid w:val="1F802E8E"/>
    <w:rsid w:val="1F817EB6"/>
    <w:rsid w:val="1F841754"/>
    <w:rsid w:val="1F8800CF"/>
    <w:rsid w:val="1F8A5DA8"/>
    <w:rsid w:val="1F8B1FA7"/>
    <w:rsid w:val="1F9000F9"/>
    <w:rsid w:val="1F903C55"/>
    <w:rsid w:val="1F9C5E34"/>
    <w:rsid w:val="1F9D69FC"/>
    <w:rsid w:val="1F9E4E56"/>
    <w:rsid w:val="1FA47700"/>
    <w:rsid w:val="1FAF67D1"/>
    <w:rsid w:val="1FB2006F"/>
    <w:rsid w:val="1FB77434"/>
    <w:rsid w:val="1FB9734B"/>
    <w:rsid w:val="1FBB4BD6"/>
    <w:rsid w:val="1FC61FBB"/>
    <w:rsid w:val="1FCD4EA9"/>
    <w:rsid w:val="1FD10527"/>
    <w:rsid w:val="1FD47FE6"/>
    <w:rsid w:val="1FD9384E"/>
    <w:rsid w:val="1FDB3B0B"/>
    <w:rsid w:val="1FE548C7"/>
    <w:rsid w:val="1FE70AFA"/>
    <w:rsid w:val="1FE7539E"/>
    <w:rsid w:val="1FF02384"/>
    <w:rsid w:val="1FF97A4C"/>
    <w:rsid w:val="1FFB1A16"/>
    <w:rsid w:val="1FFB7C68"/>
    <w:rsid w:val="20052895"/>
    <w:rsid w:val="200563F1"/>
    <w:rsid w:val="200B5F1D"/>
    <w:rsid w:val="201B3E66"/>
    <w:rsid w:val="201E3957"/>
    <w:rsid w:val="201F4F8C"/>
    <w:rsid w:val="20250841"/>
    <w:rsid w:val="202C4C92"/>
    <w:rsid w:val="20322F5E"/>
    <w:rsid w:val="20347C60"/>
    <w:rsid w:val="20365F39"/>
    <w:rsid w:val="2037160E"/>
    <w:rsid w:val="20450EE3"/>
    <w:rsid w:val="20466E53"/>
    <w:rsid w:val="204C2272"/>
    <w:rsid w:val="204D5FEA"/>
    <w:rsid w:val="204E53F7"/>
    <w:rsid w:val="205245F4"/>
    <w:rsid w:val="20601879"/>
    <w:rsid w:val="20621A95"/>
    <w:rsid w:val="206524E5"/>
    <w:rsid w:val="20671BE0"/>
    <w:rsid w:val="20673EB8"/>
    <w:rsid w:val="206A26F8"/>
    <w:rsid w:val="206D3F96"/>
    <w:rsid w:val="206E6121"/>
    <w:rsid w:val="20775413"/>
    <w:rsid w:val="207B2B57"/>
    <w:rsid w:val="207B4905"/>
    <w:rsid w:val="208631DE"/>
    <w:rsid w:val="20947775"/>
    <w:rsid w:val="20963CB8"/>
    <w:rsid w:val="20A235B8"/>
    <w:rsid w:val="20A51982"/>
    <w:rsid w:val="20A65B06"/>
    <w:rsid w:val="20A7715D"/>
    <w:rsid w:val="20A81A1B"/>
    <w:rsid w:val="20AF683C"/>
    <w:rsid w:val="20B06D0A"/>
    <w:rsid w:val="20B07FB6"/>
    <w:rsid w:val="20B646FB"/>
    <w:rsid w:val="20B6593D"/>
    <w:rsid w:val="20B70619"/>
    <w:rsid w:val="20BD5F40"/>
    <w:rsid w:val="20C473D6"/>
    <w:rsid w:val="20C53DD2"/>
    <w:rsid w:val="20C61E70"/>
    <w:rsid w:val="20CB083F"/>
    <w:rsid w:val="20CF69FF"/>
    <w:rsid w:val="20D504B9"/>
    <w:rsid w:val="20D93FCC"/>
    <w:rsid w:val="20DB53A4"/>
    <w:rsid w:val="20DC7CCA"/>
    <w:rsid w:val="20DD736E"/>
    <w:rsid w:val="20E41F8D"/>
    <w:rsid w:val="20E83BDD"/>
    <w:rsid w:val="20EE157B"/>
    <w:rsid w:val="20EE50D7"/>
    <w:rsid w:val="20F11D81"/>
    <w:rsid w:val="20F14BC7"/>
    <w:rsid w:val="20F51A7A"/>
    <w:rsid w:val="20F6042F"/>
    <w:rsid w:val="20F956A3"/>
    <w:rsid w:val="20FD6F5D"/>
    <w:rsid w:val="20FF525D"/>
    <w:rsid w:val="210668C5"/>
    <w:rsid w:val="210C37AF"/>
    <w:rsid w:val="210C783E"/>
    <w:rsid w:val="210F504D"/>
    <w:rsid w:val="21107C54"/>
    <w:rsid w:val="21154D5A"/>
    <w:rsid w:val="21155E4F"/>
    <w:rsid w:val="21166A94"/>
    <w:rsid w:val="21167D9E"/>
    <w:rsid w:val="211846B7"/>
    <w:rsid w:val="21275C65"/>
    <w:rsid w:val="212C128C"/>
    <w:rsid w:val="212E5E1B"/>
    <w:rsid w:val="21303453"/>
    <w:rsid w:val="21303941"/>
    <w:rsid w:val="21331AEE"/>
    <w:rsid w:val="2136082C"/>
    <w:rsid w:val="213B74B1"/>
    <w:rsid w:val="213D54C1"/>
    <w:rsid w:val="213F5933"/>
    <w:rsid w:val="21435E4B"/>
    <w:rsid w:val="21442F49"/>
    <w:rsid w:val="21457588"/>
    <w:rsid w:val="214815A8"/>
    <w:rsid w:val="21486EDD"/>
    <w:rsid w:val="214B2529"/>
    <w:rsid w:val="215319AD"/>
    <w:rsid w:val="2153584A"/>
    <w:rsid w:val="21582E98"/>
    <w:rsid w:val="2159704D"/>
    <w:rsid w:val="215A2310"/>
    <w:rsid w:val="215C4736"/>
    <w:rsid w:val="215E639F"/>
    <w:rsid w:val="216B497A"/>
    <w:rsid w:val="216E7FC6"/>
    <w:rsid w:val="21702385"/>
    <w:rsid w:val="217575A6"/>
    <w:rsid w:val="21787096"/>
    <w:rsid w:val="217A775E"/>
    <w:rsid w:val="217C6B87"/>
    <w:rsid w:val="21837F15"/>
    <w:rsid w:val="21845A3B"/>
    <w:rsid w:val="21863561"/>
    <w:rsid w:val="21871088"/>
    <w:rsid w:val="218839EC"/>
    <w:rsid w:val="21921F06"/>
    <w:rsid w:val="21957C48"/>
    <w:rsid w:val="219A6A7B"/>
    <w:rsid w:val="219C2F65"/>
    <w:rsid w:val="219C6421"/>
    <w:rsid w:val="21A43E37"/>
    <w:rsid w:val="21A97250"/>
    <w:rsid w:val="21AA2DB3"/>
    <w:rsid w:val="21AD6D40"/>
    <w:rsid w:val="21B24356"/>
    <w:rsid w:val="21B43FEB"/>
    <w:rsid w:val="21B70496"/>
    <w:rsid w:val="21BA76AF"/>
    <w:rsid w:val="21BC576A"/>
    <w:rsid w:val="21BF0821"/>
    <w:rsid w:val="21C010A5"/>
    <w:rsid w:val="21C91D49"/>
    <w:rsid w:val="21D01DDA"/>
    <w:rsid w:val="21D172DC"/>
    <w:rsid w:val="21D4251F"/>
    <w:rsid w:val="21D47F5E"/>
    <w:rsid w:val="21D534C8"/>
    <w:rsid w:val="21D9264D"/>
    <w:rsid w:val="21DE318A"/>
    <w:rsid w:val="21E14C3C"/>
    <w:rsid w:val="21E169EA"/>
    <w:rsid w:val="21E93AF0"/>
    <w:rsid w:val="21E95CE4"/>
    <w:rsid w:val="21EA27D2"/>
    <w:rsid w:val="21EC4122"/>
    <w:rsid w:val="21EF5B80"/>
    <w:rsid w:val="21F26B5D"/>
    <w:rsid w:val="21F73A2D"/>
    <w:rsid w:val="21F872EB"/>
    <w:rsid w:val="22023A3F"/>
    <w:rsid w:val="220A5F40"/>
    <w:rsid w:val="220C2FA2"/>
    <w:rsid w:val="22106C59"/>
    <w:rsid w:val="221072CF"/>
    <w:rsid w:val="22171248"/>
    <w:rsid w:val="2217240B"/>
    <w:rsid w:val="221F7512"/>
    <w:rsid w:val="222248DF"/>
    <w:rsid w:val="22230DB0"/>
    <w:rsid w:val="222D4B7C"/>
    <w:rsid w:val="22357465"/>
    <w:rsid w:val="223A511A"/>
    <w:rsid w:val="223B0D62"/>
    <w:rsid w:val="223B259E"/>
    <w:rsid w:val="22492B40"/>
    <w:rsid w:val="224A27E1"/>
    <w:rsid w:val="224C6559"/>
    <w:rsid w:val="224D1A5F"/>
    <w:rsid w:val="224E784D"/>
    <w:rsid w:val="22525502"/>
    <w:rsid w:val="22525B39"/>
    <w:rsid w:val="22532A8E"/>
    <w:rsid w:val="2254426B"/>
    <w:rsid w:val="22576990"/>
    <w:rsid w:val="225777EA"/>
    <w:rsid w:val="225B679C"/>
    <w:rsid w:val="225C34E1"/>
    <w:rsid w:val="2265175A"/>
    <w:rsid w:val="226A4C31"/>
    <w:rsid w:val="226D64CF"/>
    <w:rsid w:val="226E1036"/>
    <w:rsid w:val="227710FC"/>
    <w:rsid w:val="227D2BB6"/>
    <w:rsid w:val="227F4D69"/>
    <w:rsid w:val="228757AF"/>
    <w:rsid w:val="22885820"/>
    <w:rsid w:val="228D0920"/>
    <w:rsid w:val="228D0B2B"/>
    <w:rsid w:val="229E781B"/>
    <w:rsid w:val="22A0050B"/>
    <w:rsid w:val="22A13A6D"/>
    <w:rsid w:val="22A46395"/>
    <w:rsid w:val="22AB1C1C"/>
    <w:rsid w:val="22B365D8"/>
    <w:rsid w:val="22B9432E"/>
    <w:rsid w:val="22BB548D"/>
    <w:rsid w:val="22C205C9"/>
    <w:rsid w:val="22C32F28"/>
    <w:rsid w:val="22C34341"/>
    <w:rsid w:val="22C51354"/>
    <w:rsid w:val="22CA56D0"/>
    <w:rsid w:val="22D121FB"/>
    <w:rsid w:val="22D12F89"/>
    <w:rsid w:val="22D9192F"/>
    <w:rsid w:val="22DA41CE"/>
    <w:rsid w:val="22DB78DD"/>
    <w:rsid w:val="22E83DA8"/>
    <w:rsid w:val="22E973C1"/>
    <w:rsid w:val="22EC5646"/>
    <w:rsid w:val="22ED71CD"/>
    <w:rsid w:val="22F0540B"/>
    <w:rsid w:val="22F46501"/>
    <w:rsid w:val="22F47480"/>
    <w:rsid w:val="22FC32BB"/>
    <w:rsid w:val="22FD4884"/>
    <w:rsid w:val="23010E45"/>
    <w:rsid w:val="2302130E"/>
    <w:rsid w:val="230339DB"/>
    <w:rsid w:val="23042C3F"/>
    <w:rsid w:val="23045086"/>
    <w:rsid w:val="23052BAC"/>
    <w:rsid w:val="230722D5"/>
    <w:rsid w:val="23093BF2"/>
    <w:rsid w:val="23151041"/>
    <w:rsid w:val="2318643B"/>
    <w:rsid w:val="23270F67"/>
    <w:rsid w:val="232B2612"/>
    <w:rsid w:val="23353491"/>
    <w:rsid w:val="23386ADD"/>
    <w:rsid w:val="23403BE4"/>
    <w:rsid w:val="23451001"/>
    <w:rsid w:val="234C2589"/>
    <w:rsid w:val="234D4382"/>
    <w:rsid w:val="234D5002"/>
    <w:rsid w:val="23502079"/>
    <w:rsid w:val="23580F2E"/>
    <w:rsid w:val="235C0A1E"/>
    <w:rsid w:val="235D4796"/>
    <w:rsid w:val="235E3DED"/>
    <w:rsid w:val="23624DB5"/>
    <w:rsid w:val="236E3309"/>
    <w:rsid w:val="237377C7"/>
    <w:rsid w:val="23753F06"/>
    <w:rsid w:val="237C2E6E"/>
    <w:rsid w:val="238345EB"/>
    <w:rsid w:val="23867849"/>
    <w:rsid w:val="2398654C"/>
    <w:rsid w:val="239B2269"/>
    <w:rsid w:val="239E6529"/>
    <w:rsid w:val="239F08A1"/>
    <w:rsid w:val="23A260EE"/>
    <w:rsid w:val="23A756FE"/>
    <w:rsid w:val="23A92B1C"/>
    <w:rsid w:val="23AD2A56"/>
    <w:rsid w:val="23AF3E8B"/>
    <w:rsid w:val="23AF726E"/>
    <w:rsid w:val="23B02B18"/>
    <w:rsid w:val="23B27A99"/>
    <w:rsid w:val="23B60FC1"/>
    <w:rsid w:val="23BC2D52"/>
    <w:rsid w:val="23C43527"/>
    <w:rsid w:val="23C74E66"/>
    <w:rsid w:val="23D06D16"/>
    <w:rsid w:val="23DA1B50"/>
    <w:rsid w:val="23DE1C48"/>
    <w:rsid w:val="23E05F11"/>
    <w:rsid w:val="23EC65F4"/>
    <w:rsid w:val="23ED3D6C"/>
    <w:rsid w:val="23FC3FAF"/>
    <w:rsid w:val="23FE6BEB"/>
    <w:rsid w:val="23FF584D"/>
    <w:rsid w:val="240074B3"/>
    <w:rsid w:val="240210CD"/>
    <w:rsid w:val="240A1454"/>
    <w:rsid w:val="240D0A6F"/>
    <w:rsid w:val="240E783E"/>
    <w:rsid w:val="2416517D"/>
    <w:rsid w:val="241C09BC"/>
    <w:rsid w:val="2426751B"/>
    <w:rsid w:val="24280900"/>
    <w:rsid w:val="242B1A8A"/>
    <w:rsid w:val="242F3360"/>
    <w:rsid w:val="24302E90"/>
    <w:rsid w:val="24305A06"/>
    <w:rsid w:val="24311EAA"/>
    <w:rsid w:val="24324FC7"/>
    <w:rsid w:val="24364169"/>
    <w:rsid w:val="24375129"/>
    <w:rsid w:val="243A62E1"/>
    <w:rsid w:val="24466FD8"/>
    <w:rsid w:val="244A2F6C"/>
    <w:rsid w:val="244D65B8"/>
    <w:rsid w:val="244D6BB4"/>
    <w:rsid w:val="24510B78"/>
    <w:rsid w:val="245636BF"/>
    <w:rsid w:val="24574D2F"/>
    <w:rsid w:val="24612064"/>
    <w:rsid w:val="24651B54"/>
    <w:rsid w:val="246B0A5C"/>
    <w:rsid w:val="246B2680"/>
    <w:rsid w:val="246F29D3"/>
    <w:rsid w:val="247213BB"/>
    <w:rsid w:val="247955FF"/>
    <w:rsid w:val="247A3BCF"/>
    <w:rsid w:val="247A4C9D"/>
    <w:rsid w:val="247D0F86"/>
    <w:rsid w:val="248C70E1"/>
    <w:rsid w:val="24901B57"/>
    <w:rsid w:val="24990604"/>
    <w:rsid w:val="249A18B6"/>
    <w:rsid w:val="249C4E4A"/>
    <w:rsid w:val="24A00DDE"/>
    <w:rsid w:val="24A020FD"/>
    <w:rsid w:val="24A14A8B"/>
    <w:rsid w:val="24A55F24"/>
    <w:rsid w:val="24A972A7"/>
    <w:rsid w:val="24AA677E"/>
    <w:rsid w:val="24AC1531"/>
    <w:rsid w:val="24AF7273"/>
    <w:rsid w:val="24B01BD1"/>
    <w:rsid w:val="24B403E6"/>
    <w:rsid w:val="24BB0C9B"/>
    <w:rsid w:val="24BF09F7"/>
    <w:rsid w:val="24BF727F"/>
    <w:rsid w:val="24C26858"/>
    <w:rsid w:val="24C26FA6"/>
    <w:rsid w:val="24C51723"/>
    <w:rsid w:val="24C56B78"/>
    <w:rsid w:val="24C7636B"/>
    <w:rsid w:val="24CC1BD3"/>
    <w:rsid w:val="24D23759"/>
    <w:rsid w:val="24DE3A8A"/>
    <w:rsid w:val="24E16D01"/>
    <w:rsid w:val="24E4622E"/>
    <w:rsid w:val="24E83D02"/>
    <w:rsid w:val="24E842A0"/>
    <w:rsid w:val="24EF35A7"/>
    <w:rsid w:val="24F627AC"/>
    <w:rsid w:val="24F84776"/>
    <w:rsid w:val="24F86524"/>
    <w:rsid w:val="25012AC9"/>
    <w:rsid w:val="25023740"/>
    <w:rsid w:val="250E0B9D"/>
    <w:rsid w:val="25145328"/>
    <w:rsid w:val="25186BC6"/>
    <w:rsid w:val="251A0B90"/>
    <w:rsid w:val="251A395F"/>
    <w:rsid w:val="252206FC"/>
    <w:rsid w:val="252375A1"/>
    <w:rsid w:val="25266D60"/>
    <w:rsid w:val="25292B82"/>
    <w:rsid w:val="252D53FE"/>
    <w:rsid w:val="2530657B"/>
    <w:rsid w:val="25317C88"/>
    <w:rsid w:val="25322AEC"/>
    <w:rsid w:val="25355754"/>
    <w:rsid w:val="25384F68"/>
    <w:rsid w:val="25421E95"/>
    <w:rsid w:val="254701D7"/>
    <w:rsid w:val="254A0D4A"/>
    <w:rsid w:val="25506DE7"/>
    <w:rsid w:val="255B2F57"/>
    <w:rsid w:val="255F2A47"/>
    <w:rsid w:val="25642B1A"/>
    <w:rsid w:val="256718FC"/>
    <w:rsid w:val="256E2C8A"/>
    <w:rsid w:val="2575265A"/>
    <w:rsid w:val="2576226F"/>
    <w:rsid w:val="25777D91"/>
    <w:rsid w:val="2579618A"/>
    <w:rsid w:val="257D111F"/>
    <w:rsid w:val="257F27A2"/>
    <w:rsid w:val="25801633"/>
    <w:rsid w:val="2580476C"/>
    <w:rsid w:val="2581437A"/>
    <w:rsid w:val="25826736"/>
    <w:rsid w:val="25867FD4"/>
    <w:rsid w:val="25884E57"/>
    <w:rsid w:val="25896B32"/>
    <w:rsid w:val="258B383C"/>
    <w:rsid w:val="258D4A38"/>
    <w:rsid w:val="259049AF"/>
    <w:rsid w:val="2593449F"/>
    <w:rsid w:val="259A582D"/>
    <w:rsid w:val="25A93CC2"/>
    <w:rsid w:val="25AC432A"/>
    <w:rsid w:val="25AF7C37"/>
    <w:rsid w:val="25BC7FE5"/>
    <w:rsid w:val="25C74149"/>
    <w:rsid w:val="25CA6327"/>
    <w:rsid w:val="25D238C2"/>
    <w:rsid w:val="25D32AED"/>
    <w:rsid w:val="25D532F5"/>
    <w:rsid w:val="25D7082F"/>
    <w:rsid w:val="25D91447"/>
    <w:rsid w:val="25E14378"/>
    <w:rsid w:val="25EC2D81"/>
    <w:rsid w:val="25EC3BAF"/>
    <w:rsid w:val="25ED78CC"/>
    <w:rsid w:val="25EE406E"/>
    <w:rsid w:val="25EE5B79"/>
    <w:rsid w:val="25EF6C49"/>
    <w:rsid w:val="25F80363"/>
    <w:rsid w:val="25FA33D7"/>
    <w:rsid w:val="25FA451E"/>
    <w:rsid w:val="25FB7DFA"/>
    <w:rsid w:val="25FC570B"/>
    <w:rsid w:val="25FD157D"/>
    <w:rsid w:val="26061115"/>
    <w:rsid w:val="260C1366"/>
    <w:rsid w:val="260C3BF8"/>
    <w:rsid w:val="26105AEF"/>
    <w:rsid w:val="261A696E"/>
    <w:rsid w:val="261D5164"/>
    <w:rsid w:val="261D5C26"/>
    <w:rsid w:val="261F1582"/>
    <w:rsid w:val="262275D1"/>
    <w:rsid w:val="26233A75"/>
    <w:rsid w:val="26290526"/>
    <w:rsid w:val="262923F6"/>
    <w:rsid w:val="262A010B"/>
    <w:rsid w:val="26326399"/>
    <w:rsid w:val="26345C82"/>
    <w:rsid w:val="26355556"/>
    <w:rsid w:val="26461511"/>
    <w:rsid w:val="26490757"/>
    <w:rsid w:val="264B4D7A"/>
    <w:rsid w:val="264D0B0B"/>
    <w:rsid w:val="26527EB6"/>
    <w:rsid w:val="265500DB"/>
    <w:rsid w:val="26554BA2"/>
    <w:rsid w:val="26575089"/>
    <w:rsid w:val="265F23FB"/>
    <w:rsid w:val="26675339"/>
    <w:rsid w:val="266801EC"/>
    <w:rsid w:val="26707BFD"/>
    <w:rsid w:val="26730B70"/>
    <w:rsid w:val="267728FE"/>
    <w:rsid w:val="26773A40"/>
    <w:rsid w:val="26774667"/>
    <w:rsid w:val="26782D8B"/>
    <w:rsid w:val="267B4ABE"/>
    <w:rsid w:val="26802413"/>
    <w:rsid w:val="26881B2A"/>
    <w:rsid w:val="268868C6"/>
    <w:rsid w:val="268A3AF3"/>
    <w:rsid w:val="26937070"/>
    <w:rsid w:val="26993BB7"/>
    <w:rsid w:val="269A068B"/>
    <w:rsid w:val="26A01315"/>
    <w:rsid w:val="26A30712"/>
    <w:rsid w:val="26A7372A"/>
    <w:rsid w:val="26AD1F5C"/>
    <w:rsid w:val="26AF70B6"/>
    <w:rsid w:val="26B0669F"/>
    <w:rsid w:val="26B172D2"/>
    <w:rsid w:val="26B25CB6"/>
    <w:rsid w:val="26C02C7C"/>
    <w:rsid w:val="26C22739"/>
    <w:rsid w:val="26C2719B"/>
    <w:rsid w:val="26C32B62"/>
    <w:rsid w:val="26C95C8A"/>
    <w:rsid w:val="26CD7731"/>
    <w:rsid w:val="26D37A9A"/>
    <w:rsid w:val="26D42FC1"/>
    <w:rsid w:val="26D751C9"/>
    <w:rsid w:val="26DD4469"/>
    <w:rsid w:val="26DD68A6"/>
    <w:rsid w:val="26DE174A"/>
    <w:rsid w:val="26DE799C"/>
    <w:rsid w:val="26E1252E"/>
    <w:rsid w:val="26E52AD8"/>
    <w:rsid w:val="26E72CF4"/>
    <w:rsid w:val="26E8614E"/>
    <w:rsid w:val="26EF1BA9"/>
    <w:rsid w:val="26F36771"/>
    <w:rsid w:val="26F6667B"/>
    <w:rsid w:val="26F75FB5"/>
    <w:rsid w:val="2702368A"/>
    <w:rsid w:val="27026F7D"/>
    <w:rsid w:val="270365B6"/>
    <w:rsid w:val="270D4219"/>
    <w:rsid w:val="27107C76"/>
    <w:rsid w:val="27127645"/>
    <w:rsid w:val="27182E78"/>
    <w:rsid w:val="271B0BF0"/>
    <w:rsid w:val="27201D62"/>
    <w:rsid w:val="272950BB"/>
    <w:rsid w:val="272C2E7E"/>
    <w:rsid w:val="2736379E"/>
    <w:rsid w:val="27364CD2"/>
    <w:rsid w:val="2738300C"/>
    <w:rsid w:val="2753038A"/>
    <w:rsid w:val="275E5EB1"/>
    <w:rsid w:val="2762425F"/>
    <w:rsid w:val="27645958"/>
    <w:rsid w:val="276A6AC7"/>
    <w:rsid w:val="276E51C4"/>
    <w:rsid w:val="277057A2"/>
    <w:rsid w:val="27734588"/>
    <w:rsid w:val="277463FD"/>
    <w:rsid w:val="277C5005"/>
    <w:rsid w:val="277C6476"/>
    <w:rsid w:val="277D0F63"/>
    <w:rsid w:val="277F117F"/>
    <w:rsid w:val="27811702"/>
    <w:rsid w:val="27871429"/>
    <w:rsid w:val="27894A00"/>
    <w:rsid w:val="278F0C96"/>
    <w:rsid w:val="27906EE8"/>
    <w:rsid w:val="27934C2A"/>
    <w:rsid w:val="2797250D"/>
    <w:rsid w:val="279F537D"/>
    <w:rsid w:val="279F712B"/>
    <w:rsid w:val="27A02EA3"/>
    <w:rsid w:val="27A50616"/>
    <w:rsid w:val="27A961FC"/>
    <w:rsid w:val="27B01338"/>
    <w:rsid w:val="27B349B0"/>
    <w:rsid w:val="27BA4E27"/>
    <w:rsid w:val="27BB69CA"/>
    <w:rsid w:val="27BC5F2F"/>
    <w:rsid w:val="27C052F3"/>
    <w:rsid w:val="27C2106B"/>
    <w:rsid w:val="27C528E9"/>
    <w:rsid w:val="27C83FC7"/>
    <w:rsid w:val="27CA2E76"/>
    <w:rsid w:val="27CA411A"/>
    <w:rsid w:val="27CB0C61"/>
    <w:rsid w:val="27CB36FC"/>
    <w:rsid w:val="27CB6172"/>
    <w:rsid w:val="27CB7F20"/>
    <w:rsid w:val="27CE64E0"/>
    <w:rsid w:val="27CF0D33"/>
    <w:rsid w:val="27D165A2"/>
    <w:rsid w:val="27D61381"/>
    <w:rsid w:val="27DA0163"/>
    <w:rsid w:val="27DA4607"/>
    <w:rsid w:val="27E15995"/>
    <w:rsid w:val="27E170DE"/>
    <w:rsid w:val="27E63962"/>
    <w:rsid w:val="27EC0339"/>
    <w:rsid w:val="27EC60E8"/>
    <w:rsid w:val="27ED066B"/>
    <w:rsid w:val="27F6220F"/>
    <w:rsid w:val="27F67CAD"/>
    <w:rsid w:val="27F8683B"/>
    <w:rsid w:val="27FC473B"/>
    <w:rsid w:val="27FC54C9"/>
    <w:rsid w:val="27FF5E1C"/>
    <w:rsid w:val="280A69B3"/>
    <w:rsid w:val="2815563F"/>
    <w:rsid w:val="28173165"/>
    <w:rsid w:val="28230735"/>
    <w:rsid w:val="28245882"/>
    <w:rsid w:val="282569DC"/>
    <w:rsid w:val="282910EA"/>
    <w:rsid w:val="28305FD5"/>
    <w:rsid w:val="28333D17"/>
    <w:rsid w:val="28341F69"/>
    <w:rsid w:val="283F06D6"/>
    <w:rsid w:val="28480BDC"/>
    <w:rsid w:val="28485A15"/>
    <w:rsid w:val="285056E3"/>
    <w:rsid w:val="28625A0D"/>
    <w:rsid w:val="286D40BC"/>
    <w:rsid w:val="286D547B"/>
    <w:rsid w:val="286E4893"/>
    <w:rsid w:val="287064F9"/>
    <w:rsid w:val="28711B50"/>
    <w:rsid w:val="28714E9D"/>
    <w:rsid w:val="2876140E"/>
    <w:rsid w:val="28803712"/>
    <w:rsid w:val="28836A4D"/>
    <w:rsid w:val="28844573"/>
    <w:rsid w:val="288A00A4"/>
    <w:rsid w:val="288A1B89"/>
    <w:rsid w:val="288D3427"/>
    <w:rsid w:val="289901CD"/>
    <w:rsid w:val="289A5B44"/>
    <w:rsid w:val="289A6CA9"/>
    <w:rsid w:val="289E0BEF"/>
    <w:rsid w:val="28A013AD"/>
    <w:rsid w:val="28A864B3"/>
    <w:rsid w:val="28AF7842"/>
    <w:rsid w:val="28B05368"/>
    <w:rsid w:val="28B90367"/>
    <w:rsid w:val="28BB5181"/>
    <w:rsid w:val="28C0181B"/>
    <w:rsid w:val="28C055AB"/>
    <w:rsid w:val="28C114CB"/>
    <w:rsid w:val="28C12636"/>
    <w:rsid w:val="28C22AF5"/>
    <w:rsid w:val="28C6024F"/>
    <w:rsid w:val="28C82DA7"/>
    <w:rsid w:val="28CB3F50"/>
    <w:rsid w:val="28D41F8A"/>
    <w:rsid w:val="28D51396"/>
    <w:rsid w:val="28DB23E5"/>
    <w:rsid w:val="28E3573D"/>
    <w:rsid w:val="28E84B02"/>
    <w:rsid w:val="28E8751C"/>
    <w:rsid w:val="28EA6ACC"/>
    <w:rsid w:val="28EF40E2"/>
    <w:rsid w:val="290319E9"/>
    <w:rsid w:val="29037624"/>
    <w:rsid w:val="29051210"/>
    <w:rsid w:val="2912392D"/>
    <w:rsid w:val="291C47AB"/>
    <w:rsid w:val="291D29FD"/>
    <w:rsid w:val="291E49C7"/>
    <w:rsid w:val="29206EB8"/>
    <w:rsid w:val="292C0E92"/>
    <w:rsid w:val="2936586D"/>
    <w:rsid w:val="293A128F"/>
    <w:rsid w:val="293A2302"/>
    <w:rsid w:val="293F0FBC"/>
    <w:rsid w:val="29405A28"/>
    <w:rsid w:val="29407343"/>
    <w:rsid w:val="29422464"/>
    <w:rsid w:val="294A756A"/>
    <w:rsid w:val="294D1FF0"/>
    <w:rsid w:val="294E705B"/>
    <w:rsid w:val="295313EB"/>
    <w:rsid w:val="29595666"/>
    <w:rsid w:val="295C2DFA"/>
    <w:rsid w:val="295D54F0"/>
    <w:rsid w:val="295E6B72"/>
    <w:rsid w:val="296543A4"/>
    <w:rsid w:val="29657F00"/>
    <w:rsid w:val="2967011C"/>
    <w:rsid w:val="29672844"/>
    <w:rsid w:val="296D0D14"/>
    <w:rsid w:val="296D5007"/>
    <w:rsid w:val="296D7A74"/>
    <w:rsid w:val="29714AD8"/>
    <w:rsid w:val="297621BD"/>
    <w:rsid w:val="29802F8C"/>
    <w:rsid w:val="298078CA"/>
    <w:rsid w:val="29844510"/>
    <w:rsid w:val="2984482A"/>
    <w:rsid w:val="29862BBA"/>
    <w:rsid w:val="29874881"/>
    <w:rsid w:val="298760C9"/>
    <w:rsid w:val="298E79EF"/>
    <w:rsid w:val="29944736"/>
    <w:rsid w:val="2995461C"/>
    <w:rsid w:val="29961F06"/>
    <w:rsid w:val="29985B65"/>
    <w:rsid w:val="299A404E"/>
    <w:rsid w:val="299F78B6"/>
    <w:rsid w:val="29A273A6"/>
    <w:rsid w:val="29A749BD"/>
    <w:rsid w:val="29B30428"/>
    <w:rsid w:val="29B36EBE"/>
    <w:rsid w:val="29B669AE"/>
    <w:rsid w:val="29B81A52"/>
    <w:rsid w:val="29B9024C"/>
    <w:rsid w:val="29BD3630"/>
    <w:rsid w:val="29C3473D"/>
    <w:rsid w:val="29C9116F"/>
    <w:rsid w:val="29CA2459"/>
    <w:rsid w:val="29CA4207"/>
    <w:rsid w:val="29CB7425"/>
    <w:rsid w:val="29D07A70"/>
    <w:rsid w:val="29D3130E"/>
    <w:rsid w:val="29D54687"/>
    <w:rsid w:val="29E03A2B"/>
    <w:rsid w:val="29E325E0"/>
    <w:rsid w:val="29E41AEB"/>
    <w:rsid w:val="29EA6657"/>
    <w:rsid w:val="29EC6874"/>
    <w:rsid w:val="29EC73FD"/>
    <w:rsid w:val="29F3375E"/>
    <w:rsid w:val="29F90863"/>
    <w:rsid w:val="29FD0655"/>
    <w:rsid w:val="29FD45DD"/>
    <w:rsid w:val="2A006588"/>
    <w:rsid w:val="2A025360"/>
    <w:rsid w:val="2A027E45"/>
    <w:rsid w:val="2A0A2888"/>
    <w:rsid w:val="2A0C2A72"/>
    <w:rsid w:val="2A0C4820"/>
    <w:rsid w:val="2A0D0CC4"/>
    <w:rsid w:val="2A1173FF"/>
    <w:rsid w:val="2A17569E"/>
    <w:rsid w:val="2A181D54"/>
    <w:rsid w:val="2A187669"/>
    <w:rsid w:val="2A21197B"/>
    <w:rsid w:val="2A2360AA"/>
    <w:rsid w:val="2A247DBB"/>
    <w:rsid w:val="2A3066F0"/>
    <w:rsid w:val="2A3224D8"/>
    <w:rsid w:val="2A32274B"/>
    <w:rsid w:val="2A355B25"/>
    <w:rsid w:val="2A3F154A"/>
    <w:rsid w:val="2A3F58D2"/>
    <w:rsid w:val="2A412F18"/>
    <w:rsid w:val="2A426494"/>
    <w:rsid w:val="2A447531"/>
    <w:rsid w:val="2A452503"/>
    <w:rsid w:val="2A466501"/>
    <w:rsid w:val="2A4D2E68"/>
    <w:rsid w:val="2A506E02"/>
    <w:rsid w:val="2A515973"/>
    <w:rsid w:val="2A544870"/>
    <w:rsid w:val="2A5F0DF4"/>
    <w:rsid w:val="2A680DF1"/>
    <w:rsid w:val="2A6E1037"/>
    <w:rsid w:val="2A750617"/>
    <w:rsid w:val="2A761AC6"/>
    <w:rsid w:val="2A7D3A62"/>
    <w:rsid w:val="2A7E3970"/>
    <w:rsid w:val="2A810D6A"/>
    <w:rsid w:val="2A834AE2"/>
    <w:rsid w:val="2A870664"/>
    <w:rsid w:val="2A915D79"/>
    <w:rsid w:val="2A924C61"/>
    <w:rsid w:val="2A932698"/>
    <w:rsid w:val="2A97058D"/>
    <w:rsid w:val="2A9D438D"/>
    <w:rsid w:val="2A9E4611"/>
    <w:rsid w:val="2A9F38FB"/>
    <w:rsid w:val="2A9F6557"/>
    <w:rsid w:val="2AA42CAA"/>
    <w:rsid w:val="2AA70541"/>
    <w:rsid w:val="2AA915E9"/>
    <w:rsid w:val="2AAB1450"/>
    <w:rsid w:val="2AAB37E8"/>
    <w:rsid w:val="2AAB7338"/>
    <w:rsid w:val="2AAE79DD"/>
    <w:rsid w:val="2AB0164F"/>
    <w:rsid w:val="2AB27175"/>
    <w:rsid w:val="2ABA24CE"/>
    <w:rsid w:val="2AD06880"/>
    <w:rsid w:val="2AD92954"/>
    <w:rsid w:val="2ADC2444"/>
    <w:rsid w:val="2AE86C56"/>
    <w:rsid w:val="2B005BEA"/>
    <w:rsid w:val="2B03039C"/>
    <w:rsid w:val="2B035C23"/>
    <w:rsid w:val="2B0F0198"/>
    <w:rsid w:val="2B116592"/>
    <w:rsid w:val="2B16676D"/>
    <w:rsid w:val="2B186F94"/>
    <w:rsid w:val="2B1A4D1A"/>
    <w:rsid w:val="2B1B28D9"/>
    <w:rsid w:val="2B1E642A"/>
    <w:rsid w:val="2B20129D"/>
    <w:rsid w:val="2B257DBC"/>
    <w:rsid w:val="2B320BC0"/>
    <w:rsid w:val="2B3C1ADC"/>
    <w:rsid w:val="2B3D7387"/>
    <w:rsid w:val="2B3E7185"/>
    <w:rsid w:val="2B4F2C16"/>
    <w:rsid w:val="2B512E32"/>
    <w:rsid w:val="2B5244B4"/>
    <w:rsid w:val="2B5869C9"/>
    <w:rsid w:val="2B594282"/>
    <w:rsid w:val="2B632B65"/>
    <w:rsid w:val="2B64300E"/>
    <w:rsid w:val="2B6D0F5F"/>
    <w:rsid w:val="2B715282"/>
    <w:rsid w:val="2B724877"/>
    <w:rsid w:val="2B746B21"/>
    <w:rsid w:val="2B8801B3"/>
    <w:rsid w:val="2B920D55"/>
    <w:rsid w:val="2B923DD2"/>
    <w:rsid w:val="2B942D1F"/>
    <w:rsid w:val="2B960845"/>
    <w:rsid w:val="2B9A2341"/>
    <w:rsid w:val="2BA32F62"/>
    <w:rsid w:val="2BA50A88"/>
    <w:rsid w:val="2BA74404"/>
    <w:rsid w:val="2BA936A8"/>
    <w:rsid w:val="2BAA42F0"/>
    <w:rsid w:val="2BB34EE4"/>
    <w:rsid w:val="2BB46CFE"/>
    <w:rsid w:val="2BB86CB1"/>
    <w:rsid w:val="2BBB64FD"/>
    <w:rsid w:val="2BC144F7"/>
    <w:rsid w:val="2BC2788C"/>
    <w:rsid w:val="2BC3635A"/>
    <w:rsid w:val="2BC41856"/>
    <w:rsid w:val="2BC43604"/>
    <w:rsid w:val="2BC71AAA"/>
    <w:rsid w:val="2BC74EA2"/>
    <w:rsid w:val="2BCC7096"/>
    <w:rsid w:val="2BD220D6"/>
    <w:rsid w:val="2BD355F5"/>
    <w:rsid w:val="2BD414DD"/>
    <w:rsid w:val="2BD4296D"/>
    <w:rsid w:val="2BD74818"/>
    <w:rsid w:val="2BDC76D9"/>
    <w:rsid w:val="2BE05F64"/>
    <w:rsid w:val="2BE11407"/>
    <w:rsid w:val="2BE23A8A"/>
    <w:rsid w:val="2BEB3615"/>
    <w:rsid w:val="2BEF0CB6"/>
    <w:rsid w:val="2BF10171"/>
    <w:rsid w:val="2BF523C4"/>
    <w:rsid w:val="2BF7152C"/>
    <w:rsid w:val="2BFD08C4"/>
    <w:rsid w:val="2BFF01D4"/>
    <w:rsid w:val="2C167BD8"/>
    <w:rsid w:val="2C2220D9"/>
    <w:rsid w:val="2C315A5A"/>
    <w:rsid w:val="2C347F55"/>
    <w:rsid w:val="2C3818FC"/>
    <w:rsid w:val="2C3F06C9"/>
    <w:rsid w:val="2C3F2B42"/>
    <w:rsid w:val="2C406BF4"/>
    <w:rsid w:val="2C4B1C25"/>
    <w:rsid w:val="2C4B2DF0"/>
    <w:rsid w:val="2C551528"/>
    <w:rsid w:val="2C55425C"/>
    <w:rsid w:val="2C566690"/>
    <w:rsid w:val="2C5A3803"/>
    <w:rsid w:val="2C5D5807"/>
    <w:rsid w:val="2C6D3C9C"/>
    <w:rsid w:val="2C766A33"/>
    <w:rsid w:val="2C7A1F15"/>
    <w:rsid w:val="2C7A413A"/>
    <w:rsid w:val="2C7E6F7E"/>
    <w:rsid w:val="2C8221EC"/>
    <w:rsid w:val="2C866B0B"/>
    <w:rsid w:val="2C882884"/>
    <w:rsid w:val="2C8D1C48"/>
    <w:rsid w:val="2C911FBC"/>
    <w:rsid w:val="2C952D0F"/>
    <w:rsid w:val="2C9A6113"/>
    <w:rsid w:val="2C9C3242"/>
    <w:rsid w:val="2CA06BAE"/>
    <w:rsid w:val="2CA2761E"/>
    <w:rsid w:val="2CB0615A"/>
    <w:rsid w:val="2CB35427"/>
    <w:rsid w:val="2CB45C2B"/>
    <w:rsid w:val="2CC358D7"/>
    <w:rsid w:val="2CCD473A"/>
    <w:rsid w:val="2CD11238"/>
    <w:rsid w:val="2CD2219E"/>
    <w:rsid w:val="2CD31625"/>
    <w:rsid w:val="2CD952E7"/>
    <w:rsid w:val="2CE94728"/>
    <w:rsid w:val="2CEF3AF8"/>
    <w:rsid w:val="2CF47F19"/>
    <w:rsid w:val="2CF55A3F"/>
    <w:rsid w:val="2CF74F46"/>
    <w:rsid w:val="2CF96EAE"/>
    <w:rsid w:val="2CFA0383"/>
    <w:rsid w:val="2D031F0A"/>
    <w:rsid w:val="2D084189"/>
    <w:rsid w:val="2D0A3299"/>
    <w:rsid w:val="2D0B0DBF"/>
    <w:rsid w:val="2D0B6C44"/>
    <w:rsid w:val="2D0C5682"/>
    <w:rsid w:val="2D0D4B37"/>
    <w:rsid w:val="2D146319"/>
    <w:rsid w:val="2D1668CF"/>
    <w:rsid w:val="2D197980"/>
    <w:rsid w:val="2D1C4D7A"/>
    <w:rsid w:val="2D241E80"/>
    <w:rsid w:val="2D2509FF"/>
    <w:rsid w:val="2D26209C"/>
    <w:rsid w:val="2D27711B"/>
    <w:rsid w:val="2D2A587C"/>
    <w:rsid w:val="2D2F2CFF"/>
    <w:rsid w:val="2D355E3C"/>
    <w:rsid w:val="2D3F12B8"/>
    <w:rsid w:val="2D4553C3"/>
    <w:rsid w:val="2D480265"/>
    <w:rsid w:val="2D4D438B"/>
    <w:rsid w:val="2D60001B"/>
    <w:rsid w:val="2D636E43"/>
    <w:rsid w:val="2D675A40"/>
    <w:rsid w:val="2D683990"/>
    <w:rsid w:val="2D6937A6"/>
    <w:rsid w:val="2D6B0926"/>
    <w:rsid w:val="2D6B1EBC"/>
    <w:rsid w:val="2D6E12D0"/>
    <w:rsid w:val="2D6E4118"/>
    <w:rsid w:val="2D706302"/>
    <w:rsid w:val="2D742C4B"/>
    <w:rsid w:val="2D755EB1"/>
    <w:rsid w:val="2D781B60"/>
    <w:rsid w:val="2D79127C"/>
    <w:rsid w:val="2D7D1DF3"/>
    <w:rsid w:val="2D7E7E55"/>
    <w:rsid w:val="2D7F2A1C"/>
    <w:rsid w:val="2D805468"/>
    <w:rsid w:val="2D8355C6"/>
    <w:rsid w:val="2D842B55"/>
    <w:rsid w:val="2D8437AD"/>
    <w:rsid w:val="2D86579F"/>
    <w:rsid w:val="2D872B3B"/>
    <w:rsid w:val="2D88240F"/>
    <w:rsid w:val="2D8B7A0C"/>
    <w:rsid w:val="2D937732"/>
    <w:rsid w:val="2D9B32A8"/>
    <w:rsid w:val="2D9E56F5"/>
    <w:rsid w:val="2DA52FC1"/>
    <w:rsid w:val="2DAA4A7C"/>
    <w:rsid w:val="2DB30528"/>
    <w:rsid w:val="2DB96A6D"/>
    <w:rsid w:val="2DBB2F77"/>
    <w:rsid w:val="2DBD3EFB"/>
    <w:rsid w:val="2DBE19E0"/>
    <w:rsid w:val="2DC110B7"/>
    <w:rsid w:val="2DCA2C53"/>
    <w:rsid w:val="2DCB7B61"/>
    <w:rsid w:val="2DCC49F2"/>
    <w:rsid w:val="2DD029B5"/>
    <w:rsid w:val="2DD12526"/>
    <w:rsid w:val="2DD478E8"/>
    <w:rsid w:val="2DDC2D6D"/>
    <w:rsid w:val="2DEC68DA"/>
    <w:rsid w:val="2DF02AE0"/>
    <w:rsid w:val="2DFB789B"/>
    <w:rsid w:val="2DFC2367"/>
    <w:rsid w:val="2E0425E4"/>
    <w:rsid w:val="2E0B376C"/>
    <w:rsid w:val="2E123228"/>
    <w:rsid w:val="2E133665"/>
    <w:rsid w:val="2E145612"/>
    <w:rsid w:val="2E195B5E"/>
    <w:rsid w:val="2E1E4B22"/>
    <w:rsid w:val="2E2465DC"/>
    <w:rsid w:val="2E2A0C95"/>
    <w:rsid w:val="2E345F77"/>
    <w:rsid w:val="2E3D144C"/>
    <w:rsid w:val="2E3F6426"/>
    <w:rsid w:val="2E4232BB"/>
    <w:rsid w:val="2E4323D2"/>
    <w:rsid w:val="2E4E18AB"/>
    <w:rsid w:val="2E4F0A34"/>
    <w:rsid w:val="2E507B3E"/>
    <w:rsid w:val="2E513226"/>
    <w:rsid w:val="2E59753B"/>
    <w:rsid w:val="2E5A0250"/>
    <w:rsid w:val="2E5F7E3B"/>
    <w:rsid w:val="2E6432DE"/>
    <w:rsid w:val="2E667F96"/>
    <w:rsid w:val="2E6C2FEE"/>
    <w:rsid w:val="2E70537D"/>
    <w:rsid w:val="2E71161D"/>
    <w:rsid w:val="2E717347"/>
    <w:rsid w:val="2E772BB0"/>
    <w:rsid w:val="2E794F93"/>
    <w:rsid w:val="2E7D05C6"/>
    <w:rsid w:val="2E804392"/>
    <w:rsid w:val="2E8226AB"/>
    <w:rsid w:val="2E8B4C27"/>
    <w:rsid w:val="2E975000"/>
    <w:rsid w:val="2E9F2106"/>
    <w:rsid w:val="2EA414CB"/>
    <w:rsid w:val="2EA6182F"/>
    <w:rsid w:val="2EA80FBB"/>
    <w:rsid w:val="2EA8720D"/>
    <w:rsid w:val="2EA93C02"/>
    <w:rsid w:val="2EB072CC"/>
    <w:rsid w:val="2EB12F93"/>
    <w:rsid w:val="2EB909D8"/>
    <w:rsid w:val="2EBC267F"/>
    <w:rsid w:val="2EBD0591"/>
    <w:rsid w:val="2EBF00B3"/>
    <w:rsid w:val="2EC456C9"/>
    <w:rsid w:val="2ECF0032"/>
    <w:rsid w:val="2ED4702A"/>
    <w:rsid w:val="2ED7364E"/>
    <w:rsid w:val="2ED74AE9"/>
    <w:rsid w:val="2EDC1467"/>
    <w:rsid w:val="2EDC1656"/>
    <w:rsid w:val="2EDF0755"/>
    <w:rsid w:val="2EE26B1C"/>
    <w:rsid w:val="2EE43FBD"/>
    <w:rsid w:val="2EE6240B"/>
    <w:rsid w:val="2EEB534C"/>
    <w:rsid w:val="2EF04710"/>
    <w:rsid w:val="2EF54A21"/>
    <w:rsid w:val="2EF73D2C"/>
    <w:rsid w:val="2EF83000"/>
    <w:rsid w:val="2EF97A69"/>
    <w:rsid w:val="2EFE1143"/>
    <w:rsid w:val="2EFF4953"/>
    <w:rsid w:val="2EFF7082"/>
    <w:rsid w:val="2EFF793F"/>
    <w:rsid w:val="2F01691D"/>
    <w:rsid w:val="2F032695"/>
    <w:rsid w:val="2F130889"/>
    <w:rsid w:val="2F1F0748"/>
    <w:rsid w:val="2F2368B5"/>
    <w:rsid w:val="2F255896"/>
    <w:rsid w:val="2F285C58"/>
    <w:rsid w:val="2F300FB0"/>
    <w:rsid w:val="2F303006"/>
    <w:rsid w:val="2F34284F"/>
    <w:rsid w:val="2F395085"/>
    <w:rsid w:val="2F3A210B"/>
    <w:rsid w:val="2F3F643D"/>
    <w:rsid w:val="2F40308E"/>
    <w:rsid w:val="2F432A92"/>
    <w:rsid w:val="2F4A02C4"/>
    <w:rsid w:val="2F522CD5"/>
    <w:rsid w:val="2F586008"/>
    <w:rsid w:val="2F6157A7"/>
    <w:rsid w:val="2F6724CF"/>
    <w:rsid w:val="2F697F69"/>
    <w:rsid w:val="2F6B39AD"/>
    <w:rsid w:val="2F6C50DB"/>
    <w:rsid w:val="2F6E213C"/>
    <w:rsid w:val="2F7013AD"/>
    <w:rsid w:val="2F7075FF"/>
    <w:rsid w:val="2F722BE0"/>
    <w:rsid w:val="2F786B8B"/>
    <w:rsid w:val="2F7B0FD4"/>
    <w:rsid w:val="2F7D6131"/>
    <w:rsid w:val="2F880BDC"/>
    <w:rsid w:val="2F8A5853"/>
    <w:rsid w:val="2F990904"/>
    <w:rsid w:val="2F9A00CC"/>
    <w:rsid w:val="2F9B467C"/>
    <w:rsid w:val="2F9C6646"/>
    <w:rsid w:val="2F9F40F0"/>
    <w:rsid w:val="2FA06136"/>
    <w:rsid w:val="2FA10D67"/>
    <w:rsid w:val="2FA31782"/>
    <w:rsid w:val="2FAA48BF"/>
    <w:rsid w:val="2FAC6889"/>
    <w:rsid w:val="2FBC3E88"/>
    <w:rsid w:val="2FC87C4C"/>
    <w:rsid w:val="2FCB590C"/>
    <w:rsid w:val="2FCC0CD9"/>
    <w:rsid w:val="2FCD0BDE"/>
    <w:rsid w:val="2FCE2CA3"/>
    <w:rsid w:val="2FD065E6"/>
    <w:rsid w:val="2FD63906"/>
    <w:rsid w:val="2FD96870"/>
    <w:rsid w:val="2FDE0A0C"/>
    <w:rsid w:val="2FE04785"/>
    <w:rsid w:val="2FE06533"/>
    <w:rsid w:val="2FE3113A"/>
    <w:rsid w:val="2FE95B0A"/>
    <w:rsid w:val="2FF124EE"/>
    <w:rsid w:val="2FF47991"/>
    <w:rsid w:val="2FF63B4F"/>
    <w:rsid w:val="2FFC6C13"/>
    <w:rsid w:val="2FFE2E5D"/>
    <w:rsid w:val="30041638"/>
    <w:rsid w:val="300512D8"/>
    <w:rsid w:val="300A35B0"/>
    <w:rsid w:val="302063B0"/>
    <w:rsid w:val="302D7FD6"/>
    <w:rsid w:val="302E54F0"/>
    <w:rsid w:val="3036619F"/>
    <w:rsid w:val="3039582C"/>
    <w:rsid w:val="303B7C0D"/>
    <w:rsid w:val="303D3985"/>
    <w:rsid w:val="303E14AB"/>
    <w:rsid w:val="303F76FD"/>
    <w:rsid w:val="30413030"/>
    <w:rsid w:val="304271ED"/>
    <w:rsid w:val="30580BC9"/>
    <w:rsid w:val="3059427B"/>
    <w:rsid w:val="305C2FC6"/>
    <w:rsid w:val="305D500C"/>
    <w:rsid w:val="305F2FFB"/>
    <w:rsid w:val="306058C5"/>
    <w:rsid w:val="30631515"/>
    <w:rsid w:val="306453B6"/>
    <w:rsid w:val="30695770"/>
    <w:rsid w:val="307355F9"/>
    <w:rsid w:val="30753E90"/>
    <w:rsid w:val="30766E97"/>
    <w:rsid w:val="307C242D"/>
    <w:rsid w:val="307F3F9D"/>
    <w:rsid w:val="30801A0C"/>
    <w:rsid w:val="30817D16"/>
    <w:rsid w:val="30890978"/>
    <w:rsid w:val="308B46F0"/>
    <w:rsid w:val="308C66BA"/>
    <w:rsid w:val="309644F8"/>
    <w:rsid w:val="309D61D2"/>
    <w:rsid w:val="30A026E0"/>
    <w:rsid w:val="30A25EDE"/>
    <w:rsid w:val="30A9726C"/>
    <w:rsid w:val="30AF7BB1"/>
    <w:rsid w:val="30B22B0F"/>
    <w:rsid w:val="30B34DB1"/>
    <w:rsid w:val="30B718E5"/>
    <w:rsid w:val="30BA4FD6"/>
    <w:rsid w:val="30C012E1"/>
    <w:rsid w:val="30C20DE2"/>
    <w:rsid w:val="30C37755"/>
    <w:rsid w:val="30CB2D3F"/>
    <w:rsid w:val="30D02C0F"/>
    <w:rsid w:val="30DB0A51"/>
    <w:rsid w:val="30DF4A3C"/>
    <w:rsid w:val="30E17496"/>
    <w:rsid w:val="30E402A4"/>
    <w:rsid w:val="30E43E01"/>
    <w:rsid w:val="30E91417"/>
    <w:rsid w:val="30ED7159"/>
    <w:rsid w:val="30ED79BA"/>
    <w:rsid w:val="30F10FED"/>
    <w:rsid w:val="30F30104"/>
    <w:rsid w:val="30FF50DE"/>
    <w:rsid w:val="310049FD"/>
    <w:rsid w:val="31091AB9"/>
    <w:rsid w:val="31101099"/>
    <w:rsid w:val="31114307"/>
    <w:rsid w:val="311470F2"/>
    <w:rsid w:val="311E2ED7"/>
    <w:rsid w:val="31215055"/>
    <w:rsid w:val="31280191"/>
    <w:rsid w:val="312863E3"/>
    <w:rsid w:val="31294B7E"/>
    <w:rsid w:val="312B176A"/>
    <w:rsid w:val="312D57A8"/>
    <w:rsid w:val="31375A5B"/>
    <w:rsid w:val="313E07C1"/>
    <w:rsid w:val="31402DA4"/>
    <w:rsid w:val="31453C03"/>
    <w:rsid w:val="31482D42"/>
    <w:rsid w:val="314A45AB"/>
    <w:rsid w:val="314B20D2"/>
    <w:rsid w:val="315148F7"/>
    <w:rsid w:val="31532E23"/>
    <w:rsid w:val="315619EE"/>
    <w:rsid w:val="31574153"/>
    <w:rsid w:val="315C449C"/>
    <w:rsid w:val="31644D19"/>
    <w:rsid w:val="316466C6"/>
    <w:rsid w:val="31751578"/>
    <w:rsid w:val="3179279B"/>
    <w:rsid w:val="317D360B"/>
    <w:rsid w:val="318123B0"/>
    <w:rsid w:val="318E3088"/>
    <w:rsid w:val="31901E9C"/>
    <w:rsid w:val="319121DA"/>
    <w:rsid w:val="31940792"/>
    <w:rsid w:val="319B6F8D"/>
    <w:rsid w:val="319F049E"/>
    <w:rsid w:val="31A33CBC"/>
    <w:rsid w:val="31A61DD6"/>
    <w:rsid w:val="31A812D2"/>
    <w:rsid w:val="31AA6DF8"/>
    <w:rsid w:val="31AB2B70"/>
    <w:rsid w:val="31AE1873"/>
    <w:rsid w:val="31B82709"/>
    <w:rsid w:val="31BB0BC0"/>
    <w:rsid w:val="31BE5FE3"/>
    <w:rsid w:val="31C02740"/>
    <w:rsid w:val="31C0661C"/>
    <w:rsid w:val="31C14142"/>
    <w:rsid w:val="31C83EB2"/>
    <w:rsid w:val="31C872F8"/>
    <w:rsid w:val="31CF685F"/>
    <w:rsid w:val="31D05482"/>
    <w:rsid w:val="31D1502B"/>
    <w:rsid w:val="31D200FD"/>
    <w:rsid w:val="31D30B9E"/>
    <w:rsid w:val="31D8756B"/>
    <w:rsid w:val="31D976DD"/>
    <w:rsid w:val="31DA3958"/>
    <w:rsid w:val="31DF0A58"/>
    <w:rsid w:val="31E42C33"/>
    <w:rsid w:val="31E577F4"/>
    <w:rsid w:val="31EE68A5"/>
    <w:rsid w:val="31EF6F01"/>
    <w:rsid w:val="31F664E1"/>
    <w:rsid w:val="31F77B64"/>
    <w:rsid w:val="31F80B82"/>
    <w:rsid w:val="32035321"/>
    <w:rsid w:val="32087FC3"/>
    <w:rsid w:val="320B289A"/>
    <w:rsid w:val="320B2910"/>
    <w:rsid w:val="320F62E8"/>
    <w:rsid w:val="32140715"/>
    <w:rsid w:val="32144BB9"/>
    <w:rsid w:val="321921D0"/>
    <w:rsid w:val="321B63FB"/>
    <w:rsid w:val="321F3EBE"/>
    <w:rsid w:val="32204A65"/>
    <w:rsid w:val="32220EC5"/>
    <w:rsid w:val="32244DFC"/>
    <w:rsid w:val="322C509C"/>
    <w:rsid w:val="32316F1C"/>
    <w:rsid w:val="323A4CC3"/>
    <w:rsid w:val="323C1BAF"/>
    <w:rsid w:val="323D4FEB"/>
    <w:rsid w:val="323E39E4"/>
    <w:rsid w:val="32400B34"/>
    <w:rsid w:val="3241643E"/>
    <w:rsid w:val="324A2389"/>
    <w:rsid w:val="324D2459"/>
    <w:rsid w:val="324F3ED3"/>
    <w:rsid w:val="3251196A"/>
    <w:rsid w:val="32512471"/>
    <w:rsid w:val="325154C6"/>
    <w:rsid w:val="32535D24"/>
    <w:rsid w:val="3265795A"/>
    <w:rsid w:val="32664ABA"/>
    <w:rsid w:val="326D0505"/>
    <w:rsid w:val="3273564B"/>
    <w:rsid w:val="327F0285"/>
    <w:rsid w:val="327F6CA0"/>
    <w:rsid w:val="32857CE4"/>
    <w:rsid w:val="3286409A"/>
    <w:rsid w:val="32897AE4"/>
    <w:rsid w:val="328E04C8"/>
    <w:rsid w:val="329055FB"/>
    <w:rsid w:val="32905708"/>
    <w:rsid w:val="32917FB8"/>
    <w:rsid w:val="32956EC4"/>
    <w:rsid w:val="3296737C"/>
    <w:rsid w:val="329A50BF"/>
    <w:rsid w:val="329E6876"/>
    <w:rsid w:val="32A10BAA"/>
    <w:rsid w:val="32A35AD3"/>
    <w:rsid w:val="32A67A2B"/>
    <w:rsid w:val="32AB107A"/>
    <w:rsid w:val="32B74679"/>
    <w:rsid w:val="32BC3287"/>
    <w:rsid w:val="32C86FE3"/>
    <w:rsid w:val="32CB62C2"/>
    <w:rsid w:val="32CD0439"/>
    <w:rsid w:val="32CF7DD0"/>
    <w:rsid w:val="32D3412D"/>
    <w:rsid w:val="32D75F52"/>
    <w:rsid w:val="32DC56D7"/>
    <w:rsid w:val="32DD31FD"/>
    <w:rsid w:val="32E12CEE"/>
    <w:rsid w:val="32E807C0"/>
    <w:rsid w:val="32EE0F67"/>
    <w:rsid w:val="32F347CF"/>
    <w:rsid w:val="32F742BF"/>
    <w:rsid w:val="32FD1952"/>
    <w:rsid w:val="32FF1F75"/>
    <w:rsid w:val="32FF3876"/>
    <w:rsid w:val="33004208"/>
    <w:rsid w:val="33016F58"/>
    <w:rsid w:val="3309758F"/>
    <w:rsid w:val="330B3EFF"/>
    <w:rsid w:val="330C0FF8"/>
    <w:rsid w:val="330C350E"/>
    <w:rsid w:val="330C6C9B"/>
    <w:rsid w:val="3310161C"/>
    <w:rsid w:val="331A77C2"/>
    <w:rsid w:val="331D1E52"/>
    <w:rsid w:val="331D7A9E"/>
    <w:rsid w:val="33284891"/>
    <w:rsid w:val="332C6426"/>
    <w:rsid w:val="3330157F"/>
    <w:rsid w:val="333015F2"/>
    <w:rsid w:val="33333A89"/>
    <w:rsid w:val="333742B3"/>
    <w:rsid w:val="33380434"/>
    <w:rsid w:val="333E6D47"/>
    <w:rsid w:val="33414383"/>
    <w:rsid w:val="33423532"/>
    <w:rsid w:val="33435756"/>
    <w:rsid w:val="334B6320"/>
    <w:rsid w:val="334E7C57"/>
    <w:rsid w:val="33525999"/>
    <w:rsid w:val="33550FE6"/>
    <w:rsid w:val="33572FB0"/>
    <w:rsid w:val="3361798A"/>
    <w:rsid w:val="336442B8"/>
    <w:rsid w:val="336D0FFA"/>
    <w:rsid w:val="337771AE"/>
    <w:rsid w:val="33784CD4"/>
    <w:rsid w:val="33865058"/>
    <w:rsid w:val="338B4A07"/>
    <w:rsid w:val="338D4C23"/>
    <w:rsid w:val="338E62A6"/>
    <w:rsid w:val="33993129"/>
    <w:rsid w:val="339F57A5"/>
    <w:rsid w:val="33A0249C"/>
    <w:rsid w:val="33AF4B9A"/>
    <w:rsid w:val="33B51A84"/>
    <w:rsid w:val="33B57CD6"/>
    <w:rsid w:val="33C43F6C"/>
    <w:rsid w:val="33C7011B"/>
    <w:rsid w:val="33C76CDC"/>
    <w:rsid w:val="33CB74FA"/>
    <w:rsid w:val="33D16FF0"/>
    <w:rsid w:val="33D26ADA"/>
    <w:rsid w:val="33D6196F"/>
    <w:rsid w:val="33D934D4"/>
    <w:rsid w:val="33DC34B5"/>
    <w:rsid w:val="33DE0FDB"/>
    <w:rsid w:val="33DE56E7"/>
    <w:rsid w:val="33E33A03"/>
    <w:rsid w:val="33E660E2"/>
    <w:rsid w:val="33E77129"/>
    <w:rsid w:val="33FE2F6A"/>
    <w:rsid w:val="34017DC6"/>
    <w:rsid w:val="340E07E5"/>
    <w:rsid w:val="34120C85"/>
    <w:rsid w:val="34235BF7"/>
    <w:rsid w:val="342A06C4"/>
    <w:rsid w:val="342F02AC"/>
    <w:rsid w:val="342F5CDB"/>
    <w:rsid w:val="343261D9"/>
    <w:rsid w:val="34347D82"/>
    <w:rsid w:val="34352622"/>
    <w:rsid w:val="3437693D"/>
    <w:rsid w:val="34382F9E"/>
    <w:rsid w:val="34480B4A"/>
    <w:rsid w:val="344F012B"/>
    <w:rsid w:val="344F04C2"/>
    <w:rsid w:val="345179FF"/>
    <w:rsid w:val="34525525"/>
    <w:rsid w:val="34563267"/>
    <w:rsid w:val="34640C62"/>
    <w:rsid w:val="34645984"/>
    <w:rsid w:val="346911EC"/>
    <w:rsid w:val="346A0AC1"/>
    <w:rsid w:val="346C1981"/>
    <w:rsid w:val="347E456C"/>
    <w:rsid w:val="34854D79"/>
    <w:rsid w:val="348B1D21"/>
    <w:rsid w:val="34963664"/>
    <w:rsid w:val="349744F2"/>
    <w:rsid w:val="349A13A6"/>
    <w:rsid w:val="349D4D61"/>
    <w:rsid w:val="34A165BD"/>
    <w:rsid w:val="34A8146D"/>
    <w:rsid w:val="34A841CD"/>
    <w:rsid w:val="34A915E9"/>
    <w:rsid w:val="34A9783B"/>
    <w:rsid w:val="34AE3693"/>
    <w:rsid w:val="34B02F5C"/>
    <w:rsid w:val="34B359E3"/>
    <w:rsid w:val="34B73989"/>
    <w:rsid w:val="34B8182C"/>
    <w:rsid w:val="34BC2275"/>
    <w:rsid w:val="34C06933"/>
    <w:rsid w:val="34C127B3"/>
    <w:rsid w:val="34C47A32"/>
    <w:rsid w:val="34C67823"/>
    <w:rsid w:val="34CD158B"/>
    <w:rsid w:val="34D128EE"/>
    <w:rsid w:val="34DA1D12"/>
    <w:rsid w:val="34E152F0"/>
    <w:rsid w:val="34E50618"/>
    <w:rsid w:val="34E52D2A"/>
    <w:rsid w:val="34E83EDF"/>
    <w:rsid w:val="34EC50F6"/>
    <w:rsid w:val="34ED7EF4"/>
    <w:rsid w:val="34EE7003"/>
    <w:rsid w:val="34F17BD2"/>
    <w:rsid w:val="34F31C6D"/>
    <w:rsid w:val="34F32864"/>
    <w:rsid w:val="34F76C00"/>
    <w:rsid w:val="34F9181E"/>
    <w:rsid w:val="34FD1F97"/>
    <w:rsid w:val="34FD7B87"/>
    <w:rsid w:val="34FF745B"/>
    <w:rsid w:val="35006496"/>
    <w:rsid w:val="35011425"/>
    <w:rsid w:val="35061BEB"/>
    <w:rsid w:val="350835B7"/>
    <w:rsid w:val="350B5E00"/>
    <w:rsid w:val="3511718E"/>
    <w:rsid w:val="35162618"/>
    <w:rsid w:val="351A26AD"/>
    <w:rsid w:val="351A5B50"/>
    <w:rsid w:val="351A6687"/>
    <w:rsid w:val="351C625F"/>
    <w:rsid w:val="35280B04"/>
    <w:rsid w:val="35284ED7"/>
    <w:rsid w:val="352B64A2"/>
    <w:rsid w:val="35302879"/>
    <w:rsid w:val="353273FC"/>
    <w:rsid w:val="35336A8F"/>
    <w:rsid w:val="35352E7D"/>
    <w:rsid w:val="3536285A"/>
    <w:rsid w:val="35414E83"/>
    <w:rsid w:val="3547587F"/>
    <w:rsid w:val="35497529"/>
    <w:rsid w:val="354B26A0"/>
    <w:rsid w:val="3550415A"/>
    <w:rsid w:val="3555351F"/>
    <w:rsid w:val="355B43B6"/>
    <w:rsid w:val="355C48AD"/>
    <w:rsid w:val="355D3F38"/>
    <w:rsid w:val="355F439E"/>
    <w:rsid w:val="3562499E"/>
    <w:rsid w:val="35660394"/>
    <w:rsid w:val="356653D8"/>
    <w:rsid w:val="356B2D42"/>
    <w:rsid w:val="356C7BB0"/>
    <w:rsid w:val="357716E7"/>
    <w:rsid w:val="35775243"/>
    <w:rsid w:val="35777939"/>
    <w:rsid w:val="35797DA0"/>
    <w:rsid w:val="357A2F85"/>
    <w:rsid w:val="357A3318"/>
    <w:rsid w:val="357E0CC8"/>
    <w:rsid w:val="357F234A"/>
    <w:rsid w:val="3583008C"/>
    <w:rsid w:val="358362DE"/>
    <w:rsid w:val="35841462"/>
    <w:rsid w:val="358418FF"/>
    <w:rsid w:val="35845033"/>
    <w:rsid w:val="3586192A"/>
    <w:rsid w:val="358B5193"/>
    <w:rsid w:val="358C5FA8"/>
    <w:rsid w:val="359C73A0"/>
    <w:rsid w:val="359E4828"/>
    <w:rsid w:val="35A91D73"/>
    <w:rsid w:val="35AD5109"/>
    <w:rsid w:val="35B263A1"/>
    <w:rsid w:val="35B46497"/>
    <w:rsid w:val="35B6666C"/>
    <w:rsid w:val="35BC359E"/>
    <w:rsid w:val="35BE79BB"/>
    <w:rsid w:val="35C10BB4"/>
    <w:rsid w:val="35C15DF1"/>
    <w:rsid w:val="35C80195"/>
    <w:rsid w:val="35C975B9"/>
    <w:rsid w:val="35CA46A7"/>
    <w:rsid w:val="35CC0677"/>
    <w:rsid w:val="35CD1307"/>
    <w:rsid w:val="35CD57AB"/>
    <w:rsid w:val="35CE6E2D"/>
    <w:rsid w:val="35D46B3A"/>
    <w:rsid w:val="35D54660"/>
    <w:rsid w:val="35D5682F"/>
    <w:rsid w:val="35DA584C"/>
    <w:rsid w:val="35DC279E"/>
    <w:rsid w:val="35DE3514"/>
    <w:rsid w:val="35EA13B3"/>
    <w:rsid w:val="35EA1EB9"/>
    <w:rsid w:val="35ED7BFB"/>
    <w:rsid w:val="35EF5721"/>
    <w:rsid w:val="35F25212"/>
    <w:rsid w:val="35F57E0B"/>
    <w:rsid w:val="35F81A92"/>
    <w:rsid w:val="35FC1BEC"/>
    <w:rsid w:val="360311CD"/>
    <w:rsid w:val="36074A7F"/>
    <w:rsid w:val="36074B6F"/>
    <w:rsid w:val="36121410"/>
    <w:rsid w:val="36131B0B"/>
    <w:rsid w:val="3614411B"/>
    <w:rsid w:val="36154A5C"/>
    <w:rsid w:val="361707D4"/>
    <w:rsid w:val="361A4A58"/>
    <w:rsid w:val="36280C33"/>
    <w:rsid w:val="3628478F"/>
    <w:rsid w:val="362A5FE2"/>
    <w:rsid w:val="36356EAC"/>
    <w:rsid w:val="363650FE"/>
    <w:rsid w:val="363C023B"/>
    <w:rsid w:val="363D4742"/>
    <w:rsid w:val="36405F1E"/>
    <w:rsid w:val="36435A6D"/>
    <w:rsid w:val="36462E68"/>
    <w:rsid w:val="3647517A"/>
    <w:rsid w:val="36484E32"/>
    <w:rsid w:val="364A4237"/>
    <w:rsid w:val="364A6DFC"/>
    <w:rsid w:val="36520DD3"/>
    <w:rsid w:val="36523A27"/>
    <w:rsid w:val="36577C54"/>
    <w:rsid w:val="365B2DB7"/>
    <w:rsid w:val="366F0610"/>
    <w:rsid w:val="367529DA"/>
    <w:rsid w:val="367914A0"/>
    <w:rsid w:val="36794FEB"/>
    <w:rsid w:val="367C137F"/>
    <w:rsid w:val="368C4D1E"/>
    <w:rsid w:val="368D02E5"/>
    <w:rsid w:val="368E0642"/>
    <w:rsid w:val="36910587"/>
    <w:rsid w:val="36923549"/>
    <w:rsid w:val="36962041"/>
    <w:rsid w:val="36963DEF"/>
    <w:rsid w:val="36B57D03"/>
    <w:rsid w:val="36B75FBF"/>
    <w:rsid w:val="36BA433B"/>
    <w:rsid w:val="36BD0C45"/>
    <w:rsid w:val="36C22631"/>
    <w:rsid w:val="36C3068E"/>
    <w:rsid w:val="36CD0C7C"/>
    <w:rsid w:val="36D13079"/>
    <w:rsid w:val="36D26D1E"/>
    <w:rsid w:val="36D668E1"/>
    <w:rsid w:val="36E27034"/>
    <w:rsid w:val="36E83F1F"/>
    <w:rsid w:val="36F4364C"/>
    <w:rsid w:val="36F9749B"/>
    <w:rsid w:val="36FA4E0F"/>
    <w:rsid w:val="36FF7BE6"/>
    <w:rsid w:val="37031712"/>
    <w:rsid w:val="37040D59"/>
    <w:rsid w:val="370945C1"/>
    <w:rsid w:val="370D0427"/>
    <w:rsid w:val="370F16D6"/>
    <w:rsid w:val="37130057"/>
    <w:rsid w:val="3713451D"/>
    <w:rsid w:val="37162EF3"/>
    <w:rsid w:val="371B2546"/>
    <w:rsid w:val="371C7816"/>
    <w:rsid w:val="371F7D04"/>
    <w:rsid w:val="37210568"/>
    <w:rsid w:val="37242211"/>
    <w:rsid w:val="372431A9"/>
    <w:rsid w:val="37265173"/>
    <w:rsid w:val="372D7FF2"/>
    <w:rsid w:val="373D070E"/>
    <w:rsid w:val="373D3165"/>
    <w:rsid w:val="374750E9"/>
    <w:rsid w:val="374B2E2B"/>
    <w:rsid w:val="374D7016"/>
    <w:rsid w:val="375515B4"/>
    <w:rsid w:val="37596BE7"/>
    <w:rsid w:val="375B2943"/>
    <w:rsid w:val="37611701"/>
    <w:rsid w:val="376173AC"/>
    <w:rsid w:val="37620175"/>
    <w:rsid w:val="37634349"/>
    <w:rsid w:val="376D0D73"/>
    <w:rsid w:val="3774188A"/>
    <w:rsid w:val="37814BF8"/>
    <w:rsid w:val="378241E9"/>
    <w:rsid w:val="37863E63"/>
    <w:rsid w:val="378749FA"/>
    <w:rsid w:val="378A6E0D"/>
    <w:rsid w:val="37910ACC"/>
    <w:rsid w:val="379272E6"/>
    <w:rsid w:val="37950385"/>
    <w:rsid w:val="37971BCD"/>
    <w:rsid w:val="37991DE9"/>
    <w:rsid w:val="379C0B45"/>
    <w:rsid w:val="379C5435"/>
    <w:rsid w:val="37A02291"/>
    <w:rsid w:val="37A4078E"/>
    <w:rsid w:val="37A66995"/>
    <w:rsid w:val="37A8202C"/>
    <w:rsid w:val="37A94BA2"/>
    <w:rsid w:val="37AD1E60"/>
    <w:rsid w:val="37B6264F"/>
    <w:rsid w:val="37BB326A"/>
    <w:rsid w:val="37C4498C"/>
    <w:rsid w:val="37C7616F"/>
    <w:rsid w:val="37C869EA"/>
    <w:rsid w:val="37D13BC6"/>
    <w:rsid w:val="37D20015"/>
    <w:rsid w:val="37D344AD"/>
    <w:rsid w:val="37D70BC3"/>
    <w:rsid w:val="37D72911"/>
    <w:rsid w:val="37D83F93"/>
    <w:rsid w:val="37D96F9C"/>
    <w:rsid w:val="37DA5909"/>
    <w:rsid w:val="37DD32E2"/>
    <w:rsid w:val="37E00298"/>
    <w:rsid w:val="37E1109A"/>
    <w:rsid w:val="37E1553E"/>
    <w:rsid w:val="37E2174F"/>
    <w:rsid w:val="37E56DDC"/>
    <w:rsid w:val="37E80261"/>
    <w:rsid w:val="37EB3CC7"/>
    <w:rsid w:val="37EE37B7"/>
    <w:rsid w:val="37F20084"/>
    <w:rsid w:val="37F33DCA"/>
    <w:rsid w:val="38005022"/>
    <w:rsid w:val="38013777"/>
    <w:rsid w:val="38022469"/>
    <w:rsid w:val="380234E6"/>
    <w:rsid w:val="380413BF"/>
    <w:rsid w:val="38087231"/>
    <w:rsid w:val="380D0444"/>
    <w:rsid w:val="38187C25"/>
    <w:rsid w:val="382362EA"/>
    <w:rsid w:val="38273AE0"/>
    <w:rsid w:val="3828047D"/>
    <w:rsid w:val="382B2F5D"/>
    <w:rsid w:val="382D3204"/>
    <w:rsid w:val="382F26B3"/>
    <w:rsid w:val="383A5E3D"/>
    <w:rsid w:val="383E473E"/>
    <w:rsid w:val="38415FDC"/>
    <w:rsid w:val="38417D8A"/>
    <w:rsid w:val="38430930"/>
    <w:rsid w:val="38507965"/>
    <w:rsid w:val="3851621F"/>
    <w:rsid w:val="38561A88"/>
    <w:rsid w:val="38575800"/>
    <w:rsid w:val="386121DB"/>
    <w:rsid w:val="3863358F"/>
    <w:rsid w:val="3864073E"/>
    <w:rsid w:val="386B727B"/>
    <w:rsid w:val="386D0B7F"/>
    <w:rsid w:val="387328C9"/>
    <w:rsid w:val="387719FE"/>
    <w:rsid w:val="387800A4"/>
    <w:rsid w:val="38795776"/>
    <w:rsid w:val="387D27B9"/>
    <w:rsid w:val="38822931"/>
    <w:rsid w:val="388B64BB"/>
    <w:rsid w:val="388D2FD0"/>
    <w:rsid w:val="388F0AF6"/>
    <w:rsid w:val="389142C7"/>
    <w:rsid w:val="389205E6"/>
    <w:rsid w:val="3894378C"/>
    <w:rsid w:val="38966296"/>
    <w:rsid w:val="389A1363"/>
    <w:rsid w:val="389B1F7E"/>
    <w:rsid w:val="389E09C9"/>
    <w:rsid w:val="38AC16A8"/>
    <w:rsid w:val="38AD71CE"/>
    <w:rsid w:val="38B16CBE"/>
    <w:rsid w:val="38B302F9"/>
    <w:rsid w:val="38B36EDA"/>
    <w:rsid w:val="38B77CE5"/>
    <w:rsid w:val="38B95B73"/>
    <w:rsid w:val="38BC0459"/>
    <w:rsid w:val="38BD198E"/>
    <w:rsid w:val="38BE091C"/>
    <w:rsid w:val="38BE13DB"/>
    <w:rsid w:val="38C24E46"/>
    <w:rsid w:val="38C8225A"/>
    <w:rsid w:val="38C92167"/>
    <w:rsid w:val="38C9319D"/>
    <w:rsid w:val="38CA1425"/>
    <w:rsid w:val="38CA4224"/>
    <w:rsid w:val="38CF14E1"/>
    <w:rsid w:val="38CF183A"/>
    <w:rsid w:val="38D37892"/>
    <w:rsid w:val="38D91725"/>
    <w:rsid w:val="38E51487"/>
    <w:rsid w:val="38E65DD9"/>
    <w:rsid w:val="38EC7CF6"/>
    <w:rsid w:val="38F12CD3"/>
    <w:rsid w:val="38F142C0"/>
    <w:rsid w:val="38F17A02"/>
    <w:rsid w:val="38F244C5"/>
    <w:rsid w:val="38F31085"/>
    <w:rsid w:val="38F372D7"/>
    <w:rsid w:val="38F375F3"/>
    <w:rsid w:val="38F80D91"/>
    <w:rsid w:val="38F94775"/>
    <w:rsid w:val="38FC0F83"/>
    <w:rsid w:val="38FD1F03"/>
    <w:rsid w:val="39101DFC"/>
    <w:rsid w:val="39111E53"/>
    <w:rsid w:val="39140DAC"/>
    <w:rsid w:val="39162FC5"/>
    <w:rsid w:val="391B682D"/>
    <w:rsid w:val="391F7852"/>
    <w:rsid w:val="39203E44"/>
    <w:rsid w:val="392971ED"/>
    <w:rsid w:val="392A2FD2"/>
    <w:rsid w:val="392C29C6"/>
    <w:rsid w:val="392E47B3"/>
    <w:rsid w:val="3930052B"/>
    <w:rsid w:val="39325651"/>
    <w:rsid w:val="39333B77"/>
    <w:rsid w:val="39363667"/>
    <w:rsid w:val="39375D39"/>
    <w:rsid w:val="39395293"/>
    <w:rsid w:val="39396CB4"/>
    <w:rsid w:val="393D0552"/>
    <w:rsid w:val="39405540"/>
    <w:rsid w:val="39407539"/>
    <w:rsid w:val="39413A79"/>
    <w:rsid w:val="394C2E8B"/>
    <w:rsid w:val="39504729"/>
    <w:rsid w:val="3954364C"/>
    <w:rsid w:val="3956042C"/>
    <w:rsid w:val="3962620A"/>
    <w:rsid w:val="39676327"/>
    <w:rsid w:val="39680F50"/>
    <w:rsid w:val="396E3AC2"/>
    <w:rsid w:val="396E4BAF"/>
    <w:rsid w:val="39700E21"/>
    <w:rsid w:val="397612EC"/>
    <w:rsid w:val="397A79F8"/>
    <w:rsid w:val="397C551E"/>
    <w:rsid w:val="39825D37"/>
    <w:rsid w:val="3986495F"/>
    <w:rsid w:val="398E34A3"/>
    <w:rsid w:val="39916D64"/>
    <w:rsid w:val="399D7242"/>
    <w:rsid w:val="39A405D1"/>
    <w:rsid w:val="39AD1BA6"/>
    <w:rsid w:val="39B36C56"/>
    <w:rsid w:val="39B3709D"/>
    <w:rsid w:val="39B60304"/>
    <w:rsid w:val="39BA6046"/>
    <w:rsid w:val="39BB7972"/>
    <w:rsid w:val="39CB2002"/>
    <w:rsid w:val="39CB3DB0"/>
    <w:rsid w:val="39D07618"/>
    <w:rsid w:val="39D61F9D"/>
    <w:rsid w:val="39D776C2"/>
    <w:rsid w:val="39D80764"/>
    <w:rsid w:val="39DB7B85"/>
    <w:rsid w:val="39DF133D"/>
    <w:rsid w:val="39DF3CFF"/>
    <w:rsid w:val="39E35864"/>
    <w:rsid w:val="39E85508"/>
    <w:rsid w:val="39EC2F80"/>
    <w:rsid w:val="39EE64DB"/>
    <w:rsid w:val="39F72DF7"/>
    <w:rsid w:val="39FE4185"/>
    <w:rsid w:val="39FF1CAB"/>
    <w:rsid w:val="39FF7EFD"/>
    <w:rsid w:val="3A096AFB"/>
    <w:rsid w:val="3A0A7CB4"/>
    <w:rsid w:val="3A123FB6"/>
    <w:rsid w:val="3A1A0893"/>
    <w:rsid w:val="3A2160C5"/>
    <w:rsid w:val="3A267DA8"/>
    <w:rsid w:val="3A2B0CF2"/>
    <w:rsid w:val="3A2F2590"/>
    <w:rsid w:val="3A2F518E"/>
    <w:rsid w:val="3A3C2EFF"/>
    <w:rsid w:val="3A3E2F27"/>
    <w:rsid w:val="3A43603C"/>
    <w:rsid w:val="3A464844"/>
    <w:rsid w:val="3A467FF1"/>
    <w:rsid w:val="3A4C15CA"/>
    <w:rsid w:val="3A4F1AB9"/>
    <w:rsid w:val="3A507036"/>
    <w:rsid w:val="3A524858"/>
    <w:rsid w:val="3A533F40"/>
    <w:rsid w:val="3A6F6E31"/>
    <w:rsid w:val="3A7C32FC"/>
    <w:rsid w:val="3A80292E"/>
    <w:rsid w:val="3A872856"/>
    <w:rsid w:val="3A8B353F"/>
    <w:rsid w:val="3A8D72B7"/>
    <w:rsid w:val="3A9458DE"/>
    <w:rsid w:val="3A96260F"/>
    <w:rsid w:val="3A975DF9"/>
    <w:rsid w:val="3A9E3272"/>
    <w:rsid w:val="3AA0503A"/>
    <w:rsid w:val="3AA20FB4"/>
    <w:rsid w:val="3AA24006"/>
    <w:rsid w:val="3AA33AB5"/>
    <w:rsid w:val="3AA83D03"/>
    <w:rsid w:val="3AB577B2"/>
    <w:rsid w:val="3AB900AC"/>
    <w:rsid w:val="3ABB2076"/>
    <w:rsid w:val="3ABB3E24"/>
    <w:rsid w:val="3AC151B3"/>
    <w:rsid w:val="3AC3717D"/>
    <w:rsid w:val="3AC54CA3"/>
    <w:rsid w:val="3AD60C5E"/>
    <w:rsid w:val="3ADD6E62"/>
    <w:rsid w:val="3AE22668"/>
    <w:rsid w:val="3AE5322D"/>
    <w:rsid w:val="3AE570F3"/>
    <w:rsid w:val="3AE96BE3"/>
    <w:rsid w:val="3AEA4709"/>
    <w:rsid w:val="3AEB7108"/>
    <w:rsid w:val="3AF10756"/>
    <w:rsid w:val="3AF47336"/>
    <w:rsid w:val="3AF84CC0"/>
    <w:rsid w:val="3AFE1F63"/>
    <w:rsid w:val="3B003A67"/>
    <w:rsid w:val="3B004548"/>
    <w:rsid w:val="3B027CA5"/>
    <w:rsid w:val="3B037579"/>
    <w:rsid w:val="3B0449E1"/>
    <w:rsid w:val="3B051B7D"/>
    <w:rsid w:val="3B084B8F"/>
    <w:rsid w:val="3B091033"/>
    <w:rsid w:val="3B1663F2"/>
    <w:rsid w:val="3B166E68"/>
    <w:rsid w:val="3B190B4B"/>
    <w:rsid w:val="3B220A43"/>
    <w:rsid w:val="3B27171D"/>
    <w:rsid w:val="3B273268"/>
    <w:rsid w:val="3B293484"/>
    <w:rsid w:val="3B2A2D58"/>
    <w:rsid w:val="3B2C087E"/>
    <w:rsid w:val="3B362B15"/>
    <w:rsid w:val="3B3763D1"/>
    <w:rsid w:val="3B3812C8"/>
    <w:rsid w:val="3B3A078A"/>
    <w:rsid w:val="3B3F32BB"/>
    <w:rsid w:val="3B3F4A55"/>
    <w:rsid w:val="3B4200A1"/>
    <w:rsid w:val="3B4756B8"/>
    <w:rsid w:val="3B4958D4"/>
    <w:rsid w:val="3B4F19D5"/>
    <w:rsid w:val="3B57144D"/>
    <w:rsid w:val="3B573045"/>
    <w:rsid w:val="3B633E12"/>
    <w:rsid w:val="3B716BD9"/>
    <w:rsid w:val="3B7B4F7B"/>
    <w:rsid w:val="3B893F22"/>
    <w:rsid w:val="3B8E32E7"/>
    <w:rsid w:val="3B936ECA"/>
    <w:rsid w:val="3B954675"/>
    <w:rsid w:val="3B9652DE"/>
    <w:rsid w:val="3B98214E"/>
    <w:rsid w:val="3B9B6A03"/>
    <w:rsid w:val="3B9D79CE"/>
    <w:rsid w:val="3B9F54F4"/>
    <w:rsid w:val="3BA23236"/>
    <w:rsid w:val="3BA6165B"/>
    <w:rsid w:val="3BA64AD4"/>
    <w:rsid w:val="3BAC5E63"/>
    <w:rsid w:val="3BB0325D"/>
    <w:rsid w:val="3BB07701"/>
    <w:rsid w:val="3BB07762"/>
    <w:rsid w:val="3BB52F69"/>
    <w:rsid w:val="3BB54A60"/>
    <w:rsid w:val="3BB96A86"/>
    <w:rsid w:val="3BBC42F8"/>
    <w:rsid w:val="3BBC60A6"/>
    <w:rsid w:val="3BC66F24"/>
    <w:rsid w:val="3BC75D9D"/>
    <w:rsid w:val="3BC82016"/>
    <w:rsid w:val="3BC9680D"/>
    <w:rsid w:val="3BD94C62"/>
    <w:rsid w:val="3BDB619B"/>
    <w:rsid w:val="3BE15B0C"/>
    <w:rsid w:val="3BE23632"/>
    <w:rsid w:val="3BE56A31"/>
    <w:rsid w:val="3BE62D0E"/>
    <w:rsid w:val="3BE76F29"/>
    <w:rsid w:val="3BF21AC7"/>
    <w:rsid w:val="3BF221EF"/>
    <w:rsid w:val="3BF377E9"/>
    <w:rsid w:val="3BFC46F4"/>
    <w:rsid w:val="3BFD046C"/>
    <w:rsid w:val="3C0B0DDB"/>
    <w:rsid w:val="3C0B59C6"/>
    <w:rsid w:val="3C1321A5"/>
    <w:rsid w:val="3C1E5153"/>
    <w:rsid w:val="3C202B7C"/>
    <w:rsid w:val="3C2123AD"/>
    <w:rsid w:val="3C257806"/>
    <w:rsid w:val="3C293F6F"/>
    <w:rsid w:val="3C2F6E1E"/>
    <w:rsid w:val="3C300842"/>
    <w:rsid w:val="3C3420E0"/>
    <w:rsid w:val="3C366A87"/>
    <w:rsid w:val="3C370A88"/>
    <w:rsid w:val="3C3A452F"/>
    <w:rsid w:val="3C413397"/>
    <w:rsid w:val="3C4542ED"/>
    <w:rsid w:val="3C4937DA"/>
    <w:rsid w:val="3C4B7F1D"/>
    <w:rsid w:val="3C4F10AF"/>
    <w:rsid w:val="3C4F64BA"/>
    <w:rsid w:val="3C526F10"/>
    <w:rsid w:val="3C5344AD"/>
    <w:rsid w:val="3C5526D7"/>
    <w:rsid w:val="3C5C1637"/>
    <w:rsid w:val="3C5E715D"/>
    <w:rsid w:val="3C6F4AD6"/>
    <w:rsid w:val="3C706E90"/>
    <w:rsid w:val="3C771D3C"/>
    <w:rsid w:val="3C7B5B5E"/>
    <w:rsid w:val="3C7C5835"/>
    <w:rsid w:val="3C7D4FFA"/>
    <w:rsid w:val="3C7E77FF"/>
    <w:rsid w:val="3C832524"/>
    <w:rsid w:val="3C8B3CCA"/>
    <w:rsid w:val="3C8E79DF"/>
    <w:rsid w:val="3C925059"/>
    <w:rsid w:val="3C93000D"/>
    <w:rsid w:val="3C9943C8"/>
    <w:rsid w:val="3CA35A24"/>
    <w:rsid w:val="3CA803D8"/>
    <w:rsid w:val="3CAA23A2"/>
    <w:rsid w:val="3CAD3C40"/>
    <w:rsid w:val="3CB17EE6"/>
    <w:rsid w:val="3CB44FCF"/>
    <w:rsid w:val="3CBA2232"/>
    <w:rsid w:val="3CBB45AF"/>
    <w:rsid w:val="3CBE016E"/>
    <w:rsid w:val="3CC1149A"/>
    <w:rsid w:val="3CC35212"/>
    <w:rsid w:val="3CC855A0"/>
    <w:rsid w:val="3CD029E3"/>
    <w:rsid w:val="3CD76F0F"/>
    <w:rsid w:val="3CDA245A"/>
    <w:rsid w:val="3CE311B2"/>
    <w:rsid w:val="3CE31410"/>
    <w:rsid w:val="3CF0088C"/>
    <w:rsid w:val="3CF278A5"/>
    <w:rsid w:val="3CF81052"/>
    <w:rsid w:val="3CF962AB"/>
    <w:rsid w:val="3CFC3141"/>
    <w:rsid w:val="3D011E26"/>
    <w:rsid w:val="3D0137C6"/>
    <w:rsid w:val="3D031AB2"/>
    <w:rsid w:val="3D0A1093"/>
    <w:rsid w:val="3D0E59F4"/>
    <w:rsid w:val="3D0F737F"/>
    <w:rsid w:val="3D121CF5"/>
    <w:rsid w:val="3D123BCB"/>
    <w:rsid w:val="3D191E32"/>
    <w:rsid w:val="3D1E06B7"/>
    <w:rsid w:val="3D1E257B"/>
    <w:rsid w:val="3D1E68EC"/>
    <w:rsid w:val="3D1F7CE1"/>
    <w:rsid w:val="3D203927"/>
    <w:rsid w:val="3D204412"/>
    <w:rsid w:val="3D225E7D"/>
    <w:rsid w:val="3D25186F"/>
    <w:rsid w:val="3D271C45"/>
    <w:rsid w:val="3D286406"/>
    <w:rsid w:val="3D2C2DB7"/>
    <w:rsid w:val="3D2E3046"/>
    <w:rsid w:val="3D2E3DBF"/>
    <w:rsid w:val="3D3478E0"/>
    <w:rsid w:val="3D3507B9"/>
    <w:rsid w:val="3D3879AE"/>
    <w:rsid w:val="3D3B749E"/>
    <w:rsid w:val="3D3C1B2E"/>
    <w:rsid w:val="3D415C93"/>
    <w:rsid w:val="3D427D5D"/>
    <w:rsid w:val="3D452ED7"/>
    <w:rsid w:val="3D4C4A76"/>
    <w:rsid w:val="3D4D5B5D"/>
    <w:rsid w:val="3D4E5423"/>
    <w:rsid w:val="3D4E79D0"/>
    <w:rsid w:val="3D574181"/>
    <w:rsid w:val="3D5C3985"/>
    <w:rsid w:val="3D605AF2"/>
    <w:rsid w:val="3D695DB9"/>
    <w:rsid w:val="3D6E33D0"/>
    <w:rsid w:val="3D74650C"/>
    <w:rsid w:val="3D7606D4"/>
    <w:rsid w:val="3D7B4A66"/>
    <w:rsid w:val="3D8D1617"/>
    <w:rsid w:val="3D8D609A"/>
    <w:rsid w:val="3D9372DA"/>
    <w:rsid w:val="3D9425AC"/>
    <w:rsid w:val="3D974EEA"/>
    <w:rsid w:val="3D9A2417"/>
    <w:rsid w:val="3D9A7546"/>
    <w:rsid w:val="3D9C11F7"/>
    <w:rsid w:val="3D9D1F07"/>
    <w:rsid w:val="3DA037A5"/>
    <w:rsid w:val="3DA07301"/>
    <w:rsid w:val="3DAB63D2"/>
    <w:rsid w:val="3DB039E8"/>
    <w:rsid w:val="3DB159B2"/>
    <w:rsid w:val="3DB9425A"/>
    <w:rsid w:val="3DBB238D"/>
    <w:rsid w:val="3DBB771F"/>
    <w:rsid w:val="3DBF1E7D"/>
    <w:rsid w:val="3DBF668A"/>
    <w:rsid w:val="3DCD3FB6"/>
    <w:rsid w:val="3DCD678F"/>
    <w:rsid w:val="3DCE3E6E"/>
    <w:rsid w:val="3DD516A1"/>
    <w:rsid w:val="3DDE0603"/>
    <w:rsid w:val="3DE546C0"/>
    <w:rsid w:val="3DE6740A"/>
    <w:rsid w:val="3DE95753"/>
    <w:rsid w:val="3DE95C9F"/>
    <w:rsid w:val="3DEB6956"/>
    <w:rsid w:val="3DEC2EB6"/>
    <w:rsid w:val="3DEC562A"/>
    <w:rsid w:val="3DF25DB9"/>
    <w:rsid w:val="3DF820F2"/>
    <w:rsid w:val="3DF93DE0"/>
    <w:rsid w:val="3DF96E3A"/>
    <w:rsid w:val="3DFE25E4"/>
    <w:rsid w:val="3DFF102B"/>
    <w:rsid w:val="3E01686C"/>
    <w:rsid w:val="3E0344B3"/>
    <w:rsid w:val="3E0556A4"/>
    <w:rsid w:val="3E104487"/>
    <w:rsid w:val="3E121833"/>
    <w:rsid w:val="3E1321C9"/>
    <w:rsid w:val="3E156429"/>
    <w:rsid w:val="3E157254"/>
    <w:rsid w:val="3E157CEF"/>
    <w:rsid w:val="3E18333B"/>
    <w:rsid w:val="3E1A70B4"/>
    <w:rsid w:val="3E1C107E"/>
    <w:rsid w:val="3E26540F"/>
    <w:rsid w:val="3E285C74"/>
    <w:rsid w:val="3E2919ED"/>
    <w:rsid w:val="3E292D54"/>
    <w:rsid w:val="3E29379B"/>
    <w:rsid w:val="3E2C2EB4"/>
    <w:rsid w:val="3E3068D7"/>
    <w:rsid w:val="3E321294"/>
    <w:rsid w:val="3E330175"/>
    <w:rsid w:val="3E35213F"/>
    <w:rsid w:val="3E3839DE"/>
    <w:rsid w:val="3E3A1504"/>
    <w:rsid w:val="3E3C050B"/>
    <w:rsid w:val="3E432C35"/>
    <w:rsid w:val="3E4660FB"/>
    <w:rsid w:val="3E4800C5"/>
    <w:rsid w:val="3E4B1963"/>
    <w:rsid w:val="3E566CAD"/>
    <w:rsid w:val="3E57744F"/>
    <w:rsid w:val="3E596C01"/>
    <w:rsid w:val="3E5973BD"/>
    <w:rsid w:val="3E5B104F"/>
    <w:rsid w:val="3E5D51F2"/>
    <w:rsid w:val="3E5F093C"/>
    <w:rsid w:val="3E69432C"/>
    <w:rsid w:val="3E6C59E0"/>
    <w:rsid w:val="3E707F93"/>
    <w:rsid w:val="3E74081F"/>
    <w:rsid w:val="3E776588"/>
    <w:rsid w:val="3E80785E"/>
    <w:rsid w:val="3E8611F6"/>
    <w:rsid w:val="3E8D4B08"/>
    <w:rsid w:val="3E990920"/>
    <w:rsid w:val="3E9E5F37"/>
    <w:rsid w:val="3EA22012"/>
    <w:rsid w:val="3EA37367"/>
    <w:rsid w:val="3EA6303D"/>
    <w:rsid w:val="3EA64DEB"/>
    <w:rsid w:val="3EAF1EF2"/>
    <w:rsid w:val="3EB62B11"/>
    <w:rsid w:val="3EB92D70"/>
    <w:rsid w:val="3EB94B1E"/>
    <w:rsid w:val="3EC731D4"/>
    <w:rsid w:val="3ECF128B"/>
    <w:rsid w:val="3ED075D4"/>
    <w:rsid w:val="3ED5122D"/>
    <w:rsid w:val="3ED65299"/>
    <w:rsid w:val="3ED92ACB"/>
    <w:rsid w:val="3EDA0523"/>
    <w:rsid w:val="3EE17BD1"/>
    <w:rsid w:val="3EE576C2"/>
    <w:rsid w:val="3EEA664C"/>
    <w:rsid w:val="3EEC4EF4"/>
    <w:rsid w:val="3EEC6CA2"/>
    <w:rsid w:val="3EEE3144"/>
    <w:rsid w:val="3EEF71F6"/>
    <w:rsid w:val="3EF21DDE"/>
    <w:rsid w:val="3EF47905"/>
    <w:rsid w:val="3EF66EFD"/>
    <w:rsid w:val="3EFC2C5D"/>
    <w:rsid w:val="3EFD0EAF"/>
    <w:rsid w:val="3EFF5D23"/>
    <w:rsid w:val="3F0264C5"/>
    <w:rsid w:val="3F034D2F"/>
    <w:rsid w:val="3F051B12"/>
    <w:rsid w:val="3F052E6A"/>
    <w:rsid w:val="3F125FDD"/>
    <w:rsid w:val="3F1862FB"/>
    <w:rsid w:val="3F1C079E"/>
    <w:rsid w:val="3F1C5311"/>
    <w:rsid w:val="3F204B9E"/>
    <w:rsid w:val="3F217C2E"/>
    <w:rsid w:val="3F233CB4"/>
    <w:rsid w:val="3F2C3542"/>
    <w:rsid w:val="3F2C64D9"/>
    <w:rsid w:val="3F2F3033"/>
    <w:rsid w:val="3F334164"/>
    <w:rsid w:val="3F3B19D7"/>
    <w:rsid w:val="3F3D222A"/>
    <w:rsid w:val="3F402B4A"/>
    <w:rsid w:val="3F406FEE"/>
    <w:rsid w:val="3F43263A"/>
    <w:rsid w:val="3F4737E3"/>
    <w:rsid w:val="3F4A39C9"/>
    <w:rsid w:val="3F5201EC"/>
    <w:rsid w:val="3F5406C8"/>
    <w:rsid w:val="3F5C0AB7"/>
    <w:rsid w:val="3F5D7C9F"/>
    <w:rsid w:val="3F636838"/>
    <w:rsid w:val="3F6B34B2"/>
    <w:rsid w:val="3F6E3B5B"/>
    <w:rsid w:val="3F7171A7"/>
    <w:rsid w:val="3F76656C"/>
    <w:rsid w:val="3F7667DD"/>
    <w:rsid w:val="3F7759E7"/>
    <w:rsid w:val="3F781B55"/>
    <w:rsid w:val="3F7B1DD4"/>
    <w:rsid w:val="3F827B6A"/>
    <w:rsid w:val="3F8539F8"/>
    <w:rsid w:val="3F8C2AC6"/>
    <w:rsid w:val="3F8E13F7"/>
    <w:rsid w:val="3F9115F7"/>
    <w:rsid w:val="3F917849"/>
    <w:rsid w:val="3F932A3E"/>
    <w:rsid w:val="3F9B06C8"/>
    <w:rsid w:val="3F9C31D5"/>
    <w:rsid w:val="3F9D61EE"/>
    <w:rsid w:val="3FA01B56"/>
    <w:rsid w:val="3FA04B59"/>
    <w:rsid w:val="3FA060B2"/>
    <w:rsid w:val="3FA22B90"/>
    <w:rsid w:val="3FA23805"/>
    <w:rsid w:val="3FA431BC"/>
    <w:rsid w:val="3FB12A0C"/>
    <w:rsid w:val="3FB157F6"/>
    <w:rsid w:val="3FB322F2"/>
    <w:rsid w:val="3FB377C0"/>
    <w:rsid w:val="3FB6105E"/>
    <w:rsid w:val="3FB77239"/>
    <w:rsid w:val="3FC4377B"/>
    <w:rsid w:val="3FC50A7D"/>
    <w:rsid w:val="3FCE0156"/>
    <w:rsid w:val="3FCF509C"/>
    <w:rsid w:val="3FD17EB9"/>
    <w:rsid w:val="3FDB69E9"/>
    <w:rsid w:val="3FE47979"/>
    <w:rsid w:val="3FE81FE4"/>
    <w:rsid w:val="3FEA6678"/>
    <w:rsid w:val="3FEB6F5A"/>
    <w:rsid w:val="3FED06D0"/>
    <w:rsid w:val="3FEE6A4A"/>
    <w:rsid w:val="3FF04570"/>
    <w:rsid w:val="3FFB4CC3"/>
    <w:rsid w:val="3FFC33CA"/>
    <w:rsid w:val="3FFC6AA9"/>
    <w:rsid w:val="4000567F"/>
    <w:rsid w:val="40074D52"/>
    <w:rsid w:val="400778EE"/>
    <w:rsid w:val="40077B0C"/>
    <w:rsid w:val="400A0B15"/>
    <w:rsid w:val="400C0C7E"/>
    <w:rsid w:val="4012492F"/>
    <w:rsid w:val="401631E4"/>
    <w:rsid w:val="401A15ED"/>
    <w:rsid w:val="401C2B1D"/>
    <w:rsid w:val="402045AD"/>
    <w:rsid w:val="402B1A4C"/>
    <w:rsid w:val="402E32EA"/>
    <w:rsid w:val="40324B88"/>
    <w:rsid w:val="40377318"/>
    <w:rsid w:val="40381597"/>
    <w:rsid w:val="40384243"/>
    <w:rsid w:val="404034E5"/>
    <w:rsid w:val="40407284"/>
    <w:rsid w:val="40416B7A"/>
    <w:rsid w:val="40420B44"/>
    <w:rsid w:val="404448BC"/>
    <w:rsid w:val="40452963"/>
    <w:rsid w:val="40460BE0"/>
    <w:rsid w:val="404B102A"/>
    <w:rsid w:val="404C569E"/>
    <w:rsid w:val="40575D69"/>
    <w:rsid w:val="405A5E8D"/>
    <w:rsid w:val="40604C5C"/>
    <w:rsid w:val="40644F5E"/>
    <w:rsid w:val="40672358"/>
    <w:rsid w:val="406805AA"/>
    <w:rsid w:val="406E7B8B"/>
    <w:rsid w:val="40754A75"/>
    <w:rsid w:val="4079782F"/>
    <w:rsid w:val="407A535C"/>
    <w:rsid w:val="407A6407"/>
    <w:rsid w:val="407C5E04"/>
    <w:rsid w:val="407E5835"/>
    <w:rsid w:val="407F58F4"/>
    <w:rsid w:val="407F76A2"/>
    <w:rsid w:val="408171DD"/>
    <w:rsid w:val="40896772"/>
    <w:rsid w:val="408B7F60"/>
    <w:rsid w:val="40907B01"/>
    <w:rsid w:val="409D1DE9"/>
    <w:rsid w:val="40A23744"/>
    <w:rsid w:val="40A37834"/>
    <w:rsid w:val="40A40C06"/>
    <w:rsid w:val="40A92F82"/>
    <w:rsid w:val="40AA20F5"/>
    <w:rsid w:val="40AF61D9"/>
    <w:rsid w:val="40BF0A0C"/>
    <w:rsid w:val="40BF6053"/>
    <w:rsid w:val="40C96B6F"/>
    <w:rsid w:val="40CA3013"/>
    <w:rsid w:val="40CD0775"/>
    <w:rsid w:val="40CD3EC6"/>
    <w:rsid w:val="40D73D29"/>
    <w:rsid w:val="40D91077"/>
    <w:rsid w:val="40DA0D7C"/>
    <w:rsid w:val="40DB5E0B"/>
    <w:rsid w:val="40DD183E"/>
    <w:rsid w:val="40DE6ABE"/>
    <w:rsid w:val="40E37C31"/>
    <w:rsid w:val="40E4515D"/>
    <w:rsid w:val="40E816EB"/>
    <w:rsid w:val="40ED7D5D"/>
    <w:rsid w:val="40F91D6E"/>
    <w:rsid w:val="40F94291"/>
    <w:rsid w:val="40FE2CBD"/>
    <w:rsid w:val="410236AA"/>
    <w:rsid w:val="41032081"/>
    <w:rsid w:val="41036525"/>
    <w:rsid w:val="411249BA"/>
    <w:rsid w:val="411307DB"/>
    <w:rsid w:val="41160006"/>
    <w:rsid w:val="41195D48"/>
    <w:rsid w:val="411C0819"/>
    <w:rsid w:val="41292928"/>
    <w:rsid w:val="41293E29"/>
    <w:rsid w:val="412D35A2"/>
    <w:rsid w:val="412F2E76"/>
    <w:rsid w:val="412F731A"/>
    <w:rsid w:val="41367318"/>
    <w:rsid w:val="41417FFF"/>
    <w:rsid w:val="41441235"/>
    <w:rsid w:val="41450AB0"/>
    <w:rsid w:val="41457A05"/>
    <w:rsid w:val="41472271"/>
    <w:rsid w:val="414A5F02"/>
    <w:rsid w:val="414B3D42"/>
    <w:rsid w:val="414C345E"/>
    <w:rsid w:val="414C3B4A"/>
    <w:rsid w:val="41596145"/>
    <w:rsid w:val="415C79E3"/>
    <w:rsid w:val="415D5C35"/>
    <w:rsid w:val="415E6EB8"/>
    <w:rsid w:val="41631EBB"/>
    <w:rsid w:val="41654AEA"/>
    <w:rsid w:val="416A65A4"/>
    <w:rsid w:val="416A7B46"/>
    <w:rsid w:val="416B0A29"/>
    <w:rsid w:val="41727207"/>
    <w:rsid w:val="41780CC1"/>
    <w:rsid w:val="418307EA"/>
    <w:rsid w:val="41886A2A"/>
    <w:rsid w:val="41A33677"/>
    <w:rsid w:val="41A55B96"/>
    <w:rsid w:val="41B1305B"/>
    <w:rsid w:val="41B51804"/>
    <w:rsid w:val="41BE02D2"/>
    <w:rsid w:val="41C0099D"/>
    <w:rsid w:val="41C23074"/>
    <w:rsid w:val="41CA69ED"/>
    <w:rsid w:val="41CE08E1"/>
    <w:rsid w:val="41CF0D50"/>
    <w:rsid w:val="41E35DF5"/>
    <w:rsid w:val="41E579D9"/>
    <w:rsid w:val="41E842F0"/>
    <w:rsid w:val="41F67E38"/>
    <w:rsid w:val="41FA1ECF"/>
    <w:rsid w:val="41FC1FB4"/>
    <w:rsid w:val="41FD51B5"/>
    <w:rsid w:val="41FF4F3E"/>
    <w:rsid w:val="4200449D"/>
    <w:rsid w:val="42024A2E"/>
    <w:rsid w:val="42054C8C"/>
    <w:rsid w:val="42075BA1"/>
    <w:rsid w:val="42083FDA"/>
    <w:rsid w:val="42113E21"/>
    <w:rsid w:val="4211578B"/>
    <w:rsid w:val="42140FEB"/>
    <w:rsid w:val="42167A81"/>
    <w:rsid w:val="42214167"/>
    <w:rsid w:val="42295B17"/>
    <w:rsid w:val="422B7AE1"/>
    <w:rsid w:val="422F6EA6"/>
    <w:rsid w:val="4232248C"/>
    <w:rsid w:val="42366486"/>
    <w:rsid w:val="423A3BCC"/>
    <w:rsid w:val="423A41C8"/>
    <w:rsid w:val="424262B6"/>
    <w:rsid w:val="424741EF"/>
    <w:rsid w:val="424E57D2"/>
    <w:rsid w:val="4251718A"/>
    <w:rsid w:val="425828A0"/>
    <w:rsid w:val="425A03C6"/>
    <w:rsid w:val="425C413F"/>
    <w:rsid w:val="425E6F62"/>
    <w:rsid w:val="425F2679"/>
    <w:rsid w:val="425F2F04"/>
    <w:rsid w:val="42611755"/>
    <w:rsid w:val="42642FF3"/>
    <w:rsid w:val="426A131F"/>
    <w:rsid w:val="42701998"/>
    <w:rsid w:val="42757563"/>
    <w:rsid w:val="428216CB"/>
    <w:rsid w:val="4288188D"/>
    <w:rsid w:val="428A301F"/>
    <w:rsid w:val="42903DE8"/>
    <w:rsid w:val="42925DB2"/>
    <w:rsid w:val="42935686"/>
    <w:rsid w:val="429531AD"/>
    <w:rsid w:val="429815E1"/>
    <w:rsid w:val="429827B8"/>
    <w:rsid w:val="42996501"/>
    <w:rsid w:val="42AC04F6"/>
    <w:rsid w:val="42AC54A2"/>
    <w:rsid w:val="42B26C49"/>
    <w:rsid w:val="42B45D29"/>
    <w:rsid w:val="42B52012"/>
    <w:rsid w:val="42BB0811"/>
    <w:rsid w:val="42C03047"/>
    <w:rsid w:val="42CE36A7"/>
    <w:rsid w:val="42D107B5"/>
    <w:rsid w:val="42D77201"/>
    <w:rsid w:val="42DA1507"/>
    <w:rsid w:val="42DE0CD7"/>
    <w:rsid w:val="42DE16E9"/>
    <w:rsid w:val="42E102FD"/>
    <w:rsid w:val="42E12404"/>
    <w:rsid w:val="42E15A85"/>
    <w:rsid w:val="42EB32CE"/>
    <w:rsid w:val="42EB54C2"/>
    <w:rsid w:val="42EF4FB3"/>
    <w:rsid w:val="42F500EF"/>
    <w:rsid w:val="42FF5749"/>
    <w:rsid w:val="4303099F"/>
    <w:rsid w:val="430A1DED"/>
    <w:rsid w:val="430D78DE"/>
    <w:rsid w:val="430E71C5"/>
    <w:rsid w:val="43165E98"/>
    <w:rsid w:val="431F43AB"/>
    <w:rsid w:val="432056A2"/>
    <w:rsid w:val="43212B41"/>
    <w:rsid w:val="43272395"/>
    <w:rsid w:val="43287AED"/>
    <w:rsid w:val="432945B7"/>
    <w:rsid w:val="432B1D63"/>
    <w:rsid w:val="432E715D"/>
    <w:rsid w:val="433131AA"/>
    <w:rsid w:val="43362BE2"/>
    <w:rsid w:val="43370708"/>
    <w:rsid w:val="4339622E"/>
    <w:rsid w:val="433A6FE6"/>
    <w:rsid w:val="433C2D74"/>
    <w:rsid w:val="433D3357"/>
    <w:rsid w:val="4344348C"/>
    <w:rsid w:val="43457534"/>
    <w:rsid w:val="434626F9"/>
    <w:rsid w:val="43480868"/>
    <w:rsid w:val="43490FBF"/>
    <w:rsid w:val="43493C8E"/>
    <w:rsid w:val="434951B8"/>
    <w:rsid w:val="43500374"/>
    <w:rsid w:val="4350713C"/>
    <w:rsid w:val="43595962"/>
    <w:rsid w:val="4365093B"/>
    <w:rsid w:val="436653E0"/>
    <w:rsid w:val="436F39FE"/>
    <w:rsid w:val="437012C7"/>
    <w:rsid w:val="43762FDE"/>
    <w:rsid w:val="4377078F"/>
    <w:rsid w:val="437B54F6"/>
    <w:rsid w:val="437B6846"/>
    <w:rsid w:val="437D25BE"/>
    <w:rsid w:val="43851C29"/>
    <w:rsid w:val="43862537"/>
    <w:rsid w:val="43935C63"/>
    <w:rsid w:val="439B0BA5"/>
    <w:rsid w:val="439C056B"/>
    <w:rsid w:val="439D2DFF"/>
    <w:rsid w:val="439E791E"/>
    <w:rsid w:val="43A318F9"/>
    <w:rsid w:val="43AA712C"/>
    <w:rsid w:val="43AC3866"/>
    <w:rsid w:val="43B54465"/>
    <w:rsid w:val="43B6162D"/>
    <w:rsid w:val="43B81849"/>
    <w:rsid w:val="43B835F7"/>
    <w:rsid w:val="43C02452"/>
    <w:rsid w:val="43C060B4"/>
    <w:rsid w:val="43C4431A"/>
    <w:rsid w:val="43CA332A"/>
    <w:rsid w:val="43CC0E50"/>
    <w:rsid w:val="43CC52F4"/>
    <w:rsid w:val="43CF28BC"/>
    <w:rsid w:val="43D321DE"/>
    <w:rsid w:val="43D538CD"/>
    <w:rsid w:val="43DB04B6"/>
    <w:rsid w:val="43DD12AF"/>
    <w:rsid w:val="43DE21E6"/>
    <w:rsid w:val="43E4263E"/>
    <w:rsid w:val="43EB4717"/>
    <w:rsid w:val="43EE526A"/>
    <w:rsid w:val="43F263DD"/>
    <w:rsid w:val="43FB34E3"/>
    <w:rsid w:val="43FF6F09"/>
    <w:rsid w:val="44044A8E"/>
    <w:rsid w:val="44092ED5"/>
    <w:rsid w:val="440A2717"/>
    <w:rsid w:val="440B4568"/>
    <w:rsid w:val="440D3860"/>
    <w:rsid w:val="440E0C53"/>
    <w:rsid w:val="44150E0F"/>
    <w:rsid w:val="441E11B4"/>
    <w:rsid w:val="442361AF"/>
    <w:rsid w:val="44240C8C"/>
    <w:rsid w:val="442472A6"/>
    <w:rsid w:val="442713A6"/>
    <w:rsid w:val="44276F7A"/>
    <w:rsid w:val="442944F4"/>
    <w:rsid w:val="44296A60"/>
    <w:rsid w:val="442A0C98"/>
    <w:rsid w:val="44306E23"/>
    <w:rsid w:val="44357A2E"/>
    <w:rsid w:val="443B0AC0"/>
    <w:rsid w:val="44432F4C"/>
    <w:rsid w:val="444404EC"/>
    <w:rsid w:val="44507EC5"/>
    <w:rsid w:val="4452415D"/>
    <w:rsid w:val="4453331F"/>
    <w:rsid w:val="44557097"/>
    <w:rsid w:val="445950D3"/>
    <w:rsid w:val="445A2900"/>
    <w:rsid w:val="445F3A72"/>
    <w:rsid w:val="44615A3C"/>
    <w:rsid w:val="446217B4"/>
    <w:rsid w:val="4464552C"/>
    <w:rsid w:val="446D2A1D"/>
    <w:rsid w:val="446E419E"/>
    <w:rsid w:val="4470786A"/>
    <w:rsid w:val="44773DC7"/>
    <w:rsid w:val="44794362"/>
    <w:rsid w:val="44817E8C"/>
    <w:rsid w:val="448F1469"/>
    <w:rsid w:val="44906321"/>
    <w:rsid w:val="44935E12"/>
    <w:rsid w:val="449B6F13"/>
    <w:rsid w:val="449F47B6"/>
    <w:rsid w:val="44A0089A"/>
    <w:rsid w:val="44A037CE"/>
    <w:rsid w:val="44AB543F"/>
    <w:rsid w:val="44AE0556"/>
    <w:rsid w:val="44AE0E14"/>
    <w:rsid w:val="44B060EA"/>
    <w:rsid w:val="44B33DBE"/>
    <w:rsid w:val="44B81283"/>
    <w:rsid w:val="44B951CC"/>
    <w:rsid w:val="44B95661"/>
    <w:rsid w:val="44BA6EFA"/>
    <w:rsid w:val="44C04D73"/>
    <w:rsid w:val="44C36FED"/>
    <w:rsid w:val="44C42B6A"/>
    <w:rsid w:val="44C47D79"/>
    <w:rsid w:val="44C90381"/>
    <w:rsid w:val="44CD14E0"/>
    <w:rsid w:val="44D83825"/>
    <w:rsid w:val="44D83E07"/>
    <w:rsid w:val="44E126D9"/>
    <w:rsid w:val="44E65F41"/>
    <w:rsid w:val="44E96119"/>
    <w:rsid w:val="44F04F4B"/>
    <w:rsid w:val="44F20B0B"/>
    <w:rsid w:val="44F63EA4"/>
    <w:rsid w:val="44F71A43"/>
    <w:rsid w:val="44F92119"/>
    <w:rsid w:val="44FE772F"/>
    <w:rsid w:val="4509658E"/>
    <w:rsid w:val="45097E82"/>
    <w:rsid w:val="450B6A36"/>
    <w:rsid w:val="450D1347"/>
    <w:rsid w:val="450E38CC"/>
    <w:rsid w:val="45153463"/>
    <w:rsid w:val="451A10CB"/>
    <w:rsid w:val="451E4D0E"/>
    <w:rsid w:val="45244CBC"/>
    <w:rsid w:val="45274794"/>
    <w:rsid w:val="452E5F4C"/>
    <w:rsid w:val="45321187"/>
    <w:rsid w:val="453273D9"/>
    <w:rsid w:val="45356EC9"/>
    <w:rsid w:val="453663E9"/>
    <w:rsid w:val="4537652B"/>
    <w:rsid w:val="453C3DB3"/>
    <w:rsid w:val="453F26E9"/>
    <w:rsid w:val="454366FA"/>
    <w:rsid w:val="454D26FF"/>
    <w:rsid w:val="45505F06"/>
    <w:rsid w:val="4555317F"/>
    <w:rsid w:val="45557BBB"/>
    <w:rsid w:val="455A2E42"/>
    <w:rsid w:val="455B4933"/>
    <w:rsid w:val="455F51E8"/>
    <w:rsid w:val="45603F46"/>
    <w:rsid w:val="45612018"/>
    <w:rsid w:val="45660E30"/>
    <w:rsid w:val="457903DE"/>
    <w:rsid w:val="45804F31"/>
    <w:rsid w:val="45835E86"/>
    <w:rsid w:val="458946E9"/>
    <w:rsid w:val="458D056E"/>
    <w:rsid w:val="458D0DE9"/>
    <w:rsid w:val="45925536"/>
    <w:rsid w:val="45934AF7"/>
    <w:rsid w:val="459E4A6E"/>
    <w:rsid w:val="45A26510"/>
    <w:rsid w:val="45A47C0E"/>
    <w:rsid w:val="45A51959"/>
    <w:rsid w:val="45A86E84"/>
    <w:rsid w:val="45AD70E0"/>
    <w:rsid w:val="45B1409B"/>
    <w:rsid w:val="45B918A8"/>
    <w:rsid w:val="45BD2F79"/>
    <w:rsid w:val="45C5024D"/>
    <w:rsid w:val="45D466E2"/>
    <w:rsid w:val="45DB7BF3"/>
    <w:rsid w:val="45E20144"/>
    <w:rsid w:val="45E948B1"/>
    <w:rsid w:val="45EB6494"/>
    <w:rsid w:val="45F97EF6"/>
    <w:rsid w:val="45FA05BD"/>
    <w:rsid w:val="46070113"/>
    <w:rsid w:val="46082702"/>
    <w:rsid w:val="460E1FB1"/>
    <w:rsid w:val="460F3276"/>
    <w:rsid w:val="461525E2"/>
    <w:rsid w:val="46177F8F"/>
    <w:rsid w:val="46184820"/>
    <w:rsid w:val="462250EE"/>
    <w:rsid w:val="462A3742"/>
    <w:rsid w:val="462B41E2"/>
    <w:rsid w:val="462B6B5F"/>
    <w:rsid w:val="46320AF8"/>
    <w:rsid w:val="46323946"/>
    <w:rsid w:val="46390CCA"/>
    <w:rsid w:val="463A326F"/>
    <w:rsid w:val="46410F44"/>
    <w:rsid w:val="464C1083"/>
    <w:rsid w:val="46530654"/>
    <w:rsid w:val="465515D1"/>
    <w:rsid w:val="465731F4"/>
    <w:rsid w:val="46577FD6"/>
    <w:rsid w:val="46584C1D"/>
    <w:rsid w:val="465B318B"/>
    <w:rsid w:val="465E69B3"/>
    <w:rsid w:val="465F62BF"/>
    <w:rsid w:val="4662484B"/>
    <w:rsid w:val="46641814"/>
    <w:rsid w:val="466510E8"/>
    <w:rsid w:val="466E1DD9"/>
    <w:rsid w:val="4674629A"/>
    <w:rsid w:val="467C75E4"/>
    <w:rsid w:val="467E1892"/>
    <w:rsid w:val="467F21AA"/>
    <w:rsid w:val="468365B4"/>
    <w:rsid w:val="46845A12"/>
    <w:rsid w:val="4685178A"/>
    <w:rsid w:val="46875502"/>
    <w:rsid w:val="46937228"/>
    <w:rsid w:val="4695545A"/>
    <w:rsid w:val="4697266F"/>
    <w:rsid w:val="46A458E3"/>
    <w:rsid w:val="46A936CA"/>
    <w:rsid w:val="46AB08C9"/>
    <w:rsid w:val="46B05C97"/>
    <w:rsid w:val="46B67B95"/>
    <w:rsid w:val="46C16C66"/>
    <w:rsid w:val="46C276CE"/>
    <w:rsid w:val="46C934D7"/>
    <w:rsid w:val="46CB755E"/>
    <w:rsid w:val="46CC1FB3"/>
    <w:rsid w:val="46CE4EDF"/>
    <w:rsid w:val="46D4544D"/>
    <w:rsid w:val="46D76D9C"/>
    <w:rsid w:val="46D83FB0"/>
    <w:rsid w:val="46D841BD"/>
    <w:rsid w:val="46D955A7"/>
    <w:rsid w:val="46E66013"/>
    <w:rsid w:val="46E722AE"/>
    <w:rsid w:val="46F2715E"/>
    <w:rsid w:val="46F30DEA"/>
    <w:rsid w:val="46F414DE"/>
    <w:rsid w:val="46F5246C"/>
    <w:rsid w:val="46F75837"/>
    <w:rsid w:val="46FA1788"/>
    <w:rsid w:val="46FC5594"/>
    <w:rsid w:val="46FD4400"/>
    <w:rsid w:val="46FD6EB4"/>
    <w:rsid w:val="46FE3577"/>
    <w:rsid w:val="47003815"/>
    <w:rsid w:val="470657DD"/>
    <w:rsid w:val="470B4B04"/>
    <w:rsid w:val="470E79D1"/>
    <w:rsid w:val="47133957"/>
    <w:rsid w:val="4717258D"/>
    <w:rsid w:val="471A0124"/>
    <w:rsid w:val="471C616E"/>
    <w:rsid w:val="471F1BB5"/>
    <w:rsid w:val="472461ED"/>
    <w:rsid w:val="472B0583"/>
    <w:rsid w:val="472E2D47"/>
    <w:rsid w:val="4739367F"/>
    <w:rsid w:val="4739549D"/>
    <w:rsid w:val="473D3E13"/>
    <w:rsid w:val="474214B7"/>
    <w:rsid w:val="474433F3"/>
    <w:rsid w:val="47455236"/>
    <w:rsid w:val="474B29D4"/>
    <w:rsid w:val="4757001C"/>
    <w:rsid w:val="475C24EB"/>
    <w:rsid w:val="475F5F7C"/>
    <w:rsid w:val="476067BD"/>
    <w:rsid w:val="47611807"/>
    <w:rsid w:val="4767462D"/>
    <w:rsid w:val="477A1772"/>
    <w:rsid w:val="477B4A45"/>
    <w:rsid w:val="478302A1"/>
    <w:rsid w:val="47840D6F"/>
    <w:rsid w:val="47881934"/>
    <w:rsid w:val="478A7058"/>
    <w:rsid w:val="478C7274"/>
    <w:rsid w:val="479000C6"/>
    <w:rsid w:val="479223B1"/>
    <w:rsid w:val="479B1265"/>
    <w:rsid w:val="47A07E0C"/>
    <w:rsid w:val="47A24FAA"/>
    <w:rsid w:val="47A311C0"/>
    <w:rsid w:val="47B10C28"/>
    <w:rsid w:val="47B5004D"/>
    <w:rsid w:val="47B651CB"/>
    <w:rsid w:val="47B95B8F"/>
    <w:rsid w:val="47D25DFF"/>
    <w:rsid w:val="47D26E0C"/>
    <w:rsid w:val="47D64431"/>
    <w:rsid w:val="47D875B4"/>
    <w:rsid w:val="47D909D6"/>
    <w:rsid w:val="47E0311C"/>
    <w:rsid w:val="47E3640F"/>
    <w:rsid w:val="47EB15FB"/>
    <w:rsid w:val="47ED3A8B"/>
    <w:rsid w:val="47F93485"/>
    <w:rsid w:val="47FA426E"/>
    <w:rsid w:val="47FB4CF8"/>
    <w:rsid w:val="47FB7F56"/>
    <w:rsid w:val="48055B08"/>
    <w:rsid w:val="480C5CBF"/>
    <w:rsid w:val="480E14BE"/>
    <w:rsid w:val="48142DC6"/>
    <w:rsid w:val="481B11CD"/>
    <w:rsid w:val="4822140C"/>
    <w:rsid w:val="482374AD"/>
    <w:rsid w:val="48240658"/>
    <w:rsid w:val="4824230B"/>
    <w:rsid w:val="482569A2"/>
    <w:rsid w:val="482D18B6"/>
    <w:rsid w:val="48313978"/>
    <w:rsid w:val="483403BD"/>
    <w:rsid w:val="48343954"/>
    <w:rsid w:val="483901D6"/>
    <w:rsid w:val="483B5DF0"/>
    <w:rsid w:val="48425B85"/>
    <w:rsid w:val="484C255F"/>
    <w:rsid w:val="484F02A2"/>
    <w:rsid w:val="484F69EF"/>
    <w:rsid w:val="48531B40"/>
    <w:rsid w:val="48547155"/>
    <w:rsid w:val="48547666"/>
    <w:rsid w:val="485674E5"/>
    <w:rsid w:val="485730A2"/>
    <w:rsid w:val="48584752"/>
    <w:rsid w:val="485D29BF"/>
    <w:rsid w:val="485D651B"/>
    <w:rsid w:val="485F17DF"/>
    <w:rsid w:val="485F6737"/>
    <w:rsid w:val="48643D4D"/>
    <w:rsid w:val="486A0C38"/>
    <w:rsid w:val="486F3400"/>
    <w:rsid w:val="4870272E"/>
    <w:rsid w:val="48806453"/>
    <w:rsid w:val="48885E0A"/>
    <w:rsid w:val="488A3ABB"/>
    <w:rsid w:val="488F1EE9"/>
    <w:rsid w:val="489108BA"/>
    <w:rsid w:val="48926F12"/>
    <w:rsid w:val="4893018E"/>
    <w:rsid w:val="48934632"/>
    <w:rsid w:val="48946DE5"/>
    <w:rsid w:val="489E7916"/>
    <w:rsid w:val="48AD7568"/>
    <w:rsid w:val="48B10A89"/>
    <w:rsid w:val="48B50B74"/>
    <w:rsid w:val="48B56357"/>
    <w:rsid w:val="48BF0F83"/>
    <w:rsid w:val="48C464DC"/>
    <w:rsid w:val="48C6586D"/>
    <w:rsid w:val="48CD75C0"/>
    <w:rsid w:val="48D47A82"/>
    <w:rsid w:val="48D6451F"/>
    <w:rsid w:val="48D8725E"/>
    <w:rsid w:val="48DD765B"/>
    <w:rsid w:val="48DF1625"/>
    <w:rsid w:val="48E91EBC"/>
    <w:rsid w:val="48E924A4"/>
    <w:rsid w:val="48E97BAB"/>
    <w:rsid w:val="48EA3157"/>
    <w:rsid w:val="48EB1D78"/>
    <w:rsid w:val="48EE5521"/>
    <w:rsid w:val="48F45F58"/>
    <w:rsid w:val="48F826E7"/>
    <w:rsid w:val="48FD385A"/>
    <w:rsid w:val="49042E3A"/>
    <w:rsid w:val="490966A2"/>
    <w:rsid w:val="490E1F0B"/>
    <w:rsid w:val="490E5DC7"/>
    <w:rsid w:val="49145FD1"/>
    <w:rsid w:val="491C0184"/>
    <w:rsid w:val="4925660E"/>
    <w:rsid w:val="49285078"/>
    <w:rsid w:val="49295ED6"/>
    <w:rsid w:val="49326638"/>
    <w:rsid w:val="493279A7"/>
    <w:rsid w:val="49364AC1"/>
    <w:rsid w:val="49366D6C"/>
    <w:rsid w:val="493A35E1"/>
    <w:rsid w:val="493D6C54"/>
    <w:rsid w:val="493F3E72"/>
    <w:rsid w:val="494219FE"/>
    <w:rsid w:val="494476DB"/>
    <w:rsid w:val="494B0A69"/>
    <w:rsid w:val="494B3BCB"/>
    <w:rsid w:val="494C03A8"/>
    <w:rsid w:val="49507E2D"/>
    <w:rsid w:val="495518E8"/>
    <w:rsid w:val="49556190"/>
    <w:rsid w:val="49577C74"/>
    <w:rsid w:val="495913D8"/>
    <w:rsid w:val="49614A25"/>
    <w:rsid w:val="49630A38"/>
    <w:rsid w:val="496911ED"/>
    <w:rsid w:val="49695393"/>
    <w:rsid w:val="496F7DF4"/>
    <w:rsid w:val="49796F4A"/>
    <w:rsid w:val="49843F7B"/>
    <w:rsid w:val="49883415"/>
    <w:rsid w:val="498A77E3"/>
    <w:rsid w:val="49914BE6"/>
    <w:rsid w:val="49956188"/>
    <w:rsid w:val="49967F1D"/>
    <w:rsid w:val="49975A5C"/>
    <w:rsid w:val="499A197B"/>
    <w:rsid w:val="499A554C"/>
    <w:rsid w:val="49A10689"/>
    <w:rsid w:val="49A95790"/>
    <w:rsid w:val="49AE2DA6"/>
    <w:rsid w:val="49B11E26"/>
    <w:rsid w:val="49BC1967"/>
    <w:rsid w:val="49C01457"/>
    <w:rsid w:val="49C16F7D"/>
    <w:rsid w:val="49CB410E"/>
    <w:rsid w:val="49D22F38"/>
    <w:rsid w:val="49D7054F"/>
    <w:rsid w:val="49DA0653"/>
    <w:rsid w:val="49DA2C21"/>
    <w:rsid w:val="49DC1DE3"/>
    <w:rsid w:val="49DC7715"/>
    <w:rsid w:val="49DE01D4"/>
    <w:rsid w:val="49DF2CFA"/>
    <w:rsid w:val="49E82C88"/>
    <w:rsid w:val="49EA0282"/>
    <w:rsid w:val="49EA2030"/>
    <w:rsid w:val="49EB7487"/>
    <w:rsid w:val="49F337A2"/>
    <w:rsid w:val="49FC5C1D"/>
    <w:rsid w:val="49FD10A7"/>
    <w:rsid w:val="4A017DD0"/>
    <w:rsid w:val="4A02055D"/>
    <w:rsid w:val="4A023139"/>
    <w:rsid w:val="4A034605"/>
    <w:rsid w:val="4A044293"/>
    <w:rsid w:val="4A047074"/>
    <w:rsid w:val="4A050C18"/>
    <w:rsid w:val="4A061ED2"/>
    <w:rsid w:val="4A111CB3"/>
    <w:rsid w:val="4A113A61"/>
    <w:rsid w:val="4A123335"/>
    <w:rsid w:val="4A17094B"/>
    <w:rsid w:val="4A181CD1"/>
    <w:rsid w:val="4A184976"/>
    <w:rsid w:val="4A1A56BC"/>
    <w:rsid w:val="4A1E617D"/>
    <w:rsid w:val="4A210E8F"/>
    <w:rsid w:val="4A227A1C"/>
    <w:rsid w:val="4A230EA0"/>
    <w:rsid w:val="4A2319E6"/>
    <w:rsid w:val="4A253068"/>
    <w:rsid w:val="4A2A68D0"/>
    <w:rsid w:val="4A2F3EE7"/>
    <w:rsid w:val="4A314103"/>
    <w:rsid w:val="4A3572D7"/>
    <w:rsid w:val="4A385328"/>
    <w:rsid w:val="4A3D0A1C"/>
    <w:rsid w:val="4A461E3D"/>
    <w:rsid w:val="4A4831FA"/>
    <w:rsid w:val="4A4A1D57"/>
    <w:rsid w:val="4A4C6847"/>
    <w:rsid w:val="4A50597B"/>
    <w:rsid w:val="4A5120AF"/>
    <w:rsid w:val="4A530A8D"/>
    <w:rsid w:val="4A565917"/>
    <w:rsid w:val="4A595E27"/>
    <w:rsid w:val="4A5B4CDC"/>
    <w:rsid w:val="4A6515E6"/>
    <w:rsid w:val="4A653DAC"/>
    <w:rsid w:val="4A674244"/>
    <w:rsid w:val="4A6B226D"/>
    <w:rsid w:val="4A6C194E"/>
    <w:rsid w:val="4A6F1947"/>
    <w:rsid w:val="4A707442"/>
    <w:rsid w:val="4A710AA3"/>
    <w:rsid w:val="4A71143E"/>
    <w:rsid w:val="4A740312"/>
    <w:rsid w:val="4A767D68"/>
    <w:rsid w:val="4A7B537E"/>
    <w:rsid w:val="4A7B576F"/>
    <w:rsid w:val="4A7B712C"/>
    <w:rsid w:val="4A7D2EA4"/>
    <w:rsid w:val="4A7E06C0"/>
    <w:rsid w:val="4A895CED"/>
    <w:rsid w:val="4A897999"/>
    <w:rsid w:val="4A8A6E3A"/>
    <w:rsid w:val="4A8D0910"/>
    <w:rsid w:val="4A8F4E20"/>
    <w:rsid w:val="4A9106FD"/>
    <w:rsid w:val="4A9224F4"/>
    <w:rsid w:val="4A9C3A16"/>
    <w:rsid w:val="4A9D3546"/>
    <w:rsid w:val="4AA9419A"/>
    <w:rsid w:val="4AAC3789"/>
    <w:rsid w:val="4AAE7501"/>
    <w:rsid w:val="4ABE06BB"/>
    <w:rsid w:val="4AC00FE3"/>
    <w:rsid w:val="4AC163C2"/>
    <w:rsid w:val="4AC46D25"/>
    <w:rsid w:val="4ACB3D7C"/>
    <w:rsid w:val="4ACB7475"/>
    <w:rsid w:val="4ACE1952"/>
    <w:rsid w:val="4ACF1226"/>
    <w:rsid w:val="4AD0601C"/>
    <w:rsid w:val="4AD2721F"/>
    <w:rsid w:val="4AD54880"/>
    <w:rsid w:val="4AE66C9B"/>
    <w:rsid w:val="4AEA2F72"/>
    <w:rsid w:val="4AF34F14"/>
    <w:rsid w:val="4AF561A9"/>
    <w:rsid w:val="4AFD386D"/>
    <w:rsid w:val="4B02784D"/>
    <w:rsid w:val="4B0521F5"/>
    <w:rsid w:val="4B0E61F2"/>
    <w:rsid w:val="4B195AFD"/>
    <w:rsid w:val="4B1A1EC0"/>
    <w:rsid w:val="4B1A561A"/>
    <w:rsid w:val="4B1C04F1"/>
    <w:rsid w:val="4B241572"/>
    <w:rsid w:val="4B2477C4"/>
    <w:rsid w:val="4B2A4224"/>
    <w:rsid w:val="4B2C05D3"/>
    <w:rsid w:val="4B2D169E"/>
    <w:rsid w:val="4B300EE9"/>
    <w:rsid w:val="4B3043BA"/>
    <w:rsid w:val="4B3612A5"/>
    <w:rsid w:val="4B367C72"/>
    <w:rsid w:val="4B3C4B1F"/>
    <w:rsid w:val="4B410375"/>
    <w:rsid w:val="4B413ED2"/>
    <w:rsid w:val="4B484598"/>
    <w:rsid w:val="4B4E0392"/>
    <w:rsid w:val="4B4E2A92"/>
    <w:rsid w:val="4B50680B"/>
    <w:rsid w:val="4B510C36"/>
    <w:rsid w:val="4B5138BB"/>
    <w:rsid w:val="4B5736F5"/>
    <w:rsid w:val="4B5B0D5A"/>
    <w:rsid w:val="4B5D16B0"/>
    <w:rsid w:val="4B616322"/>
    <w:rsid w:val="4B624F0F"/>
    <w:rsid w:val="4B663938"/>
    <w:rsid w:val="4B69167A"/>
    <w:rsid w:val="4B693428"/>
    <w:rsid w:val="4B6B0A45"/>
    <w:rsid w:val="4B6D116B"/>
    <w:rsid w:val="4B6E5086"/>
    <w:rsid w:val="4B772F07"/>
    <w:rsid w:val="4B7901ED"/>
    <w:rsid w:val="4B7A3887"/>
    <w:rsid w:val="4B7C576C"/>
    <w:rsid w:val="4B801973"/>
    <w:rsid w:val="4B8957F1"/>
    <w:rsid w:val="4B8A0D3C"/>
    <w:rsid w:val="4B8F3CDB"/>
    <w:rsid w:val="4B92472D"/>
    <w:rsid w:val="4B9762C0"/>
    <w:rsid w:val="4B986D1E"/>
    <w:rsid w:val="4B991F60"/>
    <w:rsid w:val="4B9B1698"/>
    <w:rsid w:val="4BA076B7"/>
    <w:rsid w:val="4BA83F51"/>
    <w:rsid w:val="4BAB3A41"/>
    <w:rsid w:val="4BAD47E4"/>
    <w:rsid w:val="4BB85F8B"/>
    <w:rsid w:val="4BBC3ECC"/>
    <w:rsid w:val="4BC220E1"/>
    <w:rsid w:val="4BC32EDC"/>
    <w:rsid w:val="4BC67321"/>
    <w:rsid w:val="4BD21234"/>
    <w:rsid w:val="4BD21F77"/>
    <w:rsid w:val="4BDE0179"/>
    <w:rsid w:val="4BF123A7"/>
    <w:rsid w:val="4BF34FB9"/>
    <w:rsid w:val="4BF86145"/>
    <w:rsid w:val="4C001FDF"/>
    <w:rsid w:val="4C0513A3"/>
    <w:rsid w:val="4C0C1D79"/>
    <w:rsid w:val="4C0D2006"/>
    <w:rsid w:val="4C0F7AEF"/>
    <w:rsid w:val="4C194E4E"/>
    <w:rsid w:val="4C1D5FF9"/>
    <w:rsid w:val="4C25357F"/>
    <w:rsid w:val="4C2C208C"/>
    <w:rsid w:val="4C2C652A"/>
    <w:rsid w:val="4C2E7C1C"/>
    <w:rsid w:val="4C39729F"/>
    <w:rsid w:val="4C3C1AD4"/>
    <w:rsid w:val="4C3E2B07"/>
    <w:rsid w:val="4C403D10"/>
    <w:rsid w:val="4C417685"/>
    <w:rsid w:val="4C436F46"/>
    <w:rsid w:val="4C4634D7"/>
    <w:rsid w:val="4C4675FE"/>
    <w:rsid w:val="4C4A0649"/>
    <w:rsid w:val="4C4B4FE8"/>
    <w:rsid w:val="4C520360"/>
    <w:rsid w:val="4C545E87"/>
    <w:rsid w:val="4C5479B0"/>
    <w:rsid w:val="4C5C1239"/>
    <w:rsid w:val="4C5D11DF"/>
    <w:rsid w:val="4C6571B8"/>
    <w:rsid w:val="4C6755B6"/>
    <w:rsid w:val="4C6E5C70"/>
    <w:rsid w:val="4C7179D7"/>
    <w:rsid w:val="4C7C718B"/>
    <w:rsid w:val="4C7D53DD"/>
    <w:rsid w:val="4C7E5ECA"/>
    <w:rsid w:val="4C7F49C9"/>
    <w:rsid w:val="4C8526AF"/>
    <w:rsid w:val="4C854292"/>
    <w:rsid w:val="4C876AA5"/>
    <w:rsid w:val="4C8D3147"/>
    <w:rsid w:val="4C975D73"/>
    <w:rsid w:val="4C993E74"/>
    <w:rsid w:val="4C9B3A49"/>
    <w:rsid w:val="4C9B5863"/>
    <w:rsid w:val="4CA30BBC"/>
    <w:rsid w:val="4CAA1F4A"/>
    <w:rsid w:val="4CAB32E3"/>
    <w:rsid w:val="4CB62B2D"/>
    <w:rsid w:val="4CB66B41"/>
    <w:rsid w:val="4CB85EE9"/>
    <w:rsid w:val="4CC23686"/>
    <w:rsid w:val="4CC254E6"/>
    <w:rsid w:val="4CC92607"/>
    <w:rsid w:val="4CCB737A"/>
    <w:rsid w:val="4CCF19B1"/>
    <w:rsid w:val="4CCF58EA"/>
    <w:rsid w:val="4CD17B99"/>
    <w:rsid w:val="4CD7651E"/>
    <w:rsid w:val="4CDC5ED5"/>
    <w:rsid w:val="4CE21E44"/>
    <w:rsid w:val="4CE44DB6"/>
    <w:rsid w:val="4CEA4ADF"/>
    <w:rsid w:val="4CEC7770"/>
    <w:rsid w:val="4CED3B14"/>
    <w:rsid w:val="4CF136D5"/>
    <w:rsid w:val="4CF938F5"/>
    <w:rsid w:val="4CFC657A"/>
    <w:rsid w:val="4D006D97"/>
    <w:rsid w:val="4D027E1D"/>
    <w:rsid w:val="4D072EF9"/>
    <w:rsid w:val="4D073FAA"/>
    <w:rsid w:val="4D0B0C3B"/>
    <w:rsid w:val="4D0C5369"/>
    <w:rsid w:val="4D0E00FB"/>
    <w:rsid w:val="4D0E6A52"/>
    <w:rsid w:val="4D101778"/>
    <w:rsid w:val="4D176606"/>
    <w:rsid w:val="4D1846D0"/>
    <w:rsid w:val="4D221AE1"/>
    <w:rsid w:val="4D2717ED"/>
    <w:rsid w:val="4D2939AA"/>
    <w:rsid w:val="4D2D1641"/>
    <w:rsid w:val="4D326766"/>
    <w:rsid w:val="4D341814"/>
    <w:rsid w:val="4D355CB8"/>
    <w:rsid w:val="4D384E95"/>
    <w:rsid w:val="4D3B3F70"/>
    <w:rsid w:val="4D3D10E9"/>
    <w:rsid w:val="4D4375FC"/>
    <w:rsid w:val="4D4555F6"/>
    <w:rsid w:val="4D4E0723"/>
    <w:rsid w:val="4D5C3245"/>
    <w:rsid w:val="4D5E064B"/>
    <w:rsid w:val="4D622825"/>
    <w:rsid w:val="4D643CDE"/>
    <w:rsid w:val="4D6A0A55"/>
    <w:rsid w:val="4D6E11CA"/>
    <w:rsid w:val="4D6E4D26"/>
    <w:rsid w:val="4D6F454C"/>
    <w:rsid w:val="4D7465DE"/>
    <w:rsid w:val="4D7C0195"/>
    <w:rsid w:val="4D7E2637"/>
    <w:rsid w:val="4D8131B7"/>
    <w:rsid w:val="4D846871"/>
    <w:rsid w:val="4D870D8D"/>
    <w:rsid w:val="4D870E9B"/>
    <w:rsid w:val="4D8B4139"/>
    <w:rsid w:val="4D8F743A"/>
    <w:rsid w:val="4D977BC7"/>
    <w:rsid w:val="4D993218"/>
    <w:rsid w:val="4D9F18C1"/>
    <w:rsid w:val="4DA0163A"/>
    <w:rsid w:val="4DAC584E"/>
    <w:rsid w:val="4DAE7818"/>
    <w:rsid w:val="4DB03590"/>
    <w:rsid w:val="4DB55A2C"/>
    <w:rsid w:val="4DC1579E"/>
    <w:rsid w:val="4DC1754C"/>
    <w:rsid w:val="4DD612B3"/>
    <w:rsid w:val="4DDB0D98"/>
    <w:rsid w:val="4DDB4BBC"/>
    <w:rsid w:val="4DDE00FE"/>
    <w:rsid w:val="4DDF54F9"/>
    <w:rsid w:val="4DE44086"/>
    <w:rsid w:val="4DE52D23"/>
    <w:rsid w:val="4DEB6377"/>
    <w:rsid w:val="4DEC4FB0"/>
    <w:rsid w:val="4DED0138"/>
    <w:rsid w:val="4DEF53A0"/>
    <w:rsid w:val="4DF12BD9"/>
    <w:rsid w:val="4DF27705"/>
    <w:rsid w:val="4DF33B05"/>
    <w:rsid w:val="4DF83498"/>
    <w:rsid w:val="4DFA2A5E"/>
    <w:rsid w:val="4DFF1E8B"/>
    <w:rsid w:val="4E02343A"/>
    <w:rsid w:val="4E075D8A"/>
    <w:rsid w:val="4E08517B"/>
    <w:rsid w:val="4E0D7E06"/>
    <w:rsid w:val="4E131240"/>
    <w:rsid w:val="4E21078A"/>
    <w:rsid w:val="4E217FEA"/>
    <w:rsid w:val="4E234B23"/>
    <w:rsid w:val="4E261AA5"/>
    <w:rsid w:val="4E2B1EB6"/>
    <w:rsid w:val="4E2D46F7"/>
    <w:rsid w:val="4E2D6F34"/>
    <w:rsid w:val="4E2F5F0F"/>
    <w:rsid w:val="4E3046D1"/>
    <w:rsid w:val="4E382BE8"/>
    <w:rsid w:val="4E395334"/>
    <w:rsid w:val="4E3A621D"/>
    <w:rsid w:val="4E3B6791"/>
    <w:rsid w:val="4E3C3076"/>
    <w:rsid w:val="4E3C4E24"/>
    <w:rsid w:val="4E4B5067"/>
    <w:rsid w:val="4E4C150B"/>
    <w:rsid w:val="4E4D2773"/>
    <w:rsid w:val="4E524648"/>
    <w:rsid w:val="4E586B64"/>
    <w:rsid w:val="4E593C28"/>
    <w:rsid w:val="4E5D650F"/>
    <w:rsid w:val="4E612ADD"/>
    <w:rsid w:val="4E637DE8"/>
    <w:rsid w:val="4E680C1E"/>
    <w:rsid w:val="4E6A527E"/>
    <w:rsid w:val="4E6C5482"/>
    <w:rsid w:val="4E6F7F33"/>
    <w:rsid w:val="4E760168"/>
    <w:rsid w:val="4E772300"/>
    <w:rsid w:val="4E7F6E5E"/>
    <w:rsid w:val="4E824F2D"/>
    <w:rsid w:val="4E8A5B90"/>
    <w:rsid w:val="4E905954"/>
    <w:rsid w:val="4E9A5E2F"/>
    <w:rsid w:val="4E9B3F1C"/>
    <w:rsid w:val="4EAD187E"/>
    <w:rsid w:val="4EB26E94"/>
    <w:rsid w:val="4EB32F14"/>
    <w:rsid w:val="4EB52124"/>
    <w:rsid w:val="4EC00FAD"/>
    <w:rsid w:val="4EC10AA6"/>
    <w:rsid w:val="4EC12B2C"/>
    <w:rsid w:val="4EC13C9E"/>
    <w:rsid w:val="4EC41DC4"/>
    <w:rsid w:val="4EC61D60"/>
    <w:rsid w:val="4EC80E89"/>
    <w:rsid w:val="4EC866B8"/>
    <w:rsid w:val="4ECC6D94"/>
    <w:rsid w:val="4ED22589"/>
    <w:rsid w:val="4ED35661"/>
    <w:rsid w:val="4EE94FAC"/>
    <w:rsid w:val="4EEA4174"/>
    <w:rsid w:val="4EEA4880"/>
    <w:rsid w:val="4EED611E"/>
    <w:rsid w:val="4EF16274"/>
    <w:rsid w:val="4EF86F9D"/>
    <w:rsid w:val="4EFE3C60"/>
    <w:rsid w:val="4F0079E0"/>
    <w:rsid w:val="4F086393"/>
    <w:rsid w:val="4F0C2B5C"/>
    <w:rsid w:val="4F0C42E9"/>
    <w:rsid w:val="4F0D1B7B"/>
    <w:rsid w:val="4F15559D"/>
    <w:rsid w:val="4F165675"/>
    <w:rsid w:val="4F1A33B7"/>
    <w:rsid w:val="4F235F46"/>
    <w:rsid w:val="4F290873"/>
    <w:rsid w:val="4F2A01EE"/>
    <w:rsid w:val="4F2B2B76"/>
    <w:rsid w:val="4F310701"/>
    <w:rsid w:val="4F372CC3"/>
    <w:rsid w:val="4F3854C4"/>
    <w:rsid w:val="4F391364"/>
    <w:rsid w:val="4F3B7C8E"/>
    <w:rsid w:val="4F3D0E54"/>
    <w:rsid w:val="4F3E697A"/>
    <w:rsid w:val="4F400944"/>
    <w:rsid w:val="4F42646A"/>
    <w:rsid w:val="4F586DEA"/>
    <w:rsid w:val="4F5950E5"/>
    <w:rsid w:val="4F5D4C99"/>
    <w:rsid w:val="4F651160"/>
    <w:rsid w:val="4F701D2A"/>
    <w:rsid w:val="4F710AFD"/>
    <w:rsid w:val="4F734E61"/>
    <w:rsid w:val="4F756840"/>
    <w:rsid w:val="4F7A5DF1"/>
    <w:rsid w:val="4F7E0975"/>
    <w:rsid w:val="4F86410B"/>
    <w:rsid w:val="4F871DE5"/>
    <w:rsid w:val="4F8C3B89"/>
    <w:rsid w:val="4F8E5B53"/>
    <w:rsid w:val="4F953265"/>
    <w:rsid w:val="4F9843DC"/>
    <w:rsid w:val="4F9D0C0C"/>
    <w:rsid w:val="4FA03191"/>
    <w:rsid w:val="4FA71BCA"/>
    <w:rsid w:val="4FAA3277"/>
    <w:rsid w:val="4FAA51A5"/>
    <w:rsid w:val="4FAA530F"/>
    <w:rsid w:val="4FAB7475"/>
    <w:rsid w:val="4FAD5FDA"/>
    <w:rsid w:val="4FB258BC"/>
    <w:rsid w:val="4FB8672C"/>
    <w:rsid w:val="4FBA20F2"/>
    <w:rsid w:val="4FBC621D"/>
    <w:rsid w:val="4FBD3D43"/>
    <w:rsid w:val="4FC220E3"/>
    <w:rsid w:val="4FC43323"/>
    <w:rsid w:val="4FC62A8C"/>
    <w:rsid w:val="4FC772AC"/>
    <w:rsid w:val="4FC926E8"/>
    <w:rsid w:val="4FCA3829"/>
    <w:rsid w:val="4FCF4503"/>
    <w:rsid w:val="4FD5400F"/>
    <w:rsid w:val="4FD95020"/>
    <w:rsid w:val="4FE1650A"/>
    <w:rsid w:val="4FE20F0D"/>
    <w:rsid w:val="4FE51552"/>
    <w:rsid w:val="4FE575A3"/>
    <w:rsid w:val="4FED6FA2"/>
    <w:rsid w:val="4FF17F6E"/>
    <w:rsid w:val="4FF503BD"/>
    <w:rsid w:val="4FF534DD"/>
    <w:rsid w:val="4FF712F5"/>
    <w:rsid w:val="4FFA4F97"/>
    <w:rsid w:val="4FFC486B"/>
    <w:rsid w:val="4FFD305E"/>
    <w:rsid w:val="4FFE4A87"/>
    <w:rsid w:val="50085545"/>
    <w:rsid w:val="5012408F"/>
    <w:rsid w:val="50132425"/>
    <w:rsid w:val="50151DD1"/>
    <w:rsid w:val="501A5E6C"/>
    <w:rsid w:val="501E3E9C"/>
    <w:rsid w:val="501E5494"/>
    <w:rsid w:val="502618E8"/>
    <w:rsid w:val="5028041A"/>
    <w:rsid w:val="50295500"/>
    <w:rsid w:val="502C0397"/>
    <w:rsid w:val="5032028D"/>
    <w:rsid w:val="50373AF5"/>
    <w:rsid w:val="50377F99"/>
    <w:rsid w:val="50402532"/>
    <w:rsid w:val="50493828"/>
    <w:rsid w:val="504A1A7A"/>
    <w:rsid w:val="504D307D"/>
    <w:rsid w:val="504D50C7"/>
    <w:rsid w:val="504F7091"/>
    <w:rsid w:val="50500441"/>
    <w:rsid w:val="50504C4B"/>
    <w:rsid w:val="50593A6B"/>
    <w:rsid w:val="50597678"/>
    <w:rsid w:val="505E37B1"/>
    <w:rsid w:val="50696E2E"/>
    <w:rsid w:val="507B4F96"/>
    <w:rsid w:val="507C3BFE"/>
    <w:rsid w:val="507C775A"/>
    <w:rsid w:val="508036EE"/>
    <w:rsid w:val="50850D04"/>
    <w:rsid w:val="5086130F"/>
    <w:rsid w:val="508B0EE7"/>
    <w:rsid w:val="508B5BEF"/>
    <w:rsid w:val="508C5413"/>
    <w:rsid w:val="508E2890"/>
    <w:rsid w:val="508E3509"/>
    <w:rsid w:val="50926F7D"/>
    <w:rsid w:val="50964CC0"/>
    <w:rsid w:val="509C6E7C"/>
    <w:rsid w:val="509E1DC6"/>
    <w:rsid w:val="50A15412"/>
    <w:rsid w:val="50B33A15"/>
    <w:rsid w:val="50C9527D"/>
    <w:rsid w:val="50CA2BBB"/>
    <w:rsid w:val="50D106E5"/>
    <w:rsid w:val="50D37CC2"/>
    <w:rsid w:val="50D43A3A"/>
    <w:rsid w:val="50D54727"/>
    <w:rsid w:val="50D650BC"/>
    <w:rsid w:val="50D77086"/>
    <w:rsid w:val="50DA1089"/>
    <w:rsid w:val="50DB6B76"/>
    <w:rsid w:val="50E33C7D"/>
    <w:rsid w:val="50E377D9"/>
    <w:rsid w:val="50E7551B"/>
    <w:rsid w:val="50E772C9"/>
    <w:rsid w:val="50F30636"/>
    <w:rsid w:val="50F44A9D"/>
    <w:rsid w:val="50F6575E"/>
    <w:rsid w:val="50FE5D3D"/>
    <w:rsid w:val="510A6DE4"/>
    <w:rsid w:val="510C6A50"/>
    <w:rsid w:val="510F4A72"/>
    <w:rsid w:val="510F6820"/>
    <w:rsid w:val="51142088"/>
    <w:rsid w:val="51152F96"/>
    <w:rsid w:val="511610B5"/>
    <w:rsid w:val="5119398D"/>
    <w:rsid w:val="511D718F"/>
    <w:rsid w:val="512027DB"/>
    <w:rsid w:val="512322CB"/>
    <w:rsid w:val="512353A3"/>
    <w:rsid w:val="512646CD"/>
    <w:rsid w:val="51276FF3"/>
    <w:rsid w:val="512D4760"/>
    <w:rsid w:val="512D4762"/>
    <w:rsid w:val="51304D2D"/>
    <w:rsid w:val="51346287"/>
    <w:rsid w:val="514143E2"/>
    <w:rsid w:val="51432280"/>
    <w:rsid w:val="51457355"/>
    <w:rsid w:val="514E10F6"/>
    <w:rsid w:val="51517C3A"/>
    <w:rsid w:val="51532795"/>
    <w:rsid w:val="51563C65"/>
    <w:rsid w:val="515661FD"/>
    <w:rsid w:val="515C49C2"/>
    <w:rsid w:val="515E2011"/>
    <w:rsid w:val="5162104E"/>
    <w:rsid w:val="516613C8"/>
    <w:rsid w:val="51736DAF"/>
    <w:rsid w:val="517C75D2"/>
    <w:rsid w:val="517D5E7F"/>
    <w:rsid w:val="51840FBC"/>
    <w:rsid w:val="51844B18"/>
    <w:rsid w:val="51860D3F"/>
    <w:rsid w:val="5187285A"/>
    <w:rsid w:val="518C1C1F"/>
    <w:rsid w:val="518C5779"/>
    <w:rsid w:val="51960CEF"/>
    <w:rsid w:val="51975088"/>
    <w:rsid w:val="519A258E"/>
    <w:rsid w:val="519D1737"/>
    <w:rsid w:val="51A61F98"/>
    <w:rsid w:val="51B010A1"/>
    <w:rsid w:val="51B27247"/>
    <w:rsid w:val="51B35558"/>
    <w:rsid w:val="51B50CE4"/>
    <w:rsid w:val="51B578E7"/>
    <w:rsid w:val="51B7313F"/>
    <w:rsid w:val="51B940F4"/>
    <w:rsid w:val="51BF3DA2"/>
    <w:rsid w:val="51C04E17"/>
    <w:rsid w:val="51C27D36"/>
    <w:rsid w:val="51C554AF"/>
    <w:rsid w:val="51C710A1"/>
    <w:rsid w:val="51C732EE"/>
    <w:rsid w:val="51D13AD5"/>
    <w:rsid w:val="51DD06CC"/>
    <w:rsid w:val="51DD214D"/>
    <w:rsid w:val="51E001DA"/>
    <w:rsid w:val="51E11F6A"/>
    <w:rsid w:val="51EC4E24"/>
    <w:rsid w:val="51F60A51"/>
    <w:rsid w:val="51F6353C"/>
    <w:rsid w:val="51F872B4"/>
    <w:rsid w:val="51FA5EEB"/>
    <w:rsid w:val="51FC6DA4"/>
    <w:rsid w:val="51FE0D6E"/>
    <w:rsid w:val="51FE786D"/>
    <w:rsid w:val="51FF0643"/>
    <w:rsid w:val="51FF7084"/>
    <w:rsid w:val="52045688"/>
    <w:rsid w:val="5212175A"/>
    <w:rsid w:val="521656D1"/>
    <w:rsid w:val="521A0616"/>
    <w:rsid w:val="521C7446"/>
    <w:rsid w:val="521D6E27"/>
    <w:rsid w:val="521F2376"/>
    <w:rsid w:val="521F2A93"/>
    <w:rsid w:val="52253BD5"/>
    <w:rsid w:val="52265350"/>
    <w:rsid w:val="52267AA3"/>
    <w:rsid w:val="52304CA0"/>
    <w:rsid w:val="523429E2"/>
    <w:rsid w:val="523A78CD"/>
    <w:rsid w:val="523C1897"/>
    <w:rsid w:val="523F1387"/>
    <w:rsid w:val="52444D2C"/>
    <w:rsid w:val="524E02C5"/>
    <w:rsid w:val="52500E9E"/>
    <w:rsid w:val="525151DD"/>
    <w:rsid w:val="52546633"/>
    <w:rsid w:val="525C2209"/>
    <w:rsid w:val="52610D67"/>
    <w:rsid w:val="5263737E"/>
    <w:rsid w:val="52640B80"/>
    <w:rsid w:val="5264494A"/>
    <w:rsid w:val="526A7CDF"/>
    <w:rsid w:val="526B217C"/>
    <w:rsid w:val="526D37FE"/>
    <w:rsid w:val="527208FC"/>
    <w:rsid w:val="527805D2"/>
    <w:rsid w:val="527C5B30"/>
    <w:rsid w:val="527F0D08"/>
    <w:rsid w:val="52872F5F"/>
    <w:rsid w:val="528A1A8A"/>
    <w:rsid w:val="528B5F65"/>
    <w:rsid w:val="528C06A5"/>
    <w:rsid w:val="528C45CC"/>
    <w:rsid w:val="529214B7"/>
    <w:rsid w:val="52950FA7"/>
    <w:rsid w:val="5295500F"/>
    <w:rsid w:val="52981582"/>
    <w:rsid w:val="52A5743C"/>
    <w:rsid w:val="52A642BD"/>
    <w:rsid w:val="52AB48FB"/>
    <w:rsid w:val="52AE4AE4"/>
    <w:rsid w:val="52B21B59"/>
    <w:rsid w:val="52B534C8"/>
    <w:rsid w:val="52BA27BB"/>
    <w:rsid w:val="52BD36EC"/>
    <w:rsid w:val="52C535BF"/>
    <w:rsid w:val="52CB2EA1"/>
    <w:rsid w:val="52CB3281"/>
    <w:rsid w:val="52D424A3"/>
    <w:rsid w:val="52D7511B"/>
    <w:rsid w:val="52D764AD"/>
    <w:rsid w:val="52DA4A7E"/>
    <w:rsid w:val="52E635B0"/>
    <w:rsid w:val="52E91706"/>
    <w:rsid w:val="52EC6E19"/>
    <w:rsid w:val="52EF6909"/>
    <w:rsid w:val="52F32B1B"/>
    <w:rsid w:val="52F43F1F"/>
    <w:rsid w:val="52F775D7"/>
    <w:rsid w:val="52F932E4"/>
    <w:rsid w:val="52FE08FA"/>
    <w:rsid w:val="53001CBD"/>
    <w:rsid w:val="530524D1"/>
    <w:rsid w:val="530B7849"/>
    <w:rsid w:val="530C1887"/>
    <w:rsid w:val="530F6FAB"/>
    <w:rsid w:val="53165ACD"/>
    <w:rsid w:val="5323375D"/>
    <w:rsid w:val="532365B3"/>
    <w:rsid w:val="5326046A"/>
    <w:rsid w:val="53290398"/>
    <w:rsid w:val="53291D44"/>
    <w:rsid w:val="532A03F7"/>
    <w:rsid w:val="53345D64"/>
    <w:rsid w:val="53367966"/>
    <w:rsid w:val="53385ED7"/>
    <w:rsid w:val="533B7DA0"/>
    <w:rsid w:val="5345333A"/>
    <w:rsid w:val="53513120"/>
    <w:rsid w:val="53536C33"/>
    <w:rsid w:val="53536E98"/>
    <w:rsid w:val="535449BE"/>
    <w:rsid w:val="53590226"/>
    <w:rsid w:val="535A6478"/>
    <w:rsid w:val="535B2858"/>
    <w:rsid w:val="535D3873"/>
    <w:rsid w:val="535E75EB"/>
    <w:rsid w:val="53603363"/>
    <w:rsid w:val="53672943"/>
    <w:rsid w:val="53746F88"/>
    <w:rsid w:val="53755688"/>
    <w:rsid w:val="53760DD8"/>
    <w:rsid w:val="537868DB"/>
    <w:rsid w:val="537B678C"/>
    <w:rsid w:val="53832456"/>
    <w:rsid w:val="53867734"/>
    <w:rsid w:val="538B008B"/>
    <w:rsid w:val="538F0EB4"/>
    <w:rsid w:val="53906AF0"/>
    <w:rsid w:val="5391176E"/>
    <w:rsid w:val="53924AD9"/>
    <w:rsid w:val="539354E6"/>
    <w:rsid w:val="5394222F"/>
    <w:rsid w:val="53963229"/>
    <w:rsid w:val="539E0C5C"/>
    <w:rsid w:val="53A039CC"/>
    <w:rsid w:val="53A1505A"/>
    <w:rsid w:val="53A176F2"/>
    <w:rsid w:val="53A33245"/>
    <w:rsid w:val="53AA20F6"/>
    <w:rsid w:val="53AA69BC"/>
    <w:rsid w:val="53AC65A8"/>
    <w:rsid w:val="53AE40CE"/>
    <w:rsid w:val="53B2032E"/>
    <w:rsid w:val="53B74085"/>
    <w:rsid w:val="53BC0303"/>
    <w:rsid w:val="53BC2C8F"/>
    <w:rsid w:val="53C03D13"/>
    <w:rsid w:val="53C3156D"/>
    <w:rsid w:val="53CE6E32"/>
    <w:rsid w:val="53D17CA8"/>
    <w:rsid w:val="53D42E9C"/>
    <w:rsid w:val="53D722CD"/>
    <w:rsid w:val="53DA6B55"/>
    <w:rsid w:val="53DD07F9"/>
    <w:rsid w:val="53E13EF1"/>
    <w:rsid w:val="53F73CC7"/>
    <w:rsid w:val="53F81F38"/>
    <w:rsid w:val="53FB308C"/>
    <w:rsid w:val="53FE377E"/>
    <w:rsid w:val="53FF2B7C"/>
    <w:rsid w:val="540177F1"/>
    <w:rsid w:val="5403095E"/>
    <w:rsid w:val="54063E08"/>
    <w:rsid w:val="540722D6"/>
    <w:rsid w:val="540C5299"/>
    <w:rsid w:val="54115E18"/>
    <w:rsid w:val="541224FD"/>
    <w:rsid w:val="541B1C18"/>
    <w:rsid w:val="541B7982"/>
    <w:rsid w:val="54212E7B"/>
    <w:rsid w:val="54224ABC"/>
    <w:rsid w:val="5426587E"/>
    <w:rsid w:val="54297BF9"/>
    <w:rsid w:val="542C43EF"/>
    <w:rsid w:val="542C65D7"/>
    <w:rsid w:val="54300F87"/>
    <w:rsid w:val="54311940"/>
    <w:rsid w:val="543437E8"/>
    <w:rsid w:val="54343E0A"/>
    <w:rsid w:val="54361761"/>
    <w:rsid w:val="54367A9B"/>
    <w:rsid w:val="543D1818"/>
    <w:rsid w:val="54402158"/>
    <w:rsid w:val="54442658"/>
    <w:rsid w:val="54461839"/>
    <w:rsid w:val="54464BBC"/>
    <w:rsid w:val="54495C05"/>
    <w:rsid w:val="544A35EC"/>
    <w:rsid w:val="544D2410"/>
    <w:rsid w:val="54531554"/>
    <w:rsid w:val="5454733B"/>
    <w:rsid w:val="54571DEF"/>
    <w:rsid w:val="545C0DEF"/>
    <w:rsid w:val="546267E5"/>
    <w:rsid w:val="5464633E"/>
    <w:rsid w:val="546724CF"/>
    <w:rsid w:val="547075D6"/>
    <w:rsid w:val="54761616"/>
    <w:rsid w:val="547D3F6F"/>
    <w:rsid w:val="547F222C"/>
    <w:rsid w:val="548070A5"/>
    <w:rsid w:val="548331D0"/>
    <w:rsid w:val="54882AE2"/>
    <w:rsid w:val="548B7A74"/>
    <w:rsid w:val="549E2395"/>
    <w:rsid w:val="54A66005"/>
    <w:rsid w:val="54A86D6F"/>
    <w:rsid w:val="54AA5156"/>
    <w:rsid w:val="54B02B7F"/>
    <w:rsid w:val="54B139D4"/>
    <w:rsid w:val="54B9075C"/>
    <w:rsid w:val="54B95421"/>
    <w:rsid w:val="54BA2F6A"/>
    <w:rsid w:val="54BE2761"/>
    <w:rsid w:val="54BF230B"/>
    <w:rsid w:val="54C25410"/>
    <w:rsid w:val="54C31DFB"/>
    <w:rsid w:val="54C41444"/>
    <w:rsid w:val="54C4542D"/>
    <w:rsid w:val="54C625D1"/>
    <w:rsid w:val="54C94F38"/>
    <w:rsid w:val="54CF69F2"/>
    <w:rsid w:val="54DC0F5A"/>
    <w:rsid w:val="54DF070E"/>
    <w:rsid w:val="54E0475B"/>
    <w:rsid w:val="54E2628C"/>
    <w:rsid w:val="54F16968"/>
    <w:rsid w:val="54F73313"/>
    <w:rsid w:val="54F80955"/>
    <w:rsid w:val="5502690E"/>
    <w:rsid w:val="550565D4"/>
    <w:rsid w:val="55081F04"/>
    <w:rsid w:val="55083CB2"/>
    <w:rsid w:val="55102B67"/>
    <w:rsid w:val="55126BCE"/>
    <w:rsid w:val="55191A1B"/>
    <w:rsid w:val="551D6150"/>
    <w:rsid w:val="551E34D6"/>
    <w:rsid w:val="55230AEC"/>
    <w:rsid w:val="55264138"/>
    <w:rsid w:val="552A00CC"/>
    <w:rsid w:val="552A3C28"/>
    <w:rsid w:val="552B79A7"/>
    <w:rsid w:val="552C3FC0"/>
    <w:rsid w:val="552D3719"/>
    <w:rsid w:val="552F3B91"/>
    <w:rsid w:val="553108D0"/>
    <w:rsid w:val="55342CF9"/>
    <w:rsid w:val="55344AA7"/>
    <w:rsid w:val="553625CD"/>
    <w:rsid w:val="553E0825"/>
    <w:rsid w:val="553E6AE1"/>
    <w:rsid w:val="554271C4"/>
    <w:rsid w:val="554525D7"/>
    <w:rsid w:val="55452810"/>
    <w:rsid w:val="554A22E8"/>
    <w:rsid w:val="554A42CB"/>
    <w:rsid w:val="554E679D"/>
    <w:rsid w:val="555170A7"/>
    <w:rsid w:val="555313D1"/>
    <w:rsid w:val="555B1898"/>
    <w:rsid w:val="55627866"/>
    <w:rsid w:val="556F3D31"/>
    <w:rsid w:val="55713605"/>
    <w:rsid w:val="55747BA2"/>
    <w:rsid w:val="5576721A"/>
    <w:rsid w:val="557E6A07"/>
    <w:rsid w:val="55801A9A"/>
    <w:rsid w:val="55842EA5"/>
    <w:rsid w:val="5587536D"/>
    <w:rsid w:val="558B3AB9"/>
    <w:rsid w:val="558E406F"/>
    <w:rsid w:val="558F2CFC"/>
    <w:rsid w:val="55965FBE"/>
    <w:rsid w:val="559B174B"/>
    <w:rsid w:val="559D264C"/>
    <w:rsid w:val="55A0038E"/>
    <w:rsid w:val="55A559A5"/>
    <w:rsid w:val="55A863DE"/>
    <w:rsid w:val="55AA2FBB"/>
    <w:rsid w:val="55AD03B6"/>
    <w:rsid w:val="55AF2380"/>
    <w:rsid w:val="55AF412E"/>
    <w:rsid w:val="55B53A58"/>
    <w:rsid w:val="55B77F4B"/>
    <w:rsid w:val="55BB22CC"/>
    <w:rsid w:val="55BB5265"/>
    <w:rsid w:val="55BD5D60"/>
    <w:rsid w:val="55C0534A"/>
    <w:rsid w:val="55C45E2B"/>
    <w:rsid w:val="55C66E05"/>
    <w:rsid w:val="55CA2593"/>
    <w:rsid w:val="55CA55F7"/>
    <w:rsid w:val="55CD1223"/>
    <w:rsid w:val="55CE0CF4"/>
    <w:rsid w:val="55CE6CAA"/>
    <w:rsid w:val="55CF4C1F"/>
    <w:rsid w:val="55D04FA7"/>
    <w:rsid w:val="55E41916"/>
    <w:rsid w:val="55E7347A"/>
    <w:rsid w:val="55E860FF"/>
    <w:rsid w:val="55EA2C6D"/>
    <w:rsid w:val="55F14DEF"/>
    <w:rsid w:val="55F72C7F"/>
    <w:rsid w:val="55F935FB"/>
    <w:rsid w:val="55FB55C5"/>
    <w:rsid w:val="55FD133D"/>
    <w:rsid w:val="55FF100C"/>
    <w:rsid w:val="56020701"/>
    <w:rsid w:val="56045FCA"/>
    <w:rsid w:val="56073F6A"/>
    <w:rsid w:val="56097CE2"/>
    <w:rsid w:val="560E6A1A"/>
    <w:rsid w:val="5611195D"/>
    <w:rsid w:val="56161C92"/>
    <w:rsid w:val="56193438"/>
    <w:rsid w:val="561C7481"/>
    <w:rsid w:val="561F5757"/>
    <w:rsid w:val="56242D6E"/>
    <w:rsid w:val="562468CA"/>
    <w:rsid w:val="56251B57"/>
    <w:rsid w:val="562B64D0"/>
    <w:rsid w:val="56316AFA"/>
    <w:rsid w:val="56334A1C"/>
    <w:rsid w:val="56352885"/>
    <w:rsid w:val="56356D29"/>
    <w:rsid w:val="563A2710"/>
    <w:rsid w:val="56494582"/>
    <w:rsid w:val="565151E5"/>
    <w:rsid w:val="56575846"/>
    <w:rsid w:val="56575CED"/>
    <w:rsid w:val="5659026C"/>
    <w:rsid w:val="565C2507"/>
    <w:rsid w:val="565D1DDC"/>
    <w:rsid w:val="56672A0E"/>
    <w:rsid w:val="566A4EFD"/>
    <w:rsid w:val="567158A4"/>
    <w:rsid w:val="567333AD"/>
    <w:rsid w:val="567B1C1A"/>
    <w:rsid w:val="567C04B4"/>
    <w:rsid w:val="567C094D"/>
    <w:rsid w:val="568140A3"/>
    <w:rsid w:val="56835CE6"/>
    <w:rsid w:val="56867584"/>
    <w:rsid w:val="56890E23"/>
    <w:rsid w:val="56921A85"/>
    <w:rsid w:val="56956DCB"/>
    <w:rsid w:val="56982E14"/>
    <w:rsid w:val="569956F7"/>
    <w:rsid w:val="569C1432"/>
    <w:rsid w:val="569C36DF"/>
    <w:rsid w:val="569D6990"/>
    <w:rsid w:val="569F1F43"/>
    <w:rsid w:val="56A3487D"/>
    <w:rsid w:val="56A74DC4"/>
    <w:rsid w:val="56AC0382"/>
    <w:rsid w:val="56AC3CDF"/>
    <w:rsid w:val="56B22A9C"/>
    <w:rsid w:val="56B52866"/>
    <w:rsid w:val="56B67742"/>
    <w:rsid w:val="56BC6B02"/>
    <w:rsid w:val="56C60329"/>
    <w:rsid w:val="56C835DF"/>
    <w:rsid w:val="56CA56C3"/>
    <w:rsid w:val="56CE1E94"/>
    <w:rsid w:val="56D05411"/>
    <w:rsid w:val="56DF3F35"/>
    <w:rsid w:val="56E46059"/>
    <w:rsid w:val="56EC5303"/>
    <w:rsid w:val="56EE10A3"/>
    <w:rsid w:val="56EE6C55"/>
    <w:rsid w:val="56EF512A"/>
    <w:rsid w:val="56FB2053"/>
    <w:rsid w:val="570105FA"/>
    <w:rsid w:val="570A502D"/>
    <w:rsid w:val="570B1838"/>
    <w:rsid w:val="570B2A97"/>
    <w:rsid w:val="57160908"/>
    <w:rsid w:val="5717642E"/>
    <w:rsid w:val="571F3872"/>
    <w:rsid w:val="571F75A1"/>
    <w:rsid w:val="57212E09"/>
    <w:rsid w:val="572161FB"/>
    <w:rsid w:val="57250B4B"/>
    <w:rsid w:val="57285B2E"/>
    <w:rsid w:val="57367FFF"/>
    <w:rsid w:val="573C5AC9"/>
    <w:rsid w:val="573F27EE"/>
    <w:rsid w:val="57496D0D"/>
    <w:rsid w:val="574C257C"/>
    <w:rsid w:val="57550131"/>
    <w:rsid w:val="57645C46"/>
    <w:rsid w:val="57664CC0"/>
    <w:rsid w:val="57672F12"/>
    <w:rsid w:val="576D604E"/>
    <w:rsid w:val="57711FE2"/>
    <w:rsid w:val="57737563"/>
    <w:rsid w:val="57767D76"/>
    <w:rsid w:val="57776ECD"/>
    <w:rsid w:val="57780CFE"/>
    <w:rsid w:val="57832CCF"/>
    <w:rsid w:val="57834D3C"/>
    <w:rsid w:val="578404A0"/>
    <w:rsid w:val="578C7B66"/>
    <w:rsid w:val="578E4942"/>
    <w:rsid w:val="5792131B"/>
    <w:rsid w:val="579730CB"/>
    <w:rsid w:val="57A5242C"/>
    <w:rsid w:val="57AE1152"/>
    <w:rsid w:val="57AE732C"/>
    <w:rsid w:val="57AF2B0B"/>
    <w:rsid w:val="57AF7361"/>
    <w:rsid w:val="57B72A76"/>
    <w:rsid w:val="57BF6098"/>
    <w:rsid w:val="57C3426C"/>
    <w:rsid w:val="57C53D6A"/>
    <w:rsid w:val="57C71C02"/>
    <w:rsid w:val="57C71CB3"/>
    <w:rsid w:val="57CE1F93"/>
    <w:rsid w:val="57D63138"/>
    <w:rsid w:val="57D63150"/>
    <w:rsid w:val="57DB2C59"/>
    <w:rsid w:val="57E24C8E"/>
    <w:rsid w:val="57E336E2"/>
    <w:rsid w:val="57E52089"/>
    <w:rsid w:val="57E601A8"/>
    <w:rsid w:val="57E834F2"/>
    <w:rsid w:val="57E83927"/>
    <w:rsid w:val="57E952BD"/>
    <w:rsid w:val="57EA58F1"/>
    <w:rsid w:val="57F25858"/>
    <w:rsid w:val="57F61771"/>
    <w:rsid w:val="57F945DA"/>
    <w:rsid w:val="57FC74D7"/>
    <w:rsid w:val="58044C05"/>
    <w:rsid w:val="58082A96"/>
    <w:rsid w:val="580A07AE"/>
    <w:rsid w:val="580C5867"/>
    <w:rsid w:val="58100309"/>
    <w:rsid w:val="58134E48"/>
    <w:rsid w:val="581D38D8"/>
    <w:rsid w:val="581D7C2B"/>
    <w:rsid w:val="58235A2F"/>
    <w:rsid w:val="582D6EF7"/>
    <w:rsid w:val="58354DBE"/>
    <w:rsid w:val="583733E0"/>
    <w:rsid w:val="583A40A4"/>
    <w:rsid w:val="58404BF5"/>
    <w:rsid w:val="58457402"/>
    <w:rsid w:val="58470B61"/>
    <w:rsid w:val="5848477E"/>
    <w:rsid w:val="584A2FE9"/>
    <w:rsid w:val="584E630F"/>
    <w:rsid w:val="58546B0D"/>
    <w:rsid w:val="58580AAD"/>
    <w:rsid w:val="58586CFE"/>
    <w:rsid w:val="585A61E3"/>
    <w:rsid w:val="585E52F5"/>
    <w:rsid w:val="585F2561"/>
    <w:rsid w:val="5866766D"/>
    <w:rsid w:val="586E6522"/>
    <w:rsid w:val="58732438"/>
    <w:rsid w:val="587B2367"/>
    <w:rsid w:val="587E56A8"/>
    <w:rsid w:val="588040E3"/>
    <w:rsid w:val="5882405C"/>
    <w:rsid w:val="588418A2"/>
    <w:rsid w:val="588743D1"/>
    <w:rsid w:val="5887701A"/>
    <w:rsid w:val="58902C7A"/>
    <w:rsid w:val="58907086"/>
    <w:rsid w:val="58A55427"/>
    <w:rsid w:val="58A75590"/>
    <w:rsid w:val="58AB6E2E"/>
    <w:rsid w:val="58AF08B9"/>
    <w:rsid w:val="58B303D9"/>
    <w:rsid w:val="58B46E42"/>
    <w:rsid w:val="58B55EFF"/>
    <w:rsid w:val="58B66C14"/>
    <w:rsid w:val="58B71C77"/>
    <w:rsid w:val="58B93701"/>
    <w:rsid w:val="58BA1767"/>
    <w:rsid w:val="58BA34E5"/>
    <w:rsid w:val="58BC728D"/>
    <w:rsid w:val="58BF6D7E"/>
    <w:rsid w:val="58C1067D"/>
    <w:rsid w:val="58C6010C"/>
    <w:rsid w:val="58CC0C6F"/>
    <w:rsid w:val="58CE59D8"/>
    <w:rsid w:val="58D17379"/>
    <w:rsid w:val="58D36323"/>
    <w:rsid w:val="58D64704"/>
    <w:rsid w:val="58D80F93"/>
    <w:rsid w:val="58D95C71"/>
    <w:rsid w:val="58DF54BF"/>
    <w:rsid w:val="58E275DE"/>
    <w:rsid w:val="58E47841"/>
    <w:rsid w:val="58E53B80"/>
    <w:rsid w:val="58EA21E6"/>
    <w:rsid w:val="58EB36CF"/>
    <w:rsid w:val="58EC457C"/>
    <w:rsid w:val="58F534DF"/>
    <w:rsid w:val="58F61CCC"/>
    <w:rsid w:val="58FC29EF"/>
    <w:rsid w:val="58FD15E8"/>
    <w:rsid w:val="58FE4A19"/>
    <w:rsid w:val="59026058"/>
    <w:rsid w:val="59080725"/>
    <w:rsid w:val="5909243F"/>
    <w:rsid w:val="590B5B1F"/>
    <w:rsid w:val="590C4F59"/>
    <w:rsid w:val="591744C4"/>
    <w:rsid w:val="591C0D62"/>
    <w:rsid w:val="591D4E77"/>
    <w:rsid w:val="59254E33"/>
    <w:rsid w:val="59260BAB"/>
    <w:rsid w:val="592B4413"/>
    <w:rsid w:val="592D018B"/>
    <w:rsid w:val="592E0C4E"/>
    <w:rsid w:val="592F3EA4"/>
    <w:rsid w:val="59332F66"/>
    <w:rsid w:val="593B35D7"/>
    <w:rsid w:val="59417793"/>
    <w:rsid w:val="59425A14"/>
    <w:rsid w:val="59441031"/>
    <w:rsid w:val="59444C41"/>
    <w:rsid w:val="59492413"/>
    <w:rsid w:val="5952151D"/>
    <w:rsid w:val="59557213"/>
    <w:rsid w:val="59570D64"/>
    <w:rsid w:val="595B6AA6"/>
    <w:rsid w:val="595D004C"/>
    <w:rsid w:val="595E20F3"/>
    <w:rsid w:val="59601E20"/>
    <w:rsid w:val="59617E35"/>
    <w:rsid w:val="596209A6"/>
    <w:rsid w:val="596266FC"/>
    <w:rsid w:val="59647D01"/>
    <w:rsid w:val="596544AE"/>
    <w:rsid w:val="596671F9"/>
    <w:rsid w:val="59710803"/>
    <w:rsid w:val="597653C7"/>
    <w:rsid w:val="597A6C86"/>
    <w:rsid w:val="5980222F"/>
    <w:rsid w:val="598B6C60"/>
    <w:rsid w:val="598C74CC"/>
    <w:rsid w:val="598D50F3"/>
    <w:rsid w:val="599716A2"/>
    <w:rsid w:val="59975605"/>
    <w:rsid w:val="5999291B"/>
    <w:rsid w:val="59A33FA9"/>
    <w:rsid w:val="59A53CE1"/>
    <w:rsid w:val="59A73A9A"/>
    <w:rsid w:val="59AA25E2"/>
    <w:rsid w:val="59AC62AE"/>
    <w:rsid w:val="59AD3C12"/>
    <w:rsid w:val="59B30690"/>
    <w:rsid w:val="59B44408"/>
    <w:rsid w:val="59B45AF6"/>
    <w:rsid w:val="59B63CDD"/>
    <w:rsid w:val="59B83EF9"/>
    <w:rsid w:val="59C0439F"/>
    <w:rsid w:val="59C7413C"/>
    <w:rsid w:val="59D40607"/>
    <w:rsid w:val="59D453B7"/>
    <w:rsid w:val="59D625D1"/>
    <w:rsid w:val="59D975AF"/>
    <w:rsid w:val="59E06223"/>
    <w:rsid w:val="59E24AD2"/>
    <w:rsid w:val="59E469F1"/>
    <w:rsid w:val="59E720E8"/>
    <w:rsid w:val="59E806C7"/>
    <w:rsid w:val="59E92304"/>
    <w:rsid w:val="59EA607C"/>
    <w:rsid w:val="59EA6202"/>
    <w:rsid w:val="59EC5950"/>
    <w:rsid w:val="59EC76FE"/>
    <w:rsid w:val="59ED3476"/>
    <w:rsid w:val="59EE791A"/>
    <w:rsid w:val="59F52A3C"/>
    <w:rsid w:val="59F60CF8"/>
    <w:rsid w:val="59F667CF"/>
    <w:rsid w:val="59FC75C2"/>
    <w:rsid w:val="5A012C99"/>
    <w:rsid w:val="5A0233C6"/>
    <w:rsid w:val="5A02695A"/>
    <w:rsid w:val="5A032C9A"/>
    <w:rsid w:val="5A0C4199"/>
    <w:rsid w:val="5A0D37E5"/>
    <w:rsid w:val="5A0F1829"/>
    <w:rsid w:val="5A204604"/>
    <w:rsid w:val="5A2359F1"/>
    <w:rsid w:val="5A2F1CE1"/>
    <w:rsid w:val="5A307D4C"/>
    <w:rsid w:val="5A33532D"/>
    <w:rsid w:val="5A335D71"/>
    <w:rsid w:val="5A367015"/>
    <w:rsid w:val="5A3A1ABA"/>
    <w:rsid w:val="5A3C31EA"/>
    <w:rsid w:val="5A3D07F3"/>
    <w:rsid w:val="5A403A28"/>
    <w:rsid w:val="5A432D36"/>
    <w:rsid w:val="5A596479"/>
    <w:rsid w:val="5A5B4884"/>
    <w:rsid w:val="5A5C55A1"/>
    <w:rsid w:val="5A5D05FC"/>
    <w:rsid w:val="5A5D684E"/>
    <w:rsid w:val="5A627044"/>
    <w:rsid w:val="5A663955"/>
    <w:rsid w:val="5A706581"/>
    <w:rsid w:val="5A731BCE"/>
    <w:rsid w:val="5A795B68"/>
    <w:rsid w:val="5A7D2CE7"/>
    <w:rsid w:val="5A8262B5"/>
    <w:rsid w:val="5A847860"/>
    <w:rsid w:val="5A851901"/>
    <w:rsid w:val="5A8913F1"/>
    <w:rsid w:val="5A8A0299"/>
    <w:rsid w:val="5A8B5169"/>
    <w:rsid w:val="5A8D5F7D"/>
    <w:rsid w:val="5A8F3BA2"/>
    <w:rsid w:val="5A9349DC"/>
    <w:rsid w:val="5A9F0C15"/>
    <w:rsid w:val="5AA52BC1"/>
    <w:rsid w:val="5AA56D82"/>
    <w:rsid w:val="5AA85B39"/>
    <w:rsid w:val="5AA91A93"/>
    <w:rsid w:val="5AB346C0"/>
    <w:rsid w:val="5AB53F94"/>
    <w:rsid w:val="5AB84E76"/>
    <w:rsid w:val="5ABB4D72"/>
    <w:rsid w:val="5ABE2233"/>
    <w:rsid w:val="5AC226A1"/>
    <w:rsid w:val="5AC462A3"/>
    <w:rsid w:val="5AC73C3A"/>
    <w:rsid w:val="5AC938EB"/>
    <w:rsid w:val="5AC97A40"/>
    <w:rsid w:val="5ACE2473"/>
    <w:rsid w:val="5AD54636"/>
    <w:rsid w:val="5AD563E4"/>
    <w:rsid w:val="5AD96BC3"/>
    <w:rsid w:val="5ADA39FB"/>
    <w:rsid w:val="5ADC3C17"/>
    <w:rsid w:val="5ADD4AE8"/>
    <w:rsid w:val="5ADD7DC6"/>
    <w:rsid w:val="5ADF6F3A"/>
    <w:rsid w:val="5ADF7263"/>
    <w:rsid w:val="5AE27234"/>
    <w:rsid w:val="5AE34FA5"/>
    <w:rsid w:val="5AE63D07"/>
    <w:rsid w:val="5AE87C8F"/>
    <w:rsid w:val="5AEA47A1"/>
    <w:rsid w:val="5AEB3E5A"/>
    <w:rsid w:val="5AED0425"/>
    <w:rsid w:val="5AF93724"/>
    <w:rsid w:val="5AFC62B9"/>
    <w:rsid w:val="5AFF3461"/>
    <w:rsid w:val="5AFF4DB0"/>
    <w:rsid w:val="5B0C743C"/>
    <w:rsid w:val="5B0D75A3"/>
    <w:rsid w:val="5B144CB3"/>
    <w:rsid w:val="5B1A64ED"/>
    <w:rsid w:val="5B1C04B7"/>
    <w:rsid w:val="5B1F58B2"/>
    <w:rsid w:val="5B211B20"/>
    <w:rsid w:val="5B215D77"/>
    <w:rsid w:val="5B21787C"/>
    <w:rsid w:val="5B234BF3"/>
    <w:rsid w:val="5B2358BC"/>
    <w:rsid w:val="5B275B22"/>
    <w:rsid w:val="5B2D6220"/>
    <w:rsid w:val="5B2F1F99"/>
    <w:rsid w:val="5B332A87"/>
    <w:rsid w:val="5B3A093D"/>
    <w:rsid w:val="5B3C2A37"/>
    <w:rsid w:val="5B3E455E"/>
    <w:rsid w:val="5B440E4E"/>
    <w:rsid w:val="5B463948"/>
    <w:rsid w:val="5B541A2E"/>
    <w:rsid w:val="5B5E462C"/>
    <w:rsid w:val="5B624BBB"/>
    <w:rsid w:val="5B627E52"/>
    <w:rsid w:val="5B630E90"/>
    <w:rsid w:val="5B66495E"/>
    <w:rsid w:val="5B6D0D13"/>
    <w:rsid w:val="5B6F4A8B"/>
    <w:rsid w:val="5B74506C"/>
    <w:rsid w:val="5B773003"/>
    <w:rsid w:val="5B7A4083"/>
    <w:rsid w:val="5B7C2BC9"/>
    <w:rsid w:val="5B7C7CA2"/>
    <w:rsid w:val="5B8027F4"/>
    <w:rsid w:val="5B804E56"/>
    <w:rsid w:val="5B811B57"/>
    <w:rsid w:val="5B8C4407"/>
    <w:rsid w:val="5B907F2B"/>
    <w:rsid w:val="5B953DC6"/>
    <w:rsid w:val="5B96763D"/>
    <w:rsid w:val="5B9B5880"/>
    <w:rsid w:val="5BA04C44"/>
    <w:rsid w:val="5BA62408"/>
    <w:rsid w:val="5BA97648"/>
    <w:rsid w:val="5BB95D06"/>
    <w:rsid w:val="5BBA5D5A"/>
    <w:rsid w:val="5BBB382C"/>
    <w:rsid w:val="5BBB7CD0"/>
    <w:rsid w:val="5BBE6D09"/>
    <w:rsid w:val="5BBE7621"/>
    <w:rsid w:val="5BBE7690"/>
    <w:rsid w:val="5BC00810"/>
    <w:rsid w:val="5BC528FD"/>
    <w:rsid w:val="5BC71E54"/>
    <w:rsid w:val="5BCA7F13"/>
    <w:rsid w:val="5BD237B0"/>
    <w:rsid w:val="5BD243D6"/>
    <w:rsid w:val="5BD74251"/>
    <w:rsid w:val="5BD806E6"/>
    <w:rsid w:val="5BD95648"/>
    <w:rsid w:val="5BDD1924"/>
    <w:rsid w:val="5BDF5D95"/>
    <w:rsid w:val="5BE20302"/>
    <w:rsid w:val="5BE72873"/>
    <w:rsid w:val="5BF14C2E"/>
    <w:rsid w:val="5BFE7528"/>
    <w:rsid w:val="5C001082"/>
    <w:rsid w:val="5C0A0D6D"/>
    <w:rsid w:val="5C0A6FBD"/>
    <w:rsid w:val="5C0C4088"/>
    <w:rsid w:val="5C1328D2"/>
    <w:rsid w:val="5C174686"/>
    <w:rsid w:val="5C1816B2"/>
    <w:rsid w:val="5C193E44"/>
    <w:rsid w:val="5C1D6295"/>
    <w:rsid w:val="5C1F025F"/>
    <w:rsid w:val="5C205BBF"/>
    <w:rsid w:val="5C242E11"/>
    <w:rsid w:val="5C2C1351"/>
    <w:rsid w:val="5C321615"/>
    <w:rsid w:val="5C390BF5"/>
    <w:rsid w:val="5C3F05AC"/>
    <w:rsid w:val="5C45176F"/>
    <w:rsid w:val="5C471339"/>
    <w:rsid w:val="5C5A7650"/>
    <w:rsid w:val="5C68451B"/>
    <w:rsid w:val="5C693F03"/>
    <w:rsid w:val="5C6D1040"/>
    <w:rsid w:val="5C7560D1"/>
    <w:rsid w:val="5C831C5C"/>
    <w:rsid w:val="5C86060B"/>
    <w:rsid w:val="5C88709C"/>
    <w:rsid w:val="5C8B5A45"/>
    <w:rsid w:val="5C900FC3"/>
    <w:rsid w:val="5C901F0C"/>
    <w:rsid w:val="5C902F0B"/>
    <w:rsid w:val="5C9522CF"/>
    <w:rsid w:val="5C981DBF"/>
    <w:rsid w:val="5C9F70ED"/>
    <w:rsid w:val="5CA644DC"/>
    <w:rsid w:val="5CA70254"/>
    <w:rsid w:val="5CA97B29"/>
    <w:rsid w:val="5CAE15E3"/>
    <w:rsid w:val="5CB169DD"/>
    <w:rsid w:val="5CB36BF9"/>
    <w:rsid w:val="5CB817EE"/>
    <w:rsid w:val="5CBA2C4C"/>
    <w:rsid w:val="5CBA7D0C"/>
    <w:rsid w:val="5CC06FCC"/>
    <w:rsid w:val="5CC11316"/>
    <w:rsid w:val="5CC3098C"/>
    <w:rsid w:val="5CCE2189"/>
    <w:rsid w:val="5CD379A9"/>
    <w:rsid w:val="5CD526CC"/>
    <w:rsid w:val="5CDA23D8"/>
    <w:rsid w:val="5CDE61E5"/>
    <w:rsid w:val="5CE46DB3"/>
    <w:rsid w:val="5CE57E3C"/>
    <w:rsid w:val="5CEC3A93"/>
    <w:rsid w:val="5CEC747F"/>
    <w:rsid w:val="5CF54B1C"/>
    <w:rsid w:val="5CFD5DA4"/>
    <w:rsid w:val="5D002B6A"/>
    <w:rsid w:val="5D0204D6"/>
    <w:rsid w:val="5D094A6B"/>
    <w:rsid w:val="5D0A2889"/>
    <w:rsid w:val="5D0B04AC"/>
    <w:rsid w:val="5D0C1C08"/>
    <w:rsid w:val="5D0E2082"/>
    <w:rsid w:val="5D101956"/>
    <w:rsid w:val="5D107BA8"/>
    <w:rsid w:val="5D1256CE"/>
    <w:rsid w:val="5D131446"/>
    <w:rsid w:val="5D1717AF"/>
    <w:rsid w:val="5D1A4582"/>
    <w:rsid w:val="5D1C5CC2"/>
    <w:rsid w:val="5D1C7811"/>
    <w:rsid w:val="5D1F7DEB"/>
    <w:rsid w:val="5D2116BF"/>
    <w:rsid w:val="5D250E31"/>
    <w:rsid w:val="5D2740BB"/>
    <w:rsid w:val="5D2746F8"/>
    <w:rsid w:val="5D293816"/>
    <w:rsid w:val="5D323FC2"/>
    <w:rsid w:val="5D372F58"/>
    <w:rsid w:val="5D373386"/>
    <w:rsid w:val="5D375134"/>
    <w:rsid w:val="5D3B07BB"/>
    <w:rsid w:val="5D3B0F8C"/>
    <w:rsid w:val="5D3C099D"/>
    <w:rsid w:val="5D3C6BEF"/>
    <w:rsid w:val="5D3D29AA"/>
    <w:rsid w:val="5D3E4715"/>
    <w:rsid w:val="5D3E7A82"/>
    <w:rsid w:val="5D470B36"/>
    <w:rsid w:val="5D526250"/>
    <w:rsid w:val="5D535CE6"/>
    <w:rsid w:val="5D567CEE"/>
    <w:rsid w:val="5D57778A"/>
    <w:rsid w:val="5D6241BC"/>
    <w:rsid w:val="5D627360"/>
    <w:rsid w:val="5D6E48CE"/>
    <w:rsid w:val="5D74760D"/>
    <w:rsid w:val="5D7A7717"/>
    <w:rsid w:val="5D7B7E30"/>
    <w:rsid w:val="5D7C0182"/>
    <w:rsid w:val="5D7E7207"/>
    <w:rsid w:val="5D942D30"/>
    <w:rsid w:val="5D9B1B67"/>
    <w:rsid w:val="5DA36273"/>
    <w:rsid w:val="5DA822F9"/>
    <w:rsid w:val="5DAC246E"/>
    <w:rsid w:val="5DB42C29"/>
    <w:rsid w:val="5DB449D7"/>
    <w:rsid w:val="5DBB1E62"/>
    <w:rsid w:val="5DC11BD4"/>
    <w:rsid w:val="5DC32E6C"/>
    <w:rsid w:val="5DC42740"/>
    <w:rsid w:val="5DC759B6"/>
    <w:rsid w:val="5DC961C2"/>
    <w:rsid w:val="5DCD5A99"/>
    <w:rsid w:val="5DD337FE"/>
    <w:rsid w:val="5DDB29D0"/>
    <w:rsid w:val="5DDC3F2E"/>
    <w:rsid w:val="5DE401C7"/>
    <w:rsid w:val="5DEA0758"/>
    <w:rsid w:val="5DEE4B0E"/>
    <w:rsid w:val="5DEF78BB"/>
    <w:rsid w:val="5DF3340F"/>
    <w:rsid w:val="5DF96318"/>
    <w:rsid w:val="5E001ACF"/>
    <w:rsid w:val="5E077FA7"/>
    <w:rsid w:val="5E08087F"/>
    <w:rsid w:val="5E0D034B"/>
    <w:rsid w:val="5E1436C8"/>
    <w:rsid w:val="5E195986"/>
    <w:rsid w:val="5E1B7EF2"/>
    <w:rsid w:val="5E1C257C"/>
    <w:rsid w:val="5E1E4DF0"/>
    <w:rsid w:val="5E1F60A7"/>
    <w:rsid w:val="5E2356B9"/>
    <w:rsid w:val="5E2467F1"/>
    <w:rsid w:val="5E2A4C99"/>
    <w:rsid w:val="5E352B67"/>
    <w:rsid w:val="5E370582"/>
    <w:rsid w:val="5E381A9C"/>
    <w:rsid w:val="5E3B6AAD"/>
    <w:rsid w:val="5E4A70E9"/>
    <w:rsid w:val="5E4F4700"/>
    <w:rsid w:val="5E565A8E"/>
    <w:rsid w:val="5E577F63"/>
    <w:rsid w:val="5E631F59"/>
    <w:rsid w:val="5E635D82"/>
    <w:rsid w:val="5E6957C1"/>
    <w:rsid w:val="5E730575"/>
    <w:rsid w:val="5E761C8C"/>
    <w:rsid w:val="5E7674DE"/>
    <w:rsid w:val="5E79083D"/>
    <w:rsid w:val="5E800D5D"/>
    <w:rsid w:val="5E89726E"/>
    <w:rsid w:val="5E8A5738"/>
    <w:rsid w:val="5E987791"/>
    <w:rsid w:val="5E9F464C"/>
    <w:rsid w:val="5E9F7435"/>
    <w:rsid w:val="5EA66A16"/>
    <w:rsid w:val="5EA902B4"/>
    <w:rsid w:val="5EAF155F"/>
    <w:rsid w:val="5EB033F0"/>
    <w:rsid w:val="5EB036B2"/>
    <w:rsid w:val="5EBD78BB"/>
    <w:rsid w:val="5EC62C14"/>
    <w:rsid w:val="5EC7073A"/>
    <w:rsid w:val="5EC944B2"/>
    <w:rsid w:val="5ECA1FD8"/>
    <w:rsid w:val="5ECB647C"/>
    <w:rsid w:val="5ECC7AFE"/>
    <w:rsid w:val="5ED30271"/>
    <w:rsid w:val="5ED370DF"/>
    <w:rsid w:val="5EDE0D40"/>
    <w:rsid w:val="5EE027E7"/>
    <w:rsid w:val="5EE22D04"/>
    <w:rsid w:val="5EE475E4"/>
    <w:rsid w:val="5EE55333"/>
    <w:rsid w:val="5EEC6D75"/>
    <w:rsid w:val="5EF07C91"/>
    <w:rsid w:val="5EF37781"/>
    <w:rsid w:val="5EF37937"/>
    <w:rsid w:val="5EFC134A"/>
    <w:rsid w:val="5EFE5DC1"/>
    <w:rsid w:val="5EFF5A75"/>
    <w:rsid w:val="5F014E9D"/>
    <w:rsid w:val="5F071428"/>
    <w:rsid w:val="5F0965A4"/>
    <w:rsid w:val="5F0B0D18"/>
    <w:rsid w:val="5F191519"/>
    <w:rsid w:val="5F1A2B43"/>
    <w:rsid w:val="5F1F1FF6"/>
    <w:rsid w:val="5F2218B2"/>
    <w:rsid w:val="5F2B6F1B"/>
    <w:rsid w:val="5F2D2C93"/>
    <w:rsid w:val="5F311D58"/>
    <w:rsid w:val="5F3B05DC"/>
    <w:rsid w:val="5F3E3C5B"/>
    <w:rsid w:val="5F401D9B"/>
    <w:rsid w:val="5F41214C"/>
    <w:rsid w:val="5F431FA1"/>
    <w:rsid w:val="5F441D8B"/>
    <w:rsid w:val="5F461238"/>
    <w:rsid w:val="5F462387"/>
    <w:rsid w:val="5F4A106A"/>
    <w:rsid w:val="5F4B022D"/>
    <w:rsid w:val="5F4B4919"/>
    <w:rsid w:val="5F506981"/>
    <w:rsid w:val="5F530220"/>
    <w:rsid w:val="5F5650DC"/>
    <w:rsid w:val="5F5875E4"/>
    <w:rsid w:val="5F592D36"/>
    <w:rsid w:val="5F595ACD"/>
    <w:rsid w:val="5F5C6189"/>
    <w:rsid w:val="5F5F1038"/>
    <w:rsid w:val="5F6B4CCF"/>
    <w:rsid w:val="5F7A2EE8"/>
    <w:rsid w:val="5F7E529D"/>
    <w:rsid w:val="5F864151"/>
    <w:rsid w:val="5F8A052F"/>
    <w:rsid w:val="5F8C0AE5"/>
    <w:rsid w:val="5F8F1018"/>
    <w:rsid w:val="5F9525E6"/>
    <w:rsid w:val="5F9862CA"/>
    <w:rsid w:val="5FA32F55"/>
    <w:rsid w:val="5FB7255D"/>
    <w:rsid w:val="5FB837BB"/>
    <w:rsid w:val="5FBF31B3"/>
    <w:rsid w:val="5FC222E6"/>
    <w:rsid w:val="5FC259CE"/>
    <w:rsid w:val="5FC4308B"/>
    <w:rsid w:val="5FCF3D4A"/>
    <w:rsid w:val="5FD01870"/>
    <w:rsid w:val="5FD0361E"/>
    <w:rsid w:val="5FD255E8"/>
    <w:rsid w:val="5FD46A15"/>
    <w:rsid w:val="5FD924D3"/>
    <w:rsid w:val="5FE532A2"/>
    <w:rsid w:val="5FF21651"/>
    <w:rsid w:val="5FF67529"/>
    <w:rsid w:val="5FFC4413"/>
    <w:rsid w:val="5FFD5996"/>
    <w:rsid w:val="6008100A"/>
    <w:rsid w:val="60103799"/>
    <w:rsid w:val="6017749F"/>
    <w:rsid w:val="60177B46"/>
    <w:rsid w:val="60180706"/>
    <w:rsid w:val="601B6F8F"/>
    <w:rsid w:val="601C3E3D"/>
    <w:rsid w:val="601E25DC"/>
    <w:rsid w:val="60200102"/>
    <w:rsid w:val="60234096"/>
    <w:rsid w:val="602A28EC"/>
    <w:rsid w:val="602C11A0"/>
    <w:rsid w:val="60365B77"/>
    <w:rsid w:val="603C3B9C"/>
    <w:rsid w:val="60402552"/>
    <w:rsid w:val="604069F6"/>
    <w:rsid w:val="604638E0"/>
    <w:rsid w:val="60473184"/>
    <w:rsid w:val="60483AFC"/>
    <w:rsid w:val="604A517F"/>
    <w:rsid w:val="604F4E8B"/>
    <w:rsid w:val="60522285"/>
    <w:rsid w:val="60593614"/>
    <w:rsid w:val="60620269"/>
    <w:rsid w:val="6065020A"/>
    <w:rsid w:val="60656AB9"/>
    <w:rsid w:val="60673F83"/>
    <w:rsid w:val="60681AA9"/>
    <w:rsid w:val="60695F4D"/>
    <w:rsid w:val="606A5D6B"/>
    <w:rsid w:val="6072639B"/>
    <w:rsid w:val="60757447"/>
    <w:rsid w:val="607937C9"/>
    <w:rsid w:val="60793CB6"/>
    <w:rsid w:val="607E12CC"/>
    <w:rsid w:val="60803296"/>
    <w:rsid w:val="60891CF4"/>
    <w:rsid w:val="608A127E"/>
    <w:rsid w:val="608F19AC"/>
    <w:rsid w:val="60910267"/>
    <w:rsid w:val="60967917"/>
    <w:rsid w:val="609D307B"/>
    <w:rsid w:val="60A356C4"/>
    <w:rsid w:val="60A56859"/>
    <w:rsid w:val="60A95C2E"/>
    <w:rsid w:val="60A978E8"/>
    <w:rsid w:val="60B50F97"/>
    <w:rsid w:val="60B8658C"/>
    <w:rsid w:val="60BC7E74"/>
    <w:rsid w:val="60BD1060"/>
    <w:rsid w:val="60BE2043"/>
    <w:rsid w:val="60BE791B"/>
    <w:rsid w:val="60C04175"/>
    <w:rsid w:val="60C82547"/>
    <w:rsid w:val="60CC405A"/>
    <w:rsid w:val="60CD3C52"/>
    <w:rsid w:val="60CE5484"/>
    <w:rsid w:val="60D63372"/>
    <w:rsid w:val="60DB1612"/>
    <w:rsid w:val="60DC7029"/>
    <w:rsid w:val="60DD4245"/>
    <w:rsid w:val="60DE1591"/>
    <w:rsid w:val="60E44846"/>
    <w:rsid w:val="60E44EAB"/>
    <w:rsid w:val="60F35816"/>
    <w:rsid w:val="60F94C01"/>
    <w:rsid w:val="60FD75AC"/>
    <w:rsid w:val="61006F0C"/>
    <w:rsid w:val="611052AA"/>
    <w:rsid w:val="611759A9"/>
    <w:rsid w:val="61197766"/>
    <w:rsid w:val="61202383"/>
    <w:rsid w:val="61232F88"/>
    <w:rsid w:val="612956DC"/>
    <w:rsid w:val="612D2848"/>
    <w:rsid w:val="612E4AA0"/>
    <w:rsid w:val="612F0A64"/>
    <w:rsid w:val="61357BDD"/>
    <w:rsid w:val="613B0F6B"/>
    <w:rsid w:val="613B213C"/>
    <w:rsid w:val="614442C4"/>
    <w:rsid w:val="614C27B6"/>
    <w:rsid w:val="614E4127"/>
    <w:rsid w:val="61544139"/>
    <w:rsid w:val="615A5895"/>
    <w:rsid w:val="615A6E64"/>
    <w:rsid w:val="615E1FB9"/>
    <w:rsid w:val="61616C24"/>
    <w:rsid w:val="616404C2"/>
    <w:rsid w:val="61646714"/>
    <w:rsid w:val="616473E7"/>
    <w:rsid w:val="61676CFF"/>
    <w:rsid w:val="616B1851"/>
    <w:rsid w:val="616B68A3"/>
    <w:rsid w:val="616C0976"/>
    <w:rsid w:val="616F4356"/>
    <w:rsid w:val="617240E5"/>
    <w:rsid w:val="61764927"/>
    <w:rsid w:val="617C404C"/>
    <w:rsid w:val="61811074"/>
    <w:rsid w:val="61832254"/>
    <w:rsid w:val="618531C6"/>
    <w:rsid w:val="618A197E"/>
    <w:rsid w:val="6192502F"/>
    <w:rsid w:val="61926DDD"/>
    <w:rsid w:val="61930DA7"/>
    <w:rsid w:val="61932B55"/>
    <w:rsid w:val="619472BB"/>
    <w:rsid w:val="61955C36"/>
    <w:rsid w:val="619A4975"/>
    <w:rsid w:val="619B3FD0"/>
    <w:rsid w:val="619C7C5C"/>
    <w:rsid w:val="61A30D8A"/>
    <w:rsid w:val="61A30FEA"/>
    <w:rsid w:val="61A46B11"/>
    <w:rsid w:val="61A56C12"/>
    <w:rsid w:val="61AB4343"/>
    <w:rsid w:val="61AE5BF4"/>
    <w:rsid w:val="61AF3E33"/>
    <w:rsid w:val="61B551C2"/>
    <w:rsid w:val="61B62A43"/>
    <w:rsid w:val="61BC02FE"/>
    <w:rsid w:val="61BD1D0E"/>
    <w:rsid w:val="61C176C2"/>
    <w:rsid w:val="61C53F19"/>
    <w:rsid w:val="61C6117D"/>
    <w:rsid w:val="61C808EF"/>
    <w:rsid w:val="61C83B57"/>
    <w:rsid w:val="61CC33D5"/>
    <w:rsid w:val="61CD11EB"/>
    <w:rsid w:val="61CD42B9"/>
    <w:rsid w:val="61CF1677"/>
    <w:rsid w:val="61CF1FFF"/>
    <w:rsid w:val="61D17319"/>
    <w:rsid w:val="61D75E21"/>
    <w:rsid w:val="61D85AC9"/>
    <w:rsid w:val="61DE1F28"/>
    <w:rsid w:val="61E215D8"/>
    <w:rsid w:val="61E76A46"/>
    <w:rsid w:val="61E83787"/>
    <w:rsid w:val="61ED04B8"/>
    <w:rsid w:val="61FB7C8E"/>
    <w:rsid w:val="61FC06FB"/>
    <w:rsid w:val="62064265"/>
    <w:rsid w:val="620677CB"/>
    <w:rsid w:val="620815C8"/>
    <w:rsid w:val="620A72BB"/>
    <w:rsid w:val="620D6DAC"/>
    <w:rsid w:val="620F40B1"/>
    <w:rsid w:val="6213047A"/>
    <w:rsid w:val="62181EE6"/>
    <w:rsid w:val="62183792"/>
    <w:rsid w:val="621A6DD3"/>
    <w:rsid w:val="621B3775"/>
    <w:rsid w:val="622540F5"/>
    <w:rsid w:val="622B0FE0"/>
    <w:rsid w:val="622C6B78"/>
    <w:rsid w:val="62362CF4"/>
    <w:rsid w:val="62364782"/>
    <w:rsid w:val="623720B9"/>
    <w:rsid w:val="62404A8B"/>
    <w:rsid w:val="62414596"/>
    <w:rsid w:val="62415380"/>
    <w:rsid w:val="62481B92"/>
    <w:rsid w:val="624C4E55"/>
    <w:rsid w:val="624E0893"/>
    <w:rsid w:val="624E70B1"/>
    <w:rsid w:val="624F1172"/>
    <w:rsid w:val="625209B9"/>
    <w:rsid w:val="6252656D"/>
    <w:rsid w:val="62614A02"/>
    <w:rsid w:val="62634C1E"/>
    <w:rsid w:val="626369CC"/>
    <w:rsid w:val="626A1B08"/>
    <w:rsid w:val="626D2023"/>
    <w:rsid w:val="627209BD"/>
    <w:rsid w:val="62771F43"/>
    <w:rsid w:val="627838A0"/>
    <w:rsid w:val="62797F9D"/>
    <w:rsid w:val="627D7A8D"/>
    <w:rsid w:val="627E51DA"/>
    <w:rsid w:val="628030DA"/>
    <w:rsid w:val="62850A57"/>
    <w:rsid w:val="62862181"/>
    <w:rsid w:val="628816D8"/>
    <w:rsid w:val="628E1C9B"/>
    <w:rsid w:val="629C4DF2"/>
    <w:rsid w:val="629D3E15"/>
    <w:rsid w:val="62A0552A"/>
    <w:rsid w:val="62AA1DB0"/>
    <w:rsid w:val="62AC4080"/>
    <w:rsid w:val="62AF7E63"/>
    <w:rsid w:val="62B17737"/>
    <w:rsid w:val="62B2525D"/>
    <w:rsid w:val="62B52802"/>
    <w:rsid w:val="62B611F1"/>
    <w:rsid w:val="62B936C9"/>
    <w:rsid w:val="62B965EC"/>
    <w:rsid w:val="62C31A76"/>
    <w:rsid w:val="62C70274"/>
    <w:rsid w:val="62C92CD3"/>
    <w:rsid w:val="62CD2097"/>
    <w:rsid w:val="62CF6AAF"/>
    <w:rsid w:val="62D11B87"/>
    <w:rsid w:val="62D13935"/>
    <w:rsid w:val="62D152C3"/>
    <w:rsid w:val="62D172D1"/>
    <w:rsid w:val="62D33B51"/>
    <w:rsid w:val="62D358FF"/>
    <w:rsid w:val="62E0001C"/>
    <w:rsid w:val="62E12624"/>
    <w:rsid w:val="62E775FD"/>
    <w:rsid w:val="62E8203F"/>
    <w:rsid w:val="62F31AFE"/>
    <w:rsid w:val="62F53AC8"/>
    <w:rsid w:val="62F615EE"/>
    <w:rsid w:val="62FA7330"/>
    <w:rsid w:val="62FB09B2"/>
    <w:rsid w:val="62FD2D46"/>
    <w:rsid w:val="62FD5FB9"/>
    <w:rsid w:val="63043D0B"/>
    <w:rsid w:val="6306709B"/>
    <w:rsid w:val="630A3E66"/>
    <w:rsid w:val="630E06E5"/>
    <w:rsid w:val="63165FA7"/>
    <w:rsid w:val="632074AD"/>
    <w:rsid w:val="63212267"/>
    <w:rsid w:val="63215906"/>
    <w:rsid w:val="632225B3"/>
    <w:rsid w:val="63293771"/>
    <w:rsid w:val="632B4E06"/>
    <w:rsid w:val="632B64E7"/>
    <w:rsid w:val="632E0D88"/>
    <w:rsid w:val="6330580C"/>
    <w:rsid w:val="63340929"/>
    <w:rsid w:val="633649C0"/>
    <w:rsid w:val="63387A26"/>
    <w:rsid w:val="633914DA"/>
    <w:rsid w:val="633C08FC"/>
    <w:rsid w:val="633E1A60"/>
    <w:rsid w:val="63416D0D"/>
    <w:rsid w:val="634217E8"/>
    <w:rsid w:val="634265E1"/>
    <w:rsid w:val="634B7B8C"/>
    <w:rsid w:val="634E336B"/>
    <w:rsid w:val="634E64FC"/>
    <w:rsid w:val="63544194"/>
    <w:rsid w:val="63590869"/>
    <w:rsid w:val="635F3637"/>
    <w:rsid w:val="63647883"/>
    <w:rsid w:val="6367429A"/>
    <w:rsid w:val="63683A4C"/>
    <w:rsid w:val="636B3D8A"/>
    <w:rsid w:val="636F233B"/>
    <w:rsid w:val="637013A0"/>
    <w:rsid w:val="637A7682"/>
    <w:rsid w:val="63843F1E"/>
    <w:rsid w:val="638552A0"/>
    <w:rsid w:val="638769CE"/>
    <w:rsid w:val="638E55D2"/>
    <w:rsid w:val="6394356A"/>
    <w:rsid w:val="63944097"/>
    <w:rsid w:val="6397692D"/>
    <w:rsid w:val="63983766"/>
    <w:rsid w:val="639A01CB"/>
    <w:rsid w:val="639D1DD4"/>
    <w:rsid w:val="63A33228"/>
    <w:rsid w:val="63A64DC2"/>
    <w:rsid w:val="63A70B3A"/>
    <w:rsid w:val="63A977B9"/>
    <w:rsid w:val="63B02335"/>
    <w:rsid w:val="63B279CD"/>
    <w:rsid w:val="63B51154"/>
    <w:rsid w:val="63B82D47"/>
    <w:rsid w:val="63B91E59"/>
    <w:rsid w:val="63BC45E5"/>
    <w:rsid w:val="63BD210C"/>
    <w:rsid w:val="63C4067C"/>
    <w:rsid w:val="63C61B2C"/>
    <w:rsid w:val="63C65464"/>
    <w:rsid w:val="63CC234F"/>
    <w:rsid w:val="63D00091"/>
    <w:rsid w:val="63D40BE9"/>
    <w:rsid w:val="63D95197"/>
    <w:rsid w:val="63DD4B50"/>
    <w:rsid w:val="63DD630A"/>
    <w:rsid w:val="63E678B4"/>
    <w:rsid w:val="63EA2D09"/>
    <w:rsid w:val="63EB3B94"/>
    <w:rsid w:val="63EB4ECB"/>
    <w:rsid w:val="63F05DFF"/>
    <w:rsid w:val="63F10BEA"/>
    <w:rsid w:val="63F23BEA"/>
    <w:rsid w:val="63F5102E"/>
    <w:rsid w:val="63F975E8"/>
    <w:rsid w:val="63FF2724"/>
    <w:rsid w:val="64007E18"/>
    <w:rsid w:val="640146EE"/>
    <w:rsid w:val="64074BCA"/>
    <w:rsid w:val="640B49E2"/>
    <w:rsid w:val="640D4E41"/>
    <w:rsid w:val="640E2967"/>
    <w:rsid w:val="64102431"/>
    <w:rsid w:val="641066DF"/>
    <w:rsid w:val="64173EFA"/>
    <w:rsid w:val="6418303F"/>
    <w:rsid w:val="641C5084"/>
    <w:rsid w:val="64242A33"/>
    <w:rsid w:val="64265F03"/>
    <w:rsid w:val="64267CB1"/>
    <w:rsid w:val="64285135"/>
    <w:rsid w:val="642E5A0B"/>
    <w:rsid w:val="642E6B65"/>
    <w:rsid w:val="642F125B"/>
    <w:rsid w:val="642F3009"/>
    <w:rsid w:val="642F7E17"/>
    <w:rsid w:val="643028DD"/>
    <w:rsid w:val="643322BC"/>
    <w:rsid w:val="643A375C"/>
    <w:rsid w:val="643E39FE"/>
    <w:rsid w:val="644279E6"/>
    <w:rsid w:val="64446389"/>
    <w:rsid w:val="64452F49"/>
    <w:rsid w:val="64456942"/>
    <w:rsid w:val="64493D8F"/>
    <w:rsid w:val="644D47F0"/>
    <w:rsid w:val="644F3738"/>
    <w:rsid w:val="64520AA6"/>
    <w:rsid w:val="64671BB7"/>
    <w:rsid w:val="647A41C3"/>
    <w:rsid w:val="64840F16"/>
    <w:rsid w:val="64851E32"/>
    <w:rsid w:val="64882719"/>
    <w:rsid w:val="648A46E4"/>
    <w:rsid w:val="64902B9E"/>
    <w:rsid w:val="649C61C5"/>
    <w:rsid w:val="64A31301"/>
    <w:rsid w:val="64A42741"/>
    <w:rsid w:val="64A5243A"/>
    <w:rsid w:val="64AD03D2"/>
    <w:rsid w:val="64AD2180"/>
    <w:rsid w:val="64B654D9"/>
    <w:rsid w:val="64B81251"/>
    <w:rsid w:val="64BD0615"/>
    <w:rsid w:val="64C574CA"/>
    <w:rsid w:val="64C9520C"/>
    <w:rsid w:val="64CC6AAA"/>
    <w:rsid w:val="64CF02FD"/>
    <w:rsid w:val="64D040DE"/>
    <w:rsid w:val="64D12312"/>
    <w:rsid w:val="64D21BE7"/>
    <w:rsid w:val="64D74D2B"/>
    <w:rsid w:val="64DD2A65"/>
    <w:rsid w:val="64E14E42"/>
    <w:rsid w:val="64F46001"/>
    <w:rsid w:val="64F47195"/>
    <w:rsid w:val="64F531DE"/>
    <w:rsid w:val="64FE29DC"/>
    <w:rsid w:val="65011063"/>
    <w:rsid w:val="650457AB"/>
    <w:rsid w:val="650758DA"/>
    <w:rsid w:val="65167D25"/>
    <w:rsid w:val="65172C25"/>
    <w:rsid w:val="651C71CE"/>
    <w:rsid w:val="651E1886"/>
    <w:rsid w:val="65247DB9"/>
    <w:rsid w:val="65273CE0"/>
    <w:rsid w:val="652E506F"/>
    <w:rsid w:val="65310A80"/>
    <w:rsid w:val="6531690D"/>
    <w:rsid w:val="65317D45"/>
    <w:rsid w:val="65335EBC"/>
    <w:rsid w:val="65373578"/>
    <w:rsid w:val="6538351C"/>
    <w:rsid w:val="65462432"/>
    <w:rsid w:val="65462486"/>
    <w:rsid w:val="654B3ABF"/>
    <w:rsid w:val="654F3237"/>
    <w:rsid w:val="65517B28"/>
    <w:rsid w:val="655814EA"/>
    <w:rsid w:val="655F4A2A"/>
    <w:rsid w:val="65604E14"/>
    <w:rsid w:val="65644F35"/>
    <w:rsid w:val="6565067D"/>
    <w:rsid w:val="65660CAD"/>
    <w:rsid w:val="656B46CF"/>
    <w:rsid w:val="6578453C"/>
    <w:rsid w:val="657E40B7"/>
    <w:rsid w:val="657F77F3"/>
    <w:rsid w:val="658C6239"/>
    <w:rsid w:val="658F7046"/>
    <w:rsid w:val="65944F19"/>
    <w:rsid w:val="65962C14"/>
    <w:rsid w:val="659A6BA8"/>
    <w:rsid w:val="65A272E6"/>
    <w:rsid w:val="65A92947"/>
    <w:rsid w:val="65AA7839"/>
    <w:rsid w:val="65AF18EF"/>
    <w:rsid w:val="65AF24FC"/>
    <w:rsid w:val="65B16484"/>
    <w:rsid w:val="65B242C1"/>
    <w:rsid w:val="65B337C6"/>
    <w:rsid w:val="65B41636"/>
    <w:rsid w:val="65B904AF"/>
    <w:rsid w:val="65BF28C0"/>
    <w:rsid w:val="65C14135"/>
    <w:rsid w:val="65C31EBF"/>
    <w:rsid w:val="65CB0B10"/>
    <w:rsid w:val="65D329DC"/>
    <w:rsid w:val="65D9563C"/>
    <w:rsid w:val="65DB3657"/>
    <w:rsid w:val="65DB6AE0"/>
    <w:rsid w:val="65DC6B33"/>
    <w:rsid w:val="65E12D89"/>
    <w:rsid w:val="65E816C2"/>
    <w:rsid w:val="65E9102E"/>
    <w:rsid w:val="65E971E8"/>
    <w:rsid w:val="65EC0A86"/>
    <w:rsid w:val="65EF0514"/>
    <w:rsid w:val="65FF6A0B"/>
    <w:rsid w:val="66063F8F"/>
    <w:rsid w:val="6607107C"/>
    <w:rsid w:val="660D2ED6"/>
    <w:rsid w:val="66112C08"/>
    <w:rsid w:val="66184BA2"/>
    <w:rsid w:val="661C5916"/>
    <w:rsid w:val="661F70AE"/>
    <w:rsid w:val="661F7830"/>
    <w:rsid w:val="66240220"/>
    <w:rsid w:val="66264306"/>
    <w:rsid w:val="66320B8F"/>
    <w:rsid w:val="66391F1D"/>
    <w:rsid w:val="663A7A43"/>
    <w:rsid w:val="6640544E"/>
    <w:rsid w:val="66483D36"/>
    <w:rsid w:val="66503996"/>
    <w:rsid w:val="66575337"/>
    <w:rsid w:val="66596BBD"/>
    <w:rsid w:val="665C20B0"/>
    <w:rsid w:val="665C3D4F"/>
    <w:rsid w:val="666A0292"/>
    <w:rsid w:val="666B10DF"/>
    <w:rsid w:val="666E38DB"/>
    <w:rsid w:val="66714F40"/>
    <w:rsid w:val="667271DD"/>
    <w:rsid w:val="66763171"/>
    <w:rsid w:val="667B0788"/>
    <w:rsid w:val="66810A05"/>
    <w:rsid w:val="66833198"/>
    <w:rsid w:val="66855E09"/>
    <w:rsid w:val="668607FC"/>
    <w:rsid w:val="66860EDB"/>
    <w:rsid w:val="668641F4"/>
    <w:rsid w:val="668A09CB"/>
    <w:rsid w:val="668F5FE1"/>
    <w:rsid w:val="6695111E"/>
    <w:rsid w:val="669D40AB"/>
    <w:rsid w:val="66A370CE"/>
    <w:rsid w:val="66A718E0"/>
    <w:rsid w:val="66A80E51"/>
    <w:rsid w:val="66AA4BC9"/>
    <w:rsid w:val="66AC6B93"/>
    <w:rsid w:val="66AE3BEE"/>
    <w:rsid w:val="66B26F08"/>
    <w:rsid w:val="66B477F6"/>
    <w:rsid w:val="66C33EDD"/>
    <w:rsid w:val="66C36B8F"/>
    <w:rsid w:val="66C51AAB"/>
    <w:rsid w:val="66C9098F"/>
    <w:rsid w:val="66CD4D5B"/>
    <w:rsid w:val="66CD74EB"/>
    <w:rsid w:val="66D41C46"/>
    <w:rsid w:val="66DA706A"/>
    <w:rsid w:val="66DF6717"/>
    <w:rsid w:val="66E0683F"/>
    <w:rsid w:val="66E414EA"/>
    <w:rsid w:val="66E873CE"/>
    <w:rsid w:val="66F300FB"/>
    <w:rsid w:val="66F5632C"/>
    <w:rsid w:val="66FB3677"/>
    <w:rsid w:val="6703152B"/>
    <w:rsid w:val="670503E1"/>
    <w:rsid w:val="67073DC9"/>
    <w:rsid w:val="670752CC"/>
    <w:rsid w:val="670F7122"/>
    <w:rsid w:val="67141D0B"/>
    <w:rsid w:val="671708C5"/>
    <w:rsid w:val="67185FD7"/>
    <w:rsid w:val="67191D4F"/>
    <w:rsid w:val="671F124A"/>
    <w:rsid w:val="67206C39"/>
    <w:rsid w:val="6722070B"/>
    <w:rsid w:val="672524A2"/>
    <w:rsid w:val="67266558"/>
    <w:rsid w:val="67283D40"/>
    <w:rsid w:val="672D1356"/>
    <w:rsid w:val="67392CCC"/>
    <w:rsid w:val="67397CFB"/>
    <w:rsid w:val="673C2122"/>
    <w:rsid w:val="674067A8"/>
    <w:rsid w:val="67452246"/>
    <w:rsid w:val="6746005A"/>
    <w:rsid w:val="67467072"/>
    <w:rsid w:val="674D150B"/>
    <w:rsid w:val="674D2CD2"/>
    <w:rsid w:val="67554EF5"/>
    <w:rsid w:val="67586027"/>
    <w:rsid w:val="67590DCC"/>
    <w:rsid w:val="675A3185"/>
    <w:rsid w:val="675D091D"/>
    <w:rsid w:val="675E7762"/>
    <w:rsid w:val="67626C3F"/>
    <w:rsid w:val="67627252"/>
    <w:rsid w:val="67696832"/>
    <w:rsid w:val="67696CD9"/>
    <w:rsid w:val="67704709"/>
    <w:rsid w:val="67715E8D"/>
    <w:rsid w:val="67750BD7"/>
    <w:rsid w:val="6778132C"/>
    <w:rsid w:val="677A33C6"/>
    <w:rsid w:val="67890C82"/>
    <w:rsid w:val="678C42CF"/>
    <w:rsid w:val="67900263"/>
    <w:rsid w:val="67922539"/>
    <w:rsid w:val="679B09B6"/>
    <w:rsid w:val="679B2764"/>
    <w:rsid w:val="679C2E98"/>
    <w:rsid w:val="679D028A"/>
    <w:rsid w:val="679D5376"/>
    <w:rsid w:val="679F0344"/>
    <w:rsid w:val="679F4002"/>
    <w:rsid w:val="67A23AF2"/>
    <w:rsid w:val="67A41618"/>
    <w:rsid w:val="67A4786A"/>
    <w:rsid w:val="67A51EFC"/>
    <w:rsid w:val="67AC671F"/>
    <w:rsid w:val="67AE343A"/>
    <w:rsid w:val="67BD43F3"/>
    <w:rsid w:val="67C0431C"/>
    <w:rsid w:val="67C32A17"/>
    <w:rsid w:val="67CA4DF7"/>
    <w:rsid w:val="67D03B42"/>
    <w:rsid w:val="67D124CC"/>
    <w:rsid w:val="67D55C76"/>
    <w:rsid w:val="67D619EE"/>
    <w:rsid w:val="67D63D90"/>
    <w:rsid w:val="67DF6AF4"/>
    <w:rsid w:val="67E20393"/>
    <w:rsid w:val="67E61E8E"/>
    <w:rsid w:val="67E73BFB"/>
    <w:rsid w:val="67E91721"/>
    <w:rsid w:val="67EC20DF"/>
    <w:rsid w:val="67F818B5"/>
    <w:rsid w:val="67FF0F45"/>
    <w:rsid w:val="680102C6"/>
    <w:rsid w:val="68040309"/>
    <w:rsid w:val="68071393"/>
    <w:rsid w:val="680C5410"/>
    <w:rsid w:val="680D18B3"/>
    <w:rsid w:val="681744E0"/>
    <w:rsid w:val="681F6961"/>
    <w:rsid w:val="6828049B"/>
    <w:rsid w:val="68282344"/>
    <w:rsid w:val="683055A2"/>
    <w:rsid w:val="68306927"/>
    <w:rsid w:val="68354966"/>
    <w:rsid w:val="683573B6"/>
    <w:rsid w:val="6837248C"/>
    <w:rsid w:val="683E1412"/>
    <w:rsid w:val="68403510"/>
    <w:rsid w:val="6844104D"/>
    <w:rsid w:val="684A5B95"/>
    <w:rsid w:val="684B5F38"/>
    <w:rsid w:val="684D33EC"/>
    <w:rsid w:val="68540C60"/>
    <w:rsid w:val="6856731C"/>
    <w:rsid w:val="685814FE"/>
    <w:rsid w:val="68594E4C"/>
    <w:rsid w:val="68596203"/>
    <w:rsid w:val="685B394F"/>
    <w:rsid w:val="68610A2F"/>
    <w:rsid w:val="68641968"/>
    <w:rsid w:val="68646FFA"/>
    <w:rsid w:val="68671EE0"/>
    <w:rsid w:val="686D4DEE"/>
    <w:rsid w:val="686F13BE"/>
    <w:rsid w:val="686F5A57"/>
    <w:rsid w:val="686F7E78"/>
    <w:rsid w:val="68705C18"/>
    <w:rsid w:val="687436E1"/>
    <w:rsid w:val="687950AD"/>
    <w:rsid w:val="687C5E39"/>
    <w:rsid w:val="687E455F"/>
    <w:rsid w:val="68805514"/>
    <w:rsid w:val="68815DFE"/>
    <w:rsid w:val="688356D2"/>
    <w:rsid w:val="688651C2"/>
    <w:rsid w:val="68880F3A"/>
    <w:rsid w:val="688F20D7"/>
    <w:rsid w:val="688F37FD"/>
    <w:rsid w:val="68956452"/>
    <w:rsid w:val="689859A9"/>
    <w:rsid w:val="689E42BA"/>
    <w:rsid w:val="68A85138"/>
    <w:rsid w:val="68AA0F63"/>
    <w:rsid w:val="68AA7102"/>
    <w:rsid w:val="68AB2848"/>
    <w:rsid w:val="68B41D2F"/>
    <w:rsid w:val="68B453BE"/>
    <w:rsid w:val="68B94F26"/>
    <w:rsid w:val="68BF05A2"/>
    <w:rsid w:val="68D26659"/>
    <w:rsid w:val="68D42C30"/>
    <w:rsid w:val="68D75A1D"/>
    <w:rsid w:val="68DA22C3"/>
    <w:rsid w:val="68DC0F20"/>
    <w:rsid w:val="68E56022"/>
    <w:rsid w:val="68E57CC1"/>
    <w:rsid w:val="68E73D10"/>
    <w:rsid w:val="68F30B57"/>
    <w:rsid w:val="68F465CF"/>
    <w:rsid w:val="68FC7CF6"/>
    <w:rsid w:val="690744A3"/>
    <w:rsid w:val="690B1079"/>
    <w:rsid w:val="69126547"/>
    <w:rsid w:val="691714D9"/>
    <w:rsid w:val="691A3DDD"/>
    <w:rsid w:val="691B3B5C"/>
    <w:rsid w:val="691F66E4"/>
    <w:rsid w:val="692236F6"/>
    <w:rsid w:val="692755F0"/>
    <w:rsid w:val="692844CB"/>
    <w:rsid w:val="692A3144"/>
    <w:rsid w:val="692F4203"/>
    <w:rsid w:val="692F4396"/>
    <w:rsid w:val="69316E2F"/>
    <w:rsid w:val="69407A67"/>
    <w:rsid w:val="69485A1A"/>
    <w:rsid w:val="69485C04"/>
    <w:rsid w:val="694E2071"/>
    <w:rsid w:val="69505C13"/>
    <w:rsid w:val="695312C2"/>
    <w:rsid w:val="6955518E"/>
    <w:rsid w:val="69557DDE"/>
    <w:rsid w:val="695706BC"/>
    <w:rsid w:val="695B03FD"/>
    <w:rsid w:val="695B6F1E"/>
    <w:rsid w:val="695C5990"/>
    <w:rsid w:val="6962178B"/>
    <w:rsid w:val="6965127B"/>
    <w:rsid w:val="696F20FA"/>
    <w:rsid w:val="69766163"/>
    <w:rsid w:val="697935EC"/>
    <w:rsid w:val="69796AD5"/>
    <w:rsid w:val="697A3B33"/>
    <w:rsid w:val="697B284D"/>
    <w:rsid w:val="697E3764"/>
    <w:rsid w:val="69825989"/>
    <w:rsid w:val="69841649"/>
    <w:rsid w:val="69876A11"/>
    <w:rsid w:val="698C2047"/>
    <w:rsid w:val="698C6808"/>
    <w:rsid w:val="698E317B"/>
    <w:rsid w:val="698E6A48"/>
    <w:rsid w:val="6990439B"/>
    <w:rsid w:val="69935DE8"/>
    <w:rsid w:val="699B47B0"/>
    <w:rsid w:val="69A00505"/>
    <w:rsid w:val="69AA5E2F"/>
    <w:rsid w:val="69AD1ECC"/>
    <w:rsid w:val="69AE33EB"/>
    <w:rsid w:val="69B1626F"/>
    <w:rsid w:val="69B60CCC"/>
    <w:rsid w:val="69B73F18"/>
    <w:rsid w:val="69B93291"/>
    <w:rsid w:val="69BC4E2E"/>
    <w:rsid w:val="69C2047C"/>
    <w:rsid w:val="69C53AC8"/>
    <w:rsid w:val="69C8232E"/>
    <w:rsid w:val="69CB37D4"/>
    <w:rsid w:val="69CB51EC"/>
    <w:rsid w:val="69D17924"/>
    <w:rsid w:val="69D44760"/>
    <w:rsid w:val="69DA7573"/>
    <w:rsid w:val="69DC0762"/>
    <w:rsid w:val="69DC778F"/>
    <w:rsid w:val="69E11605"/>
    <w:rsid w:val="69E8794F"/>
    <w:rsid w:val="69EA2BD4"/>
    <w:rsid w:val="69EE7718"/>
    <w:rsid w:val="69F14A8C"/>
    <w:rsid w:val="69F3202B"/>
    <w:rsid w:val="69F8149D"/>
    <w:rsid w:val="69FF2A4C"/>
    <w:rsid w:val="69FF522C"/>
    <w:rsid w:val="6A042842"/>
    <w:rsid w:val="6A095D5D"/>
    <w:rsid w:val="6A0F07A6"/>
    <w:rsid w:val="6A136F29"/>
    <w:rsid w:val="6A1A15F6"/>
    <w:rsid w:val="6A211646"/>
    <w:rsid w:val="6A243C24"/>
    <w:rsid w:val="6A24707D"/>
    <w:rsid w:val="6A281DDE"/>
    <w:rsid w:val="6A2C6AE5"/>
    <w:rsid w:val="6A2E28DA"/>
    <w:rsid w:val="6A346104"/>
    <w:rsid w:val="6A3550F2"/>
    <w:rsid w:val="6A377D1F"/>
    <w:rsid w:val="6A3D3FA6"/>
    <w:rsid w:val="6A3F1ACC"/>
    <w:rsid w:val="6A46714C"/>
    <w:rsid w:val="6A475A9B"/>
    <w:rsid w:val="6A4D7232"/>
    <w:rsid w:val="6A4E2025"/>
    <w:rsid w:val="6A520EC7"/>
    <w:rsid w:val="6A537326"/>
    <w:rsid w:val="6A563A62"/>
    <w:rsid w:val="6A57356D"/>
    <w:rsid w:val="6A58046F"/>
    <w:rsid w:val="6A58493C"/>
    <w:rsid w:val="6A64789D"/>
    <w:rsid w:val="6A6652AB"/>
    <w:rsid w:val="6A687B43"/>
    <w:rsid w:val="6A697D3C"/>
    <w:rsid w:val="6A6C5840"/>
    <w:rsid w:val="6A721EA2"/>
    <w:rsid w:val="6A7379C8"/>
    <w:rsid w:val="6A757BBE"/>
    <w:rsid w:val="6A7960E5"/>
    <w:rsid w:val="6A7B0828"/>
    <w:rsid w:val="6A813E93"/>
    <w:rsid w:val="6A815C41"/>
    <w:rsid w:val="6A9364EA"/>
    <w:rsid w:val="6A9A4F55"/>
    <w:rsid w:val="6A9C0897"/>
    <w:rsid w:val="6AA81420"/>
    <w:rsid w:val="6AAD2EDA"/>
    <w:rsid w:val="6AAD4C88"/>
    <w:rsid w:val="6AAE4347"/>
    <w:rsid w:val="6AB46016"/>
    <w:rsid w:val="6AB51D8E"/>
    <w:rsid w:val="6ABA55F7"/>
    <w:rsid w:val="6ABC61BB"/>
    <w:rsid w:val="6AC43927"/>
    <w:rsid w:val="6AC47324"/>
    <w:rsid w:val="6AC527E9"/>
    <w:rsid w:val="6ACB3360"/>
    <w:rsid w:val="6AD12253"/>
    <w:rsid w:val="6AD27DC4"/>
    <w:rsid w:val="6AD67A27"/>
    <w:rsid w:val="6AD77F57"/>
    <w:rsid w:val="6ADC7038"/>
    <w:rsid w:val="6ADF06DE"/>
    <w:rsid w:val="6AE04D82"/>
    <w:rsid w:val="6AE47CB9"/>
    <w:rsid w:val="6AE85D4F"/>
    <w:rsid w:val="6AEA5F00"/>
    <w:rsid w:val="6AEB755E"/>
    <w:rsid w:val="6AED32D6"/>
    <w:rsid w:val="6AF87E20"/>
    <w:rsid w:val="6AFA3F1E"/>
    <w:rsid w:val="6AFB4456"/>
    <w:rsid w:val="6AFC0403"/>
    <w:rsid w:val="6B030D4C"/>
    <w:rsid w:val="6B0638BC"/>
    <w:rsid w:val="6B0D1BCA"/>
    <w:rsid w:val="6B106FC5"/>
    <w:rsid w:val="6B151AB7"/>
    <w:rsid w:val="6B1C5EE7"/>
    <w:rsid w:val="6B1E16E2"/>
    <w:rsid w:val="6B21527D"/>
    <w:rsid w:val="6B227A82"/>
    <w:rsid w:val="6B233926"/>
    <w:rsid w:val="6B250CC2"/>
    <w:rsid w:val="6B264A3A"/>
    <w:rsid w:val="6B2C2051"/>
    <w:rsid w:val="6B2F28DD"/>
    <w:rsid w:val="6B322639"/>
    <w:rsid w:val="6B332CDE"/>
    <w:rsid w:val="6B3F1BC1"/>
    <w:rsid w:val="6B4078AA"/>
    <w:rsid w:val="6B4B22CA"/>
    <w:rsid w:val="6B4B4D56"/>
    <w:rsid w:val="6B4D0B82"/>
    <w:rsid w:val="6B546DA9"/>
    <w:rsid w:val="6B657A90"/>
    <w:rsid w:val="6B693C73"/>
    <w:rsid w:val="6B6D7F88"/>
    <w:rsid w:val="6B723553"/>
    <w:rsid w:val="6B7C16E9"/>
    <w:rsid w:val="6B8222FA"/>
    <w:rsid w:val="6B8474C6"/>
    <w:rsid w:val="6B8B1B3D"/>
    <w:rsid w:val="6B8E4D79"/>
    <w:rsid w:val="6B8E7D54"/>
    <w:rsid w:val="6B953331"/>
    <w:rsid w:val="6B9B0F84"/>
    <w:rsid w:val="6B9C01C8"/>
    <w:rsid w:val="6B9C0CC3"/>
    <w:rsid w:val="6B9E1CDF"/>
    <w:rsid w:val="6B9F653B"/>
    <w:rsid w:val="6BA047ED"/>
    <w:rsid w:val="6BA240C1"/>
    <w:rsid w:val="6BB0083E"/>
    <w:rsid w:val="6BB10A4A"/>
    <w:rsid w:val="6BB8040C"/>
    <w:rsid w:val="6BBB5A1F"/>
    <w:rsid w:val="6BBD0EFB"/>
    <w:rsid w:val="6BC02799"/>
    <w:rsid w:val="6BC1683A"/>
    <w:rsid w:val="6BC54708"/>
    <w:rsid w:val="6BCB05F1"/>
    <w:rsid w:val="6BCD120B"/>
    <w:rsid w:val="6BD050D2"/>
    <w:rsid w:val="6BD10A6B"/>
    <w:rsid w:val="6BD140C6"/>
    <w:rsid w:val="6BD34D56"/>
    <w:rsid w:val="6BDC1388"/>
    <w:rsid w:val="6BE0108D"/>
    <w:rsid w:val="6BE16873"/>
    <w:rsid w:val="6BE4292B"/>
    <w:rsid w:val="6BE57FCF"/>
    <w:rsid w:val="6BEB1F0C"/>
    <w:rsid w:val="6BEC17E0"/>
    <w:rsid w:val="6BED5AC6"/>
    <w:rsid w:val="6BF426B9"/>
    <w:rsid w:val="6BF572A8"/>
    <w:rsid w:val="6BF6440D"/>
    <w:rsid w:val="6BF7178C"/>
    <w:rsid w:val="6BF74882"/>
    <w:rsid w:val="6BF87D40"/>
    <w:rsid w:val="6BFD1C3F"/>
    <w:rsid w:val="6C021E4C"/>
    <w:rsid w:val="6C0307C0"/>
    <w:rsid w:val="6C053A5D"/>
    <w:rsid w:val="6C072CED"/>
    <w:rsid w:val="6C083AA7"/>
    <w:rsid w:val="6C0B605F"/>
    <w:rsid w:val="6C0B664D"/>
    <w:rsid w:val="6C0F5C50"/>
    <w:rsid w:val="6C11698D"/>
    <w:rsid w:val="6C1B56FB"/>
    <w:rsid w:val="6C20148A"/>
    <w:rsid w:val="6C225202"/>
    <w:rsid w:val="6C264CF2"/>
    <w:rsid w:val="6C2840CC"/>
    <w:rsid w:val="6C2947E2"/>
    <w:rsid w:val="6C332C64"/>
    <w:rsid w:val="6C375151"/>
    <w:rsid w:val="6C3917ED"/>
    <w:rsid w:val="6C3C0ACD"/>
    <w:rsid w:val="6C420F8A"/>
    <w:rsid w:val="6C423AF6"/>
    <w:rsid w:val="6C425506"/>
    <w:rsid w:val="6C4674C2"/>
    <w:rsid w:val="6C47110C"/>
    <w:rsid w:val="6C494258"/>
    <w:rsid w:val="6C4C54AA"/>
    <w:rsid w:val="6C4C64C1"/>
    <w:rsid w:val="6C4F379E"/>
    <w:rsid w:val="6C507FC1"/>
    <w:rsid w:val="6C527544"/>
    <w:rsid w:val="6C564EB1"/>
    <w:rsid w:val="6C587073"/>
    <w:rsid w:val="6C5B6EDA"/>
    <w:rsid w:val="6C5F0204"/>
    <w:rsid w:val="6C630EC1"/>
    <w:rsid w:val="6C636C38"/>
    <w:rsid w:val="6C67530A"/>
    <w:rsid w:val="6C6E0447"/>
    <w:rsid w:val="6C730E20"/>
    <w:rsid w:val="6C7468CE"/>
    <w:rsid w:val="6C747658"/>
    <w:rsid w:val="6C747B66"/>
    <w:rsid w:val="6C7B0E38"/>
    <w:rsid w:val="6C7E2CAC"/>
    <w:rsid w:val="6C7F2654"/>
    <w:rsid w:val="6C832144"/>
    <w:rsid w:val="6C884B18"/>
    <w:rsid w:val="6C88775B"/>
    <w:rsid w:val="6C907761"/>
    <w:rsid w:val="6C9327EC"/>
    <w:rsid w:val="6C97174C"/>
    <w:rsid w:val="6C9A748E"/>
    <w:rsid w:val="6CA35327"/>
    <w:rsid w:val="6CA74554"/>
    <w:rsid w:val="6CA9147F"/>
    <w:rsid w:val="6CAC2DE0"/>
    <w:rsid w:val="6CAF118B"/>
    <w:rsid w:val="6CB30550"/>
    <w:rsid w:val="6CBA0AE5"/>
    <w:rsid w:val="6CBC56D8"/>
    <w:rsid w:val="6CBE3029"/>
    <w:rsid w:val="6CBE5C36"/>
    <w:rsid w:val="6CBF4040"/>
    <w:rsid w:val="6CC12C6C"/>
    <w:rsid w:val="6CC31F64"/>
    <w:rsid w:val="6CCF37A9"/>
    <w:rsid w:val="6CD1113C"/>
    <w:rsid w:val="6CD208AF"/>
    <w:rsid w:val="6CDE737B"/>
    <w:rsid w:val="6CE34991"/>
    <w:rsid w:val="6CE84D5A"/>
    <w:rsid w:val="6CEB48D8"/>
    <w:rsid w:val="6CFC3B75"/>
    <w:rsid w:val="6CFC710B"/>
    <w:rsid w:val="6CFF5543"/>
    <w:rsid w:val="6D06067F"/>
    <w:rsid w:val="6D064B23"/>
    <w:rsid w:val="6D08089B"/>
    <w:rsid w:val="6D0936FF"/>
    <w:rsid w:val="6D0B3EE8"/>
    <w:rsid w:val="6D0C7A1B"/>
    <w:rsid w:val="6D185B70"/>
    <w:rsid w:val="6D190260"/>
    <w:rsid w:val="6D195F0B"/>
    <w:rsid w:val="6D2A3396"/>
    <w:rsid w:val="6D2E6300"/>
    <w:rsid w:val="6D355868"/>
    <w:rsid w:val="6D371181"/>
    <w:rsid w:val="6D396CA7"/>
    <w:rsid w:val="6D3A3386"/>
    <w:rsid w:val="6D411C47"/>
    <w:rsid w:val="6D426A89"/>
    <w:rsid w:val="6D467BCA"/>
    <w:rsid w:val="6D480C98"/>
    <w:rsid w:val="6D484EBB"/>
    <w:rsid w:val="6D4D4500"/>
    <w:rsid w:val="6D4E3E17"/>
    <w:rsid w:val="6D4F30B5"/>
    <w:rsid w:val="6D521B17"/>
    <w:rsid w:val="6D5B4E6F"/>
    <w:rsid w:val="6D5E1042"/>
    <w:rsid w:val="6D605470"/>
    <w:rsid w:val="6D610E81"/>
    <w:rsid w:val="6D64426C"/>
    <w:rsid w:val="6D6535F8"/>
    <w:rsid w:val="6D660C83"/>
    <w:rsid w:val="6D686AB5"/>
    <w:rsid w:val="6D6F226E"/>
    <w:rsid w:val="6D710D5E"/>
    <w:rsid w:val="6D742357"/>
    <w:rsid w:val="6D7777CF"/>
    <w:rsid w:val="6D7C6D55"/>
    <w:rsid w:val="6D8343C6"/>
    <w:rsid w:val="6D8445D4"/>
    <w:rsid w:val="6D944304"/>
    <w:rsid w:val="6D956B6F"/>
    <w:rsid w:val="6D9640F9"/>
    <w:rsid w:val="6DA32372"/>
    <w:rsid w:val="6DA42E20"/>
    <w:rsid w:val="6DA67457"/>
    <w:rsid w:val="6DB34098"/>
    <w:rsid w:val="6DB545B6"/>
    <w:rsid w:val="6DB85411"/>
    <w:rsid w:val="6DB92C24"/>
    <w:rsid w:val="6DBE0F5A"/>
    <w:rsid w:val="6DBE53FE"/>
    <w:rsid w:val="6DC45291"/>
    <w:rsid w:val="6DCA5B51"/>
    <w:rsid w:val="6DCD0545"/>
    <w:rsid w:val="6DCE3893"/>
    <w:rsid w:val="6DD4077E"/>
    <w:rsid w:val="6DD61F24"/>
    <w:rsid w:val="6DD62748"/>
    <w:rsid w:val="6DD671D0"/>
    <w:rsid w:val="6DD8201C"/>
    <w:rsid w:val="6DD96F04"/>
    <w:rsid w:val="6DDE33AA"/>
    <w:rsid w:val="6DDF784E"/>
    <w:rsid w:val="6DE02FB4"/>
    <w:rsid w:val="6DE05374"/>
    <w:rsid w:val="6DE23187"/>
    <w:rsid w:val="6DF04A43"/>
    <w:rsid w:val="6DF42BCE"/>
    <w:rsid w:val="6DFE57FA"/>
    <w:rsid w:val="6DFF1C9E"/>
    <w:rsid w:val="6E032E11"/>
    <w:rsid w:val="6E040C1C"/>
    <w:rsid w:val="6E0A0B02"/>
    <w:rsid w:val="6E0D7A5D"/>
    <w:rsid w:val="6E10538A"/>
    <w:rsid w:val="6E134A97"/>
    <w:rsid w:val="6E14501E"/>
    <w:rsid w:val="6E146AD4"/>
    <w:rsid w:val="6E193A72"/>
    <w:rsid w:val="6E1B45FE"/>
    <w:rsid w:val="6E1B63AC"/>
    <w:rsid w:val="6E2434B3"/>
    <w:rsid w:val="6E26547D"/>
    <w:rsid w:val="6E2B60A5"/>
    <w:rsid w:val="6E313045"/>
    <w:rsid w:val="6E350903"/>
    <w:rsid w:val="6E364F94"/>
    <w:rsid w:val="6E396833"/>
    <w:rsid w:val="6E3B6A4F"/>
    <w:rsid w:val="6E3C0915"/>
    <w:rsid w:val="6E3D732E"/>
    <w:rsid w:val="6E405E13"/>
    <w:rsid w:val="6E414065"/>
    <w:rsid w:val="6E4476B1"/>
    <w:rsid w:val="6E5033BD"/>
    <w:rsid w:val="6E514CED"/>
    <w:rsid w:val="6E5242A4"/>
    <w:rsid w:val="6E536DC3"/>
    <w:rsid w:val="6E5B57C7"/>
    <w:rsid w:val="6E5D01D4"/>
    <w:rsid w:val="6E627D5C"/>
    <w:rsid w:val="6E657628"/>
    <w:rsid w:val="6E675DDE"/>
    <w:rsid w:val="6E70494A"/>
    <w:rsid w:val="6E737F96"/>
    <w:rsid w:val="6E794BE2"/>
    <w:rsid w:val="6E7F4B8D"/>
    <w:rsid w:val="6E812DDF"/>
    <w:rsid w:val="6E847E6D"/>
    <w:rsid w:val="6E8A79E7"/>
    <w:rsid w:val="6E930639"/>
    <w:rsid w:val="6E970129"/>
    <w:rsid w:val="6E9C37BB"/>
    <w:rsid w:val="6E9D3265"/>
    <w:rsid w:val="6E9D68A1"/>
    <w:rsid w:val="6E9F5CC8"/>
    <w:rsid w:val="6EA2087C"/>
    <w:rsid w:val="6EA51021"/>
    <w:rsid w:val="6EA55B53"/>
    <w:rsid w:val="6EA840E4"/>
    <w:rsid w:val="6EA97E5C"/>
    <w:rsid w:val="6EAE2C78"/>
    <w:rsid w:val="6EB011EB"/>
    <w:rsid w:val="6EB07C51"/>
    <w:rsid w:val="6EB563D5"/>
    <w:rsid w:val="6EB760D5"/>
    <w:rsid w:val="6EB84B2A"/>
    <w:rsid w:val="6EC16F54"/>
    <w:rsid w:val="6EC24A7A"/>
    <w:rsid w:val="6ECB392F"/>
    <w:rsid w:val="6ECD2CC0"/>
    <w:rsid w:val="6ED30E58"/>
    <w:rsid w:val="6ED44ED9"/>
    <w:rsid w:val="6ED8429D"/>
    <w:rsid w:val="6ED92677"/>
    <w:rsid w:val="6EDB59B8"/>
    <w:rsid w:val="6EE3000B"/>
    <w:rsid w:val="6EEB3FD1"/>
    <w:rsid w:val="6EEC4B1B"/>
    <w:rsid w:val="6EED435F"/>
    <w:rsid w:val="6EF83C44"/>
    <w:rsid w:val="6EFC61DE"/>
    <w:rsid w:val="6EFE2DFA"/>
    <w:rsid w:val="6F011A46"/>
    <w:rsid w:val="6F0137F4"/>
    <w:rsid w:val="6F042205"/>
    <w:rsid w:val="6F045092"/>
    <w:rsid w:val="6F0B4673"/>
    <w:rsid w:val="6F147FEC"/>
    <w:rsid w:val="6F1A6664"/>
    <w:rsid w:val="6F1B6B22"/>
    <w:rsid w:val="6F1E6154"/>
    <w:rsid w:val="6F1F2DF1"/>
    <w:rsid w:val="6F225983"/>
    <w:rsid w:val="6F265009"/>
    <w:rsid w:val="6F2B6AC3"/>
    <w:rsid w:val="6F2C7A72"/>
    <w:rsid w:val="6F2D1032"/>
    <w:rsid w:val="6F2F7846"/>
    <w:rsid w:val="6F321C00"/>
    <w:rsid w:val="6F327E52"/>
    <w:rsid w:val="6F40683E"/>
    <w:rsid w:val="6F445933"/>
    <w:rsid w:val="6F4E60E8"/>
    <w:rsid w:val="6F5112B1"/>
    <w:rsid w:val="6F524050"/>
    <w:rsid w:val="6F570744"/>
    <w:rsid w:val="6F5B73A8"/>
    <w:rsid w:val="6F5D1B11"/>
    <w:rsid w:val="6F5D1B9D"/>
    <w:rsid w:val="6F5D3D19"/>
    <w:rsid w:val="6F616DF1"/>
    <w:rsid w:val="6F667AFB"/>
    <w:rsid w:val="6F6B4515"/>
    <w:rsid w:val="6F6D70DC"/>
    <w:rsid w:val="6F6D7514"/>
    <w:rsid w:val="6F723E97"/>
    <w:rsid w:val="6F745D74"/>
    <w:rsid w:val="6F7B4147"/>
    <w:rsid w:val="6F7B65A5"/>
    <w:rsid w:val="6F854425"/>
    <w:rsid w:val="6F8700E6"/>
    <w:rsid w:val="6F941206"/>
    <w:rsid w:val="6F9F0ABE"/>
    <w:rsid w:val="6FA26D85"/>
    <w:rsid w:val="6FA50565"/>
    <w:rsid w:val="6FA819D5"/>
    <w:rsid w:val="6FAC19B2"/>
    <w:rsid w:val="6FAF14A2"/>
    <w:rsid w:val="6FAF4FFE"/>
    <w:rsid w:val="6FB17D13"/>
    <w:rsid w:val="6FB645DF"/>
    <w:rsid w:val="6FB72105"/>
    <w:rsid w:val="6FBD3BBF"/>
    <w:rsid w:val="6FC01963"/>
    <w:rsid w:val="6FC62348"/>
    <w:rsid w:val="6FCA1E38"/>
    <w:rsid w:val="6FCA62DC"/>
    <w:rsid w:val="6FD15114"/>
    <w:rsid w:val="6FD26359"/>
    <w:rsid w:val="6FD74CF9"/>
    <w:rsid w:val="6FD9651F"/>
    <w:rsid w:val="6FDD0EAC"/>
    <w:rsid w:val="6FE0340A"/>
    <w:rsid w:val="6FEA4288"/>
    <w:rsid w:val="6FEC7DD1"/>
    <w:rsid w:val="6FEF6EA6"/>
    <w:rsid w:val="6FF033C7"/>
    <w:rsid w:val="6FF135A7"/>
    <w:rsid w:val="6FF535A2"/>
    <w:rsid w:val="6FF60E7F"/>
    <w:rsid w:val="6FF670D1"/>
    <w:rsid w:val="6FFC4540"/>
    <w:rsid w:val="6FFC5590"/>
    <w:rsid w:val="70001E65"/>
    <w:rsid w:val="7004359C"/>
    <w:rsid w:val="700510C2"/>
    <w:rsid w:val="70052FBB"/>
    <w:rsid w:val="700C2451"/>
    <w:rsid w:val="700E61C9"/>
    <w:rsid w:val="7016666F"/>
    <w:rsid w:val="701745A0"/>
    <w:rsid w:val="701A152C"/>
    <w:rsid w:val="701A2DBF"/>
    <w:rsid w:val="701A42C0"/>
    <w:rsid w:val="7024431E"/>
    <w:rsid w:val="7024575A"/>
    <w:rsid w:val="702B14E6"/>
    <w:rsid w:val="70327D62"/>
    <w:rsid w:val="70333E81"/>
    <w:rsid w:val="7047080D"/>
    <w:rsid w:val="70473A56"/>
    <w:rsid w:val="704A2F79"/>
    <w:rsid w:val="704A4B4A"/>
    <w:rsid w:val="704B29AE"/>
    <w:rsid w:val="704E4817"/>
    <w:rsid w:val="705D2420"/>
    <w:rsid w:val="70604239"/>
    <w:rsid w:val="70611A79"/>
    <w:rsid w:val="70622B6A"/>
    <w:rsid w:val="7064403B"/>
    <w:rsid w:val="706B26F6"/>
    <w:rsid w:val="706B471C"/>
    <w:rsid w:val="706D1DD0"/>
    <w:rsid w:val="707161D5"/>
    <w:rsid w:val="707634ED"/>
    <w:rsid w:val="707A1ADB"/>
    <w:rsid w:val="707B75D6"/>
    <w:rsid w:val="708259FC"/>
    <w:rsid w:val="7084750E"/>
    <w:rsid w:val="70856B87"/>
    <w:rsid w:val="7086485C"/>
    <w:rsid w:val="70871AD7"/>
    <w:rsid w:val="7088272A"/>
    <w:rsid w:val="708855C3"/>
    <w:rsid w:val="708C37BF"/>
    <w:rsid w:val="709064CB"/>
    <w:rsid w:val="709443EB"/>
    <w:rsid w:val="70952446"/>
    <w:rsid w:val="7095411B"/>
    <w:rsid w:val="709D1624"/>
    <w:rsid w:val="70A258B7"/>
    <w:rsid w:val="70AE130D"/>
    <w:rsid w:val="70AE2C6B"/>
    <w:rsid w:val="70B14535"/>
    <w:rsid w:val="70B758D6"/>
    <w:rsid w:val="70BC3F26"/>
    <w:rsid w:val="70BC5C25"/>
    <w:rsid w:val="70BC660F"/>
    <w:rsid w:val="70BF4F56"/>
    <w:rsid w:val="70C07FE0"/>
    <w:rsid w:val="70C8281B"/>
    <w:rsid w:val="70C920F0"/>
    <w:rsid w:val="70C956B0"/>
    <w:rsid w:val="70CB38B7"/>
    <w:rsid w:val="70CD6C36"/>
    <w:rsid w:val="70CF0326"/>
    <w:rsid w:val="70D016D0"/>
    <w:rsid w:val="70D34F79"/>
    <w:rsid w:val="70D527EE"/>
    <w:rsid w:val="70D6602F"/>
    <w:rsid w:val="70D70CB1"/>
    <w:rsid w:val="70E17439"/>
    <w:rsid w:val="70EC07BF"/>
    <w:rsid w:val="70EF250C"/>
    <w:rsid w:val="70F116B0"/>
    <w:rsid w:val="70F70BFC"/>
    <w:rsid w:val="70FD580E"/>
    <w:rsid w:val="70FE165F"/>
    <w:rsid w:val="7100498F"/>
    <w:rsid w:val="71020599"/>
    <w:rsid w:val="71025602"/>
    <w:rsid w:val="710540F1"/>
    <w:rsid w:val="71107D1F"/>
    <w:rsid w:val="71147849"/>
    <w:rsid w:val="71186BD3"/>
    <w:rsid w:val="711F4406"/>
    <w:rsid w:val="71237A52"/>
    <w:rsid w:val="71242AF6"/>
    <w:rsid w:val="712612F0"/>
    <w:rsid w:val="71295B87"/>
    <w:rsid w:val="712D0A98"/>
    <w:rsid w:val="71357E6F"/>
    <w:rsid w:val="7140061E"/>
    <w:rsid w:val="714A1482"/>
    <w:rsid w:val="714A76D4"/>
    <w:rsid w:val="714B6AB1"/>
    <w:rsid w:val="714F1A78"/>
    <w:rsid w:val="71507188"/>
    <w:rsid w:val="71523E71"/>
    <w:rsid w:val="715440AF"/>
    <w:rsid w:val="715B5300"/>
    <w:rsid w:val="715C7408"/>
    <w:rsid w:val="71711ECE"/>
    <w:rsid w:val="717E737E"/>
    <w:rsid w:val="71860688"/>
    <w:rsid w:val="718D7451"/>
    <w:rsid w:val="7199712F"/>
    <w:rsid w:val="719A3A8C"/>
    <w:rsid w:val="719A4F45"/>
    <w:rsid w:val="71A10C5A"/>
    <w:rsid w:val="71A62431"/>
    <w:rsid w:val="71A87F57"/>
    <w:rsid w:val="71AD37BF"/>
    <w:rsid w:val="71AE309E"/>
    <w:rsid w:val="71B03679"/>
    <w:rsid w:val="71B21B83"/>
    <w:rsid w:val="71B3226A"/>
    <w:rsid w:val="71B7463E"/>
    <w:rsid w:val="71BB3875"/>
    <w:rsid w:val="71C00396"/>
    <w:rsid w:val="71C01745"/>
    <w:rsid w:val="71C22860"/>
    <w:rsid w:val="71D222BD"/>
    <w:rsid w:val="71D27F8A"/>
    <w:rsid w:val="71D77D60"/>
    <w:rsid w:val="71D95ABC"/>
    <w:rsid w:val="71D97213"/>
    <w:rsid w:val="71DD7AC1"/>
    <w:rsid w:val="71E53AF6"/>
    <w:rsid w:val="71E54A92"/>
    <w:rsid w:val="71E7296F"/>
    <w:rsid w:val="71EA4432"/>
    <w:rsid w:val="71EF132F"/>
    <w:rsid w:val="71F118FE"/>
    <w:rsid w:val="71F30E81"/>
    <w:rsid w:val="71F32978"/>
    <w:rsid w:val="71F633B8"/>
    <w:rsid w:val="71F92EA9"/>
    <w:rsid w:val="7206680A"/>
    <w:rsid w:val="7207153E"/>
    <w:rsid w:val="72075BBE"/>
    <w:rsid w:val="720C2BDC"/>
    <w:rsid w:val="720D425E"/>
    <w:rsid w:val="720F7FD6"/>
    <w:rsid w:val="7227551A"/>
    <w:rsid w:val="72285514"/>
    <w:rsid w:val="722C34ED"/>
    <w:rsid w:val="722D66AE"/>
    <w:rsid w:val="722D72D6"/>
    <w:rsid w:val="722F1A94"/>
    <w:rsid w:val="72307D49"/>
    <w:rsid w:val="72343EE1"/>
    <w:rsid w:val="7235622E"/>
    <w:rsid w:val="723C018B"/>
    <w:rsid w:val="723E07D8"/>
    <w:rsid w:val="723E08BB"/>
    <w:rsid w:val="724539F8"/>
    <w:rsid w:val="724578BC"/>
    <w:rsid w:val="724E6D50"/>
    <w:rsid w:val="724F0F55"/>
    <w:rsid w:val="72553024"/>
    <w:rsid w:val="725560EA"/>
    <w:rsid w:val="725A07B6"/>
    <w:rsid w:val="725D0E4E"/>
    <w:rsid w:val="725E2516"/>
    <w:rsid w:val="72620A4E"/>
    <w:rsid w:val="726A7902"/>
    <w:rsid w:val="726C71D7"/>
    <w:rsid w:val="726E73F3"/>
    <w:rsid w:val="7270316B"/>
    <w:rsid w:val="727350C6"/>
    <w:rsid w:val="727506AD"/>
    <w:rsid w:val="72797301"/>
    <w:rsid w:val="727B2178"/>
    <w:rsid w:val="727C14DD"/>
    <w:rsid w:val="727C3800"/>
    <w:rsid w:val="727E6F0A"/>
    <w:rsid w:val="72810D31"/>
    <w:rsid w:val="728468F7"/>
    <w:rsid w:val="72897D89"/>
    <w:rsid w:val="728A58AF"/>
    <w:rsid w:val="728B1D53"/>
    <w:rsid w:val="728C5898"/>
    <w:rsid w:val="728D0BCE"/>
    <w:rsid w:val="728F1117"/>
    <w:rsid w:val="7298446F"/>
    <w:rsid w:val="72987FCC"/>
    <w:rsid w:val="7299722C"/>
    <w:rsid w:val="729B64BC"/>
    <w:rsid w:val="72A10155"/>
    <w:rsid w:val="72A11576"/>
    <w:rsid w:val="72A20E4A"/>
    <w:rsid w:val="72A252EE"/>
    <w:rsid w:val="72A66B8C"/>
    <w:rsid w:val="72AA50AE"/>
    <w:rsid w:val="72AE0E98"/>
    <w:rsid w:val="72B1108D"/>
    <w:rsid w:val="72B172DF"/>
    <w:rsid w:val="72BA30C7"/>
    <w:rsid w:val="72BC63B0"/>
    <w:rsid w:val="72BD38CB"/>
    <w:rsid w:val="72C7744F"/>
    <w:rsid w:val="72C9287B"/>
    <w:rsid w:val="72CB0EC5"/>
    <w:rsid w:val="72CC4119"/>
    <w:rsid w:val="72D27981"/>
    <w:rsid w:val="72D31915"/>
    <w:rsid w:val="72D609D7"/>
    <w:rsid w:val="72D74F98"/>
    <w:rsid w:val="72EF4A6F"/>
    <w:rsid w:val="73021314"/>
    <w:rsid w:val="73045661"/>
    <w:rsid w:val="73063468"/>
    <w:rsid w:val="73093C85"/>
    <w:rsid w:val="730E59D8"/>
    <w:rsid w:val="73122968"/>
    <w:rsid w:val="731B43AB"/>
    <w:rsid w:val="731F5D5E"/>
    <w:rsid w:val="7320405D"/>
    <w:rsid w:val="73214465"/>
    <w:rsid w:val="73216977"/>
    <w:rsid w:val="73251266"/>
    <w:rsid w:val="73263829"/>
    <w:rsid w:val="73292630"/>
    <w:rsid w:val="732B7092"/>
    <w:rsid w:val="73337CF4"/>
    <w:rsid w:val="73361E3A"/>
    <w:rsid w:val="733777E5"/>
    <w:rsid w:val="733C4E98"/>
    <w:rsid w:val="733E5017"/>
    <w:rsid w:val="734105D0"/>
    <w:rsid w:val="7342107F"/>
    <w:rsid w:val="7343581A"/>
    <w:rsid w:val="73463ECB"/>
    <w:rsid w:val="7349294A"/>
    <w:rsid w:val="73494758"/>
    <w:rsid w:val="734B14E2"/>
    <w:rsid w:val="734D5DB1"/>
    <w:rsid w:val="73551CF6"/>
    <w:rsid w:val="7357396F"/>
    <w:rsid w:val="735E01CF"/>
    <w:rsid w:val="7360798C"/>
    <w:rsid w:val="73683E42"/>
    <w:rsid w:val="736B39EE"/>
    <w:rsid w:val="736E51D0"/>
    <w:rsid w:val="736F3422"/>
    <w:rsid w:val="7370719A"/>
    <w:rsid w:val="73722F12"/>
    <w:rsid w:val="73724CC1"/>
    <w:rsid w:val="737B1503"/>
    <w:rsid w:val="73880040"/>
    <w:rsid w:val="738E5E29"/>
    <w:rsid w:val="73903399"/>
    <w:rsid w:val="73903C8D"/>
    <w:rsid w:val="7393089D"/>
    <w:rsid w:val="73942E89"/>
    <w:rsid w:val="73983C24"/>
    <w:rsid w:val="73A65E31"/>
    <w:rsid w:val="73A94CE3"/>
    <w:rsid w:val="73B06CF5"/>
    <w:rsid w:val="73B9644B"/>
    <w:rsid w:val="73BC1BA6"/>
    <w:rsid w:val="73C3376E"/>
    <w:rsid w:val="73C51AD5"/>
    <w:rsid w:val="73C5522F"/>
    <w:rsid w:val="73C7469B"/>
    <w:rsid w:val="73C8056E"/>
    <w:rsid w:val="73C80B76"/>
    <w:rsid w:val="73CF5C6F"/>
    <w:rsid w:val="73D24856"/>
    <w:rsid w:val="73D61646"/>
    <w:rsid w:val="73E120A3"/>
    <w:rsid w:val="73E81FA9"/>
    <w:rsid w:val="73E9464B"/>
    <w:rsid w:val="73EB4C4F"/>
    <w:rsid w:val="73ED2A0E"/>
    <w:rsid w:val="73EE0034"/>
    <w:rsid w:val="73EF3D7E"/>
    <w:rsid w:val="73F213AB"/>
    <w:rsid w:val="73F6488E"/>
    <w:rsid w:val="73FB4CB6"/>
    <w:rsid w:val="7407365B"/>
    <w:rsid w:val="740873D3"/>
    <w:rsid w:val="740D49E9"/>
    <w:rsid w:val="7416389E"/>
    <w:rsid w:val="741B0F63"/>
    <w:rsid w:val="741E2752"/>
    <w:rsid w:val="741E793C"/>
    <w:rsid w:val="74222528"/>
    <w:rsid w:val="742F670E"/>
    <w:rsid w:val="743326A2"/>
    <w:rsid w:val="743C0E2B"/>
    <w:rsid w:val="743C5F09"/>
    <w:rsid w:val="743D6C43"/>
    <w:rsid w:val="74412611"/>
    <w:rsid w:val="74420371"/>
    <w:rsid w:val="74463A57"/>
    <w:rsid w:val="74542E8B"/>
    <w:rsid w:val="745439F0"/>
    <w:rsid w:val="74560447"/>
    <w:rsid w:val="745A07ED"/>
    <w:rsid w:val="745C1741"/>
    <w:rsid w:val="745D14CD"/>
    <w:rsid w:val="745E3944"/>
    <w:rsid w:val="745F1D57"/>
    <w:rsid w:val="745F5355"/>
    <w:rsid w:val="74640AAD"/>
    <w:rsid w:val="74654825"/>
    <w:rsid w:val="746B5893"/>
    <w:rsid w:val="746E3096"/>
    <w:rsid w:val="74793E2D"/>
    <w:rsid w:val="747B7BA5"/>
    <w:rsid w:val="747D6759"/>
    <w:rsid w:val="7487479C"/>
    <w:rsid w:val="748C1DB2"/>
    <w:rsid w:val="748C3B60"/>
    <w:rsid w:val="748F0CA1"/>
    <w:rsid w:val="74922CC2"/>
    <w:rsid w:val="749C3ABE"/>
    <w:rsid w:val="749D16C4"/>
    <w:rsid w:val="74A74054"/>
    <w:rsid w:val="74AE7F7A"/>
    <w:rsid w:val="74B26CA0"/>
    <w:rsid w:val="74B3476A"/>
    <w:rsid w:val="74B60BDD"/>
    <w:rsid w:val="74B82BA7"/>
    <w:rsid w:val="74B86703"/>
    <w:rsid w:val="74B937A2"/>
    <w:rsid w:val="74BB61F3"/>
    <w:rsid w:val="74BD01BD"/>
    <w:rsid w:val="74C002E8"/>
    <w:rsid w:val="74C0720A"/>
    <w:rsid w:val="74C65252"/>
    <w:rsid w:val="74D06055"/>
    <w:rsid w:val="74D65E5E"/>
    <w:rsid w:val="74DB7B36"/>
    <w:rsid w:val="74E0311C"/>
    <w:rsid w:val="74E05C5A"/>
    <w:rsid w:val="74E2144F"/>
    <w:rsid w:val="74E602A5"/>
    <w:rsid w:val="74E73AF3"/>
    <w:rsid w:val="74E85F78"/>
    <w:rsid w:val="74FE790A"/>
    <w:rsid w:val="75023E22"/>
    <w:rsid w:val="75093403"/>
    <w:rsid w:val="75114065"/>
    <w:rsid w:val="75155F2F"/>
    <w:rsid w:val="75173422"/>
    <w:rsid w:val="75187F68"/>
    <w:rsid w:val="75261896"/>
    <w:rsid w:val="75271ADB"/>
    <w:rsid w:val="752E2E69"/>
    <w:rsid w:val="752F7239"/>
    <w:rsid w:val="753C7334"/>
    <w:rsid w:val="753F0363"/>
    <w:rsid w:val="75432889"/>
    <w:rsid w:val="7547624C"/>
    <w:rsid w:val="7553467E"/>
    <w:rsid w:val="75556648"/>
    <w:rsid w:val="75563DE9"/>
    <w:rsid w:val="7557416E"/>
    <w:rsid w:val="755C3532"/>
    <w:rsid w:val="755D56CA"/>
    <w:rsid w:val="7561323F"/>
    <w:rsid w:val="75616D9B"/>
    <w:rsid w:val="75630BE3"/>
    <w:rsid w:val="75630D65"/>
    <w:rsid w:val="756845CD"/>
    <w:rsid w:val="756939EE"/>
    <w:rsid w:val="756B7C19"/>
    <w:rsid w:val="757765BE"/>
    <w:rsid w:val="75792336"/>
    <w:rsid w:val="7579698A"/>
    <w:rsid w:val="757A1C0A"/>
    <w:rsid w:val="757F0471"/>
    <w:rsid w:val="75823A34"/>
    <w:rsid w:val="758525CD"/>
    <w:rsid w:val="75991DD3"/>
    <w:rsid w:val="759E3B7B"/>
    <w:rsid w:val="75A4312B"/>
    <w:rsid w:val="75A768DA"/>
    <w:rsid w:val="75AB270C"/>
    <w:rsid w:val="75B02F5C"/>
    <w:rsid w:val="75B0387E"/>
    <w:rsid w:val="75B23A9A"/>
    <w:rsid w:val="75BA1B6E"/>
    <w:rsid w:val="75BC2223"/>
    <w:rsid w:val="75BC7564"/>
    <w:rsid w:val="75BE243F"/>
    <w:rsid w:val="75BE5F9B"/>
    <w:rsid w:val="75C06DDC"/>
    <w:rsid w:val="75C14B91"/>
    <w:rsid w:val="75C314B9"/>
    <w:rsid w:val="75C75614"/>
    <w:rsid w:val="75C94940"/>
    <w:rsid w:val="75D77BEA"/>
    <w:rsid w:val="75D91027"/>
    <w:rsid w:val="75DB08AC"/>
    <w:rsid w:val="75DB165A"/>
    <w:rsid w:val="75E15FAD"/>
    <w:rsid w:val="75E5499B"/>
    <w:rsid w:val="75E7638A"/>
    <w:rsid w:val="75E7791A"/>
    <w:rsid w:val="75EC7227"/>
    <w:rsid w:val="75EF084A"/>
    <w:rsid w:val="75F145C2"/>
    <w:rsid w:val="75F63F3A"/>
    <w:rsid w:val="75FB2AD6"/>
    <w:rsid w:val="75FB71EF"/>
    <w:rsid w:val="75FC4D15"/>
    <w:rsid w:val="75FD4D73"/>
    <w:rsid w:val="76004806"/>
    <w:rsid w:val="76045C08"/>
    <w:rsid w:val="76053BCA"/>
    <w:rsid w:val="760836BA"/>
    <w:rsid w:val="76096858"/>
    <w:rsid w:val="760D05B1"/>
    <w:rsid w:val="760F59F0"/>
    <w:rsid w:val="76196862"/>
    <w:rsid w:val="761B5E70"/>
    <w:rsid w:val="761C14AF"/>
    <w:rsid w:val="761F3F13"/>
    <w:rsid w:val="76226F35"/>
    <w:rsid w:val="76227814"/>
    <w:rsid w:val="7635099D"/>
    <w:rsid w:val="76372875"/>
    <w:rsid w:val="76391AC6"/>
    <w:rsid w:val="763D7808"/>
    <w:rsid w:val="763E0E8A"/>
    <w:rsid w:val="7641561A"/>
    <w:rsid w:val="764B552E"/>
    <w:rsid w:val="764E6AD3"/>
    <w:rsid w:val="764F753B"/>
    <w:rsid w:val="76500C84"/>
    <w:rsid w:val="76503571"/>
    <w:rsid w:val="76516E0F"/>
    <w:rsid w:val="76532D99"/>
    <w:rsid w:val="76555F5A"/>
    <w:rsid w:val="765863F0"/>
    <w:rsid w:val="76595CC4"/>
    <w:rsid w:val="765B1A3C"/>
    <w:rsid w:val="765E4736"/>
    <w:rsid w:val="76654669"/>
    <w:rsid w:val="76666712"/>
    <w:rsid w:val="766D6E76"/>
    <w:rsid w:val="76726D86"/>
    <w:rsid w:val="767717AF"/>
    <w:rsid w:val="767825EE"/>
    <w:rsid w:val="767D7C04"/>
    <w:rsid w:val="76854EC0"/>
    <w:rsid w:val="76880357"/>
    <w:rsid w:val="768B609B"/>
    <w:rsid w:val="769211D6"/>
    <w:rsid w:val="76936B2F"/>
    <w:rsid w:val="769907B6"/>
    <w:rsid w:val="769A5E93"/>
    <w:rsid w:val="76A62091"/>
    <w:rsid w:val="76A90E52"/>
    <w:rsid w:val="76AC04E9"/>
    <w:rsid w:val="76AC62C1"/>
    <w:rsid w:val="76B01037"/>
    <w:rsid w:val="76BC72B4"/>
    <w:rsid w:val="76BF646F"/>
    <w:rsid w:val="76C570F0"/>
    <w:rsid w:val="76C67745"/>
    <w:rsid w:val="76C802F8"/>
    <w:rsid w:val="76CD24B2"/>
    <w:rsid w:val="76CE0EBB"/>
    <w:rsid w:val="76CF41D8"/>
    <w:rsid w:val="76D0242A"/>
    <w:rsid w:val="76D37824"/>
    <w:rsid w:val="76D57A40"/>
    <w:rsid w:val="76DF7DC1"/>
    <w:rsid w:val="76E74CCF"/>
    <w:rsid w:val="76E85717"/>
    <w:rsid w:val="76E97048"/>
    <w:rsid w:val="76F00FF8"/>
    <w:rsid w:val="76F55000"/>
    <w:rsid w:val="76F824BC"/>
    <w:rsid w:val="76F854DD"/>
    <w:rsid w:val="76F9750B"/>
    <w:rsid w:val="76FA1DA2"/>
    <w:rsid w:val="76FC1C39"/>
    <w:rsid w:val="77006DD1"/>
    <w:rsid w:val="77072987"/>
    <w:rsid w:val="77073C31"/>
    <w:rsid w:val="77091498"/>
    <w:rsid w:val="770E2F52"/>
    <w:rsid w:val="771F2A69"/>
    <w:rsid w:val="77250B48"/>
    <w:rsid w:val="77271598"/>
    <w:rsid w:val="772B58B2"/>
    <w:rsid w:val="77305033"/>
    <w:rsid w:val="77334C37"/>
    <w:rsid w:val="773804C7"/>
    <w:rsid w:val="773F4EBA"/>
    <w:rsid w:val="77414717"/>
    <w:rsid w:val="774150D6"/>
    <w:rsid w:val="77422BFC"/>
    <w:rsid w:val="77493394"/>
    <w:rsid w:val="774E2C56"/>
    <w:rsid w:val="774F52A3"/>
    <w:rsid w:val="77514BED"/>
    <w:rsid w:val="77517FDB"/>
    <w:rsid w:val="775546DD"/>
    <w:rsid w:val="775D7DE6"/>
    <w:rsid w:val="77664B3C"/>
    <w:rsid w:val="77731007"/>
    <w:rsid w:val="77732816"/>
    <w:rsid w:val="77756B2D"/>
    <w:rsid w:val="77762421"/>
    <w:rsid w:val="77784870"/>
    <w:rsid w:val="778063F1"/>
    <w:rsid w:val="7782124A"/>
    <w:rsid w:val="77847601"/>
    <w:rsid w:val="778F3FED"/>
    <w:rsid w:val="778F7D5F"/>
    <w:rsid w:val="779807BE"/>
    <w:rsid w:val="779F1915"/>
    <w:rsid w:val="779F1DFC"/>
    <w:rsid w:val="77A0511A"/>
    <w:rsid w:val="77A0522A"/>
    <w:rsid w:val="77B04009"/>
    <w:rsid w:val="77B56B1F"/>
    <w:rsid w:val="77BF5FFA"/>
    <w:rsid w:val="77C1415C"/>
    <w:rsid w:val="77C57C02"/>
    <w:rsid w:val="77C61018"/>
    <w:rsid w:val="77CB2BF1"/>
    <w:rsid w:val="77CD4BBB"/>
    <w:rsid w:val="77CD7CE9"/>
    <w:rsid w:val="77D41B61"/>
    <w:rsid w:val="77D53A70"/>
    <w:rsid w:val="77DC4BB9"/>
    <w:rsid w:val="77DE2A7C"/>
    <w:rsid w:val="77DE6580"/>
    <w:rsid w:val="77F4039A"/>
    <w:rsid w:val="77F43800"/>
    <w:rsid w:val="780103C1"/>
    <w:rsid w:val="78054355"/>
    <w:rsid w:val="780B56E4"/>
    <w:rsid w:val="780C6C3C"/>
    <w:rsid w:val="780F09F4"/>
    <w:rsid w:val="780F62B6"/>
    <w:rsid w:val="781118D9"/>
    <w:rsid w:val="781547E3"/>
    <w:rsid w:val="78174144"/>
    <w:rsid w:val="781817D7"/>
    <w:rsid w:val="78202F3D"/>
    <w:rsid w:val="78212811"/>
    <w:rsid w:val="7822288A"/>
    <w:rsid w:val="782335FF"/>
    <w:rsid w:val="78267E28"/>
    <w:rsid w:val="78270D8E"/>
    <w:rsid w:val="78280044"/>
    <w:rsid w:val="782F3180"/>
    <w:rsid w:val="78343ACE"/>
    <w:rsid w:val="783469E8"/>
    <w:rsid w:val="783E7867"/>
    <w:rsid w:val="784A66BD"/>
    <w:rsid w:val="784F3822"/>
    <w:rsid w:val="784F55D0"/>
    <w:rsid w:val="78520C1D"/>
    <w:rsid w:val="78540E39"/>
    <w:rsid w:val="78564BB1"/>
    <w:rsid w:val="785B21C7"/>
    <w:rsid w:val="785B5D23"/>
    <w:rsid w:val="785D3378"/>
    <w:rsid w:val="7860158C"/>
    <w:rsid w:val="786719A8"/>
    <w:rsid w:val="78680440"/>
    <w:rsid w:val="78736DE3"/>
    <w:rsid w:val="787768D5"/>
    <w:rsid w:val="78780C5B"/>
    <w:rsid w:val="7879089F"/>
    <w:rsid w:val="78834720"/>
    <w:rsid w:val="78857244"/>
    <w:rsid w:val="788A2AAC"/>
    <w:rsid w:val="78917997"/>
    <w:rsid w:val="78956095"/>
    <w:rsid w:val="789C1FE2"/>
    <w:rsid w:val="78A13AE1"/>
    <w:rsid w:val="78A46A79"/>
    <w:rsid w:val="78A51694"/>
    <w:rsid w:val="78A70F68"/>
    <w:rsid w:val="78A90480"/>
    <w:rsid w:val="78AA2807"/>
    <w:rsid w:val="78AA52E1"/>
    <w:rsid w:val="78B11DBB"/>
    <w:rsid w:val="78B13B17"/>
    <w:rsid w:val="78B24758"/>
    <w:rsid w:val="78B2790D"/>
    <w:rsid w:val="78B33DB1"/>
    <w:rsid w:val="78B6564F"/>
    <w:rsid w:val="78BC253A"/>
    <w:rsid w:val="78BF076D"/>
    <w:rsid w:val="78BF1C53"/>
    <w:rsid w:val="78C45911"/>
    <w:rsid w:val="78C6353E"/>
    <w:rsid w:val="78CC6C21"/>
    <w:rsid w:val="78CD4747"/>
    <w:rsid w:val="78CF4B42"/>
    <w:rsid w:val="78D238C9"/>
    <w:rsid w:val="78E0091E"/>
    <w:rsid w:val="78E201F2"/>
    <w:rsid w:val="78E30DC9"/>
    <w:rsid w:val="78E7188D"/>
    <w:rsid w:val="78E73A5B"/>
    <w:rsid w:val="78F16688"/>
    <w:rsid w:val="78F37B6E"/>
    <w:rsid w:val="78F817C4"/>
    <w:rsid w:val="78FB7506"/>
    <w:rsid w:val="78FD3C99"/>
    <w:rsid w:val="79013CB3"/>
    <w:rsid w:val="79032BF7"/>
    <w:rsid w:val="79035E58"/>
    <w:rsid w:val="790408DA"/>
    <w:rsid w:val="79053EE1"/>
    <w:rsid w:val="7908577F"/>
    <w:rsid w:val="790F4586"/>
    <w:rsid w:val="79102FB2"/>
    <w:rsid w:val="7916110B"/>
    <w:rsid w:val="791709EF"/>
    <w:rsid w:val="79175AE9"/>
    <w:rsid w:val="7924651E"/>
    <w:rsid w:val="792516D5"/>
    <w:rsid w:val="79254583"/>
    <w:rsid w:val="79292468"/>
    <w:rsid w:val="79312F28"/>
    <w:rsid w:val="79314097"/>
    <w:rsid w:val="79330A4E"/>
    <w:rsid w:val="7935614D"/>
    <w:rsid w:val="79366790"/>
    <w:rsid w:val="79377700"/>
    <w:rsid w:val="793A1DDD"/>
    <w:rsid w:val="793D367B"/>
    <w:rsid w:val="7941371E"/>
    <w:rsid w:val="7947052B"/>
    <w:rsid w:val="794A141B"/>
    <w:rsid w:val="794C13E9"/>
    <w:rsid w:val="794C5FB4"/>
    <w:rsid w:val="79501641"/>
    <w:rsid w:val="79502E50"/>
    <w:rsid w:val="79507852"/>
    <w:rsid w:val="795310F0"/>
    <w:rsid w:val="79537342"/>
    <w:rsid w:val="796706F8"/>
    <w:rsid w:val="7967694A"/>
    <w:rsid w:val="79690914"/>
    <w:rsid w:val="796C21B2"/>
    <w:rsid w:val="796D486C"/>
    <w:rsid w:val="79725F8B"/>
    <w:rsid w:val="7980657F"/>
    <w:rsid w:val="79892D64"/>
    <w:rsid w:val="798E3ED6"/>
    <w:rsid w:val="79954CA1"/>
    <w:rsid w:val="79974F22"/>
    <w:rsid w:val="7997722F"/>
    <w:rsid w:val="799A287B"/>
    <w:rsid w:val="799F3C44"/>
    <w:rsid w:val="79A12DC0"/>
    <w:rsid w:val="79A22246"/>
    <w:rsid w:val="79A90F38"/>
    <w:rsid w:val="79AB2CDA"/>
    <w:rsid w:val="79AD1EA7"/>
    <w:rsid w:val="79B31B8F"/>
    <w:rsid w:val="79B86715"/>
    <w:rsid w:val="79BC4EE7"/>
    <w:rsid w:val="79BC6C95"/>
    <w:rsid w:val="79BD2A0E"/>
    <w:rsid w:val="79BE7E2E"/>
    <w:rsid w:val="79C542E2"/>
    <w:rsid w:val="79C773E8"/>
    <w:rsid w:val="79CB2FD9"/>
    <w:rsid w:val="79D614B5"/>
    <w:rsid w:val="79D73ACF"/>
    <w:rsid w:val="79DE4AF9"/>
    <w:rsid w:val="79DF2984"/>
    <w:rsid w:val="79E32474"/>
    <w:rsid w:val="79E35352"/>
    <w:rsid w:val="79E61318"/>
    <w:rsid w:val="79EB1329"/>
    <w:rsid w:val="79EE471E"/>
    <w:rsid w:val="79F01792"/>
    <w:rsid w:val="79F77C3D"/>
    <w:rsid w:val="79F9126F"/>
    <w:rsid w:val="79F91C98"/>
    <w:rsid w:val="79FA4A90"/>
    <w:rsid w:val="79FA77BE"/>
    <w:rsid w:val="79FC3536"/>
    <w:rsid w:val="79FF0771"/>
    <w:rsid w:val="79FF6B82"/>
    <w:rsid w:val="79FF71A2"/>
    <w:rsid w:val="7A0A7A6A"/>
    <w:rsid w:val="7A0C2CC5"/>
    <w:rsid w:val="7A1169E4"/>
    <w:rsid w:val="7A123E69"/>
    <w:rsid w:val="7A124B07"/>
    <w:rsid w:val="7A141EC2"/>
    <w:rsid w:val="7A1C773B"/>
    <w:rsid w:val="7A28432B"/>
    <w:rsid w:val="7A324B89"/>
    <w:rsid w:val="7A3507F6"/>
    <w:rsid w:val="7A356A48"/>
    <w:rsid w:val="7A364017"/>
    <w:rsid w:val="7A37543D"/>
    <w:rsid w:val="7A3905A1"/>
    <w:rsid w:val="7A3E3B4E"/>
    <w:rsid w:val="7A3E50D3"/>
    <w:rsid w:val="7A41363F"/>
    <w:rsid w:val="7A415B80"/>
    <w:rsid w:val="7A450BEA"/>
    <w:rsid w:val="7A4B1DC7"/>
    <w:rsid w:val="7A4F3F08"/>
    <w:rsid w:val="7A523156"/>
    <w:rsid w:val="7A590988"/>
    <w:rsid w:val="7A5A200A"/>
    <w:rsid w:val="7A6645E3"/>
    <w:rsid w:val="7A6A40CD"/>
    <w:rsid w:val="7A73373A"/>
    <w:rsid w:val="7A772BBC"/>
    <w:rsid w:val="7A777060"/>
    <w:rsid w:val="7A7C01D3"/>
    <w:rsid w:val="7A7E4E00"/>
    <w:rsid w:val="7A7E7E6C"/>
    <w:rsid w:val="7A8265E1"/>
    <w:rsid w:val="7A903C7E"/>
    <w:rsid w:val="7A9B68AB"/>
    <w:rsid w:val="7AA317C2"/>
    <w:rsid w:val="7AA37E55"/>
    <w:rsid w:val="7AA717C2"/>
    <w:rsid w:val="7AAC160F"/>
    <w:rsid w:val="7AAC4F5C"/>
    <w:rsid w:val="7AAD2A82"/>
    <w:rsid w:val="7AAF67FA"/>
    <w:rsid w:val="7AB27FAA"/>
    <w:rsid w:val="7AB40EEF"/>
    <w:rsid w:val="7AB51971"/>
    <w:rsid w:val="7AB67B89"/>
    <w:rsid w:val="7ABD0F17"/>
    <w:rsid w:val="7AC06311"/>
    <w:rsid w:val="7AC2483D"/>
    <w:rsid w:val="7AC81DE4"/>
    <w:rsid w:val="7ACC13AD"/>
    <w:rsid w:val="7ACF29F8"/>
    <w:rsid w:val="7ACF6BB6"/>
    <w:rsid w:val="7AD4203F"/>
    <w:rsid w:val="7AD95625"/>
    <w:rsid w:val="7ADB139D"/>
    <w:rsid w:val="7ADD5115"/>
    <w:rsid w:val="7AE069B4"/>
    <w:rsid w:val="7AE71284"/>
    <w:rsid w:val="7AE849D9"/>
    <w:rsid w:val="7AE909AA"/>
    <w:rsid w:val="7AE973D5"/>
    <w:rsid w:val="7AEA338E"/>
    <w:rsid w:val="7AEA5977"/>
    <w:rsid w:val="7AEA5A84"/>
    <w:rsid w:val="7AED2E7F"/>
    <w:rsid w:val="7AF46CD4"/>
    <w:rsid w:val="7AF67F85"/>
    <w:rsid w:val="7AF7341E"/>
    <w:rsid w:val="7AFD63C8"/>
    <w:rsid w:val="7B055DF4"/>
    <w:rsid w:val="7B087367"/>
    <w:rsid w:val="7B09420D"/>
    <w:rsid w:val="7B1B798E"/>
    <w:rsid w:val="7B2C7682"/>
    <w:rsid w:val="7B337B8D"/>
    <w:rsid w:val="7B3867F0"/>
    <w:rsid w:val="7B406C9B"/>
    <w:rsid w:val="7B446F42"/>
    <w:rsid w:val="7B4C229B"/>
    <w:rsid w:val="7B4C4049"/>
    <w:rsid w:val="7B4C5DF7"/>
    <w:rsid w:val="7B5B24DE"/>
    <w:rsid w:val="7B5F7149"/>
    <w:rsid w:val="7B615D46"/>
    <w:rsid w:val="7B686D42"/>
    <w:rsid w:val="7B7470FC"/>
    <w:rsid w:val="7B782467"/>
    <w:rsid w:val="7B7A081D"/>
    <w:rsid w:val="7B7A2964"/>
    <w:rsid w:val="7B841746"/>
    <w:rsid w:val="7B8869E6"/>
    <w:rsid w:val="7B8A5F60"/>
    <w:rsid w:val="7B9E726C"/>
    <w:rsid w:val="7BA07EF1"/>
    <w:rsid w:val="7BA1502A"/>
    <w:rsid w:val="7BA30F4E"/>
    <w:rsid w:val="7BA31081"/>
    <w:rsid w:val="7BA37D65"/>
    <w:rsid w:val="7BA44CC3"/>
    <w:rsid w:val="7BA80414"/>
    <w:rsid w:val="7BAA07FA"/>
    <w:rsid w:val="7BB24622"/>
    <w:rsid w:val="7BB75966"/>
    <w:rsid w:val="7BBA00F8"/>
    <w:rsid w:val="7BBA7205"/>
    <w:rsid w:val="7BBE352C"/>
    <w:rsid w:val="7BBF1AC8"/>
    <w:rsid w:val="7BC41E31"/>
    <w:rsid w:val="7BC63DFB"/>
    <w:rsid w:val="7BCF0129"/>
    <w:rsid w:val="7BD0720C"/>
    <w:rsid w:val="7BD30100"/>
    <w:rsid w:val="7BD32074"/>
    <w:rsid w:val="7BDB1C4D"/>
    <w:rsid w:val="7BDD2EF3"/>
    <w:rsid w:val="7BDF6C6B"/>
    <w:rsid w:val="7BDF7FCA"/>
    <w:rsid w:val="7BE326F8"/>
    <w:rsid w:val="7BE349AD"/>
    <w:rsid w:val="7BE55CEF"/>
    <w:rsid w:val="7BE75540"/>
    <w:rsid w:val="7BEB5610"/>
    <w:rsid w:val="7BEF48E5"/>
    <w:rsid w:val="7BF5274F"/>
    <w:rsid w:val="7BF70CB5"/>
    <w:rsid w:val="7BF8465F"/>
    <w:rsid w:val="7BFE17E7"/>
    <w:rsid w:val="7C012278"/>
    <w:rsid w:val="7C013085"/>
    <w:rsid w:val="7C047936"/>
    <w:rsid w:val="7C073B61"/>
    <w:rsid w:val="7C0C4936"/>
    <w:rsid w:val="7C0E0B16"/>
    <w:rsid w:val="7C1A5BAA"/>
    <w:rsid w:val="7C1B6D71"/>
    <w:rsid w:val="7C2157BA"/>
    <w:rsid w:val="7C2428D0"/>
    <w:rsid w:val="7C260E9D"/>
    <w:rsid w:val="7C2C66D7"/>
    <w:rsid w:val="7C2E0B52"/>
    <w:rsid w:val="7C2E460D"/>
    <w:rsid w:val="7C3175AE"/>
    <w:rsid w:val="7C330D65"/>
    <w:rsid w:val="7C372603"/>
    <w:rsid w:val="7C3821BC"/>
    <w:rsid w:val="7C396E77"/>
    <w:rsid w:val="7C3D3207"/>
    <w:rsid w:val="7C3F6017"/>
    <w:rsid w:val="7C4371FA"/>
    <w:rsid w:val="7C464B65"/>
    <w:rsid w:val="7C47503C"/>
    <w:rsid w:val="7C5A2796"/>
    <w:rsid w:val="7C5C4760"/>
    <w:rsid w:val="7C5E2286"/>
    <w:rsid w:val="7C60214C"/>
    <w:rsid w:val="7C607043"/>
    <w:rsid w:val="7C640BA7"/>
    <w:rsid w:val="7C6813C3"/>
    <w:rsid w:val="7C6A0C2B"/>
    <w:rsid w:val="7C6C5AC7"/>
    <w:rsid w:val="7C783B35"/>
    <w:rsid w:val="7C7970C0"/>
    <w:rsid w:val="7C7D22D7"/>
    <w:rsid w:val="7C815F74"/>
    <w:rsid w:val="7C863B69"/>
    <w:rsid w:val="7C8D66C7"/>
    <w:rsid w:val="7C8E6168"/>
    <w:rsid w:val="7C9537CE"/>
    <w:rsid w:val="7C9D5C0E"/>
    <w:rsid w:val="7C9E2682"/>
    <w:rsid w:val="7C9E6B26"/>
    <w:rsid w:val="7CA24237"/>
    <w:rsid w:val="7CA2788D"/>
    <w:rsid w:val="7CA659DB"/>
    <w:rsid w:val="7CA852AF"/>
    <w:rsid w:val="7CB079A3"/>
    <w:rsid w:val="7CB55689"/>
    <w:rsid w:val="7CB75F27"/>
    <w:rsid w:val="7CB93960"/>
    <w:rsid w:val="7CBD19F6"/>
    <w:rsid w:val="7CC16371"/>
    <w:rsid w:val="7CC3033B"/>
    <w:rsid w:val="7CC6544B"/>
    <w:rsid w:val="7CD87B19"/>
    <w:rsid w:val="7CD97B5E"/>
    <w:rsid w:val="7CDC31A1"/>
    <w:rsid w:val="7CDC31AB"/>
    <w:rsid w:val="7CE147EB"/>
    <w:rsid w:val="7CE2717A"/>
    <w:rsid w:val="7CE32B26"/>
    <w:rsid w:val="7CEA1D6C"/>
    <w:rsid w:val="7CED0323"/>
    <w:rsid w:val="7CEF059E"/>
    <w:rsid w:val="7CF23C24"/>
    <w:rsid w:val="7CF76237"/>
    <w:rsid w:val="7CF77FE5"/>
    <w:rsid w:val="7CF82511"/>
    <w:rsid w:val="7CF91FAF"/>
    <w:rsid w:val="7CF95B0B"/>
    <w:rsid w:val="7CFB5AA5"/>
    <w:rsid w:val="7D00333D"/>
    <w:rsid w:val="7D012C11"/>
    <w:rsid w:val="7D0163F4"/>
    <w:rsid w:val="7D0239FF"/>
    <w:rsid w:val="7D0B14FB"/>
    <w:rsid w:val="7D0C7EE6"/>
    <w:rsid w:val="7D0F63A0"/>
    <w:rsid w:val="7D1110A6"/>
    <w:rsid w:val="7D114E3B"/>
    <w:rsid w:val="7D11554A"/>
    <w:rsid w:val="7D133070"/>
    <w:rsid w:val="7D157FB6"/>
    <w:rsid w:val="7D18560A"/>
    <w:rsid w:val="7D1D3EEF"/>
    <w:rsid w:val="7D21425A"/>
    <w:rsid w:val="7D215236"/>
    <w:rsid w:val="7D252DA4"/>
    <w:rsid w:val="7D253473"/>
    <w:rsid w:val="7D2B2488"/>
    <w:rsid w:val="7D325284"/>
    <w:rsid w:val="7D3354C1"/>
    <w:rsid w:val="7D342A41"/>
    <w:rsid w:val="7D3D0E71"/>
    <w:rsid w:val="7D3E3E65"/>
    <w:rsid w:val="7D40198C"/>
    <w:rsid w:val="7D455C6D"/>
    <w:rsid w:val="7D457FAA"/>
    <w:rsid w:val="7D47589E"/>
    <w:rsid w:val="7D477EDA"/>
    <w:rsid w:val="7D502AF4"/>
    <w:rsid w:val="7D513B99"/>
    <w:rsid w:val="7D587A0A"/>
    <w:rsid w:val="7D5B0573"/>
    <w:rsid w:val="7D5B394E"/>
    <w:rsid w:val="7D5E40CD"/>
    <w:rsid w:val="7D625DA6"/>
    <w:rsid w:val="7D6A4EF9"/>
    <w:rsid w:val="7D742DD1"/>
    <w:rsid w:val="7D7635FF"/>
    <w:rsid w:val="7D7713AE"/>
    <w:rsid w:val="7D791035"/>
    <w:rsid w:val="7D7C5D4D"/>
    <w:rsid w:val="7D8001A4"/>
    <w:rsid w:val="7D847ACA"/>
    <w:rsid w:val="7D8E26F7"/>
    <w:rsid w:val="7D8E57CF"/>
    <w:rsid w:val="7D91703D"/>
    <w:rsid w:val="7DB36601"/>
    <w:rsid w:val="7DB67EA0"/>
    <w:rsid w:val="7DBC6FF3"/>
    <w:rsid w:val="7DBE1B3B"/>
    <w:rsid w:val="7DC73E5B"/>
    <w:rsid w:val="7DC8310F"/>
    <w:rsid w:val="7DCA74A7"/>
    <w:rsid w:val="7DCC3AD8"/>
    <w:rsid w:val="7DCD56F2"/>
    <w:rsid w:val="7DD138CC"/>
    <w:rsid w:val="7DD36A7D"/>
    <w:rsid w:val="7DE16EE5"/>
    <w:rsid w:val="7DE451F8"/>
    <w:rsid w:val="7DE85257"/>
    <w:rsid w:val="7DEC20D2"/>
    <w:rsid w:val="7DEC709C"/>
    <w:rsid w:val="7DF033B2"/>
    <w:rsid w:val="7DF10ED8"/>
    <w:rsid w:val="7DF63F66"/>
    <w:rsid w:val="7DFA4415"/>
    <w:rsid w:val="7DFD5ACF"/>
    <w:rsid w:val="7E01111B"/>
    <w:rsid w:val="7E0D1B9F"/>
    <w:rsid w:val="7E0D3F64"/>
    <w:rsid w:val="7E17093E"/>
    <w:rsid w:val="7E2B43EA"/>
    <w:rsid w:val="7E2E3EDA"/>
    <w:rsid w:val="7E372D8F"/>
    <w:rsid w:val="7E3824B7"/>
    <w:rsid w:val="7E3E0F87"/>
    <w:rsid w:val="7E417769"/>
    <w:rsid w:val="7E447259"/>
    <w:rsid w:val="7E470AF8"/>
    <w:rsid w:val="7E4920F0"/>
    <w:rsid w:val="7E4E1E86"/>
    <w:rsid w:val="7E5036DA"/>
    <w:rsid w:val="7E543906"/>
    <w:rsid w:val="7E54763A"/>
    <w:rsid w:val="7E5B4207"/>
    <w:rsid w:val="7E657E8A"/>
    <w:rsid w:val="7E6B71E3"/>
    <w:rsid w:val="7E6D4A02"/>
    <w:rsid w:val="7E71280E"/>
    <w:rsid w:val="7E727045"/>
    <w:rsid w:val="7E730245"/>
    <w:rsid w:val="7E775881"/>
    <w:rsid w:val="7E7A5BE3"/>
    <w:rsid w:val="7E7A711F"/>
    <w:rsid w:val="7E7E09BD"/>
    <w:rsid w:val="7E7E4059"/>
    <w:rsid w:val="7E7F4735"/>
    <w:rsid w:val="7E800E52"/>
    <w:rsid w:val="7E856B85"/>
    <w:rsid w:val="7E861620"/>
    <w:rsid w:val="7E8B4E88"/>
    <w:rsid w:val="7E994615"/>
    <w:rsid w:val="7E9C52E7"/>
    <w:rsid w:val="7EA36676"/>
    <w:rsid w:val="7EAC2C32"/>
    <w:rsid w:val="7EB1094C"/>
    <w:rsid w:val="7EBE1F99"/>
    <w:rsid w:val="7EBE688F"/>
    <w:rsid w:val="7EC05876"/>
    <w:rsid w:val="7ECA271F"/>
    <w:rsid w:val="7ECC585B"/>
    <w:rsid w:val="7ED93E46"/>
    <w:rsid w:val="7EE03426"/>
    <w:rsid w:val="7EE051D4"/>
    <w:rsid w:val="7EE66A56"/>
    <w:rsid w:val="7EE9101C"/>
    <w:rsid w:val="7EEF3951"/>
    <w:rsid w:val="7EEF4D6E"/>
    <w:rsid w:val="7EEF71C5"/>
    <w:rsid w:val="7EF35A49"/>
    <w:rsid w:val="7EF51DF4"/>
    <w:rsid w:val="7EF5291F"/>
    <w:rsid w:val="7EFC5D86"/>
    <w:rsid w:val="7F001CE7"/>
    <w:rsid w:val="7F026BC0"/>
    <w:rsid w:val="7F0F1615"/>
    <w:rsid w:val="7F10538E"/>
    <w:rsid w:val="7F137755"/>
    <w:rsid w:val="7F1B4EB8"/>
    <w:rsid w:val="7F1F7D58"/>
    <w:rsid w:val="7F210E94"/>
    <w:rsid w:val="7F233313"/>
    <w:rsid w:val="7F233E95"/>
    <w:rsid w:val="7F250E39"/>
    <w:rsid w:val="7F2552DD"/>
    <w:rsid w:val="7F2F7F0A"/>
    <w:rsid w:val="7F313C82"/>
    <w:rsid w:val="7F316AC2"/>
    <w:rsid w:val="7F3472CE"/>
    <w:rsid w:val="7F355E5B"/>
    <w:rsid w:val="7F36260E"/>
    <w:rsid w:val="7F3D43D5"/>
    <w:rsid w:val="7F3D4789"/>
    <w:rsid w:val="7F414D3C"/>
    <w:rsid w:val="7F416D20"/>
    <w:rsid w:val="7F42716B"/>
    <w:rsid w:val="7F4339B5"/>
    <w:rsid w:val="7F443DFC"/>
    <w:rsid w:val="7F527438"/>
    <w:rsid w:val="7F533FA1"/>
    <w:rsid w:val="7F5977EB"/>
    <w:rsid w:val="7F606315"/>
    <w:rsid w:val="7F6317BF"/>
    <w:rsid w:val="7F661BEE"/>
    <w:rsid w:val="7F676E48"/>
    <w:rsid w:val="7F6C6A68"/>
    <w:rsid w:val="7F7A1ED6"/>
    <w:rsid w:val="7F7B4EFD"/>
    <w:rsid w:val="7F80048F"/>
    <w:rsid w:val="7F811A2C"/>
    <w:rsid w:val="7F824B73"/>
    <w:rsid w:val="7F960830"/>
    <w:rsid w:val="7F9E12D9"/>
    <w:rsid w:val="7FA04963"/>
    <w:rsid w:val="7FA309A1"/>
    <w:rsid w:val="7FA33A73"/>
    <w:rsid w:val="7FA50238"/>
    <w:rsid w:val="7FA75CF2"/>
    <w:rsid w:val="7FB13432"/>
    <w:rsid w:val="7FB3182A"/>
    <w:rsid w:val="7FBD3767"/>
    <w:rsid w:val="7FC20D7E"/>
    <w:rsid w:val="7FCB1B74"/>
    <w:rsid w:val="7FCE5462"/>
    <w:rsid w:val="7FD1668B"/>
    <w:rsid w:val="7FD745AF"/>
    <w:rsid w:val="7FD92360"/>
    <w:rsid w:val="7FDA60C7"/>
    <w:rsid w:val="7FDB21E3"/>
    <w:rsid w:val="7FDD1166"/>
    <w:rsid w:val="7FE47E50"/>
    <w:rsid w:val="7FF54CAF"/>
    <w:rsid w:val="7FF8479F"/>
    <w:rsid w:val="7FF90E89"/>
    <w:rsid w:val="7FFD1DB6"/>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locked/>
    <w:uiPriority w:val="99"/>
    <w:pPr>
      <w:keepNext/>
      <w:numPr>
        <w:ilvl w:val="0"/>
        <w:numId w:val="1"/>
      </w:numPr>
      <w:tabs>
        <w:tab w:val="left" w:pos="420"/>
        <w:tab w:val="clear" w:pos="0"/>
      </w:tabs>
      <w:overflowPunct w:val="0"/>
      <w:snapToGrid w:val="0"/>
      <w:spacing w:line="360" w:lineRule="auto"/>
      <w:ind w:left="432" w:hanging="432"/>
      <w:jc w:val="center"/>
      <w:outlineLvl w:val="0"/>
    </w:pPr>
    <w:rPr>
      <w:rFonts w:ascii="Times New Roman" w:hAnsi="Times New Roman" w:eastAsia="宋体"/>
      <w:b/>
      <w:bCs/>
      <w:color w:val="000000"/>
      <w:kern w:val="44"/>
      <w:sz w:val="30"/>
      <w:szCs w:val="30"/>
    </w:rPr>
  </w:style>
  <w:style w:type="paragraph" w:styleId="3">
    <w:name w:val="heading 2"/>
    <w:basedOn w:val="1"/>
    <w:next w:val="1"/>
    <w:link w:val="42"/>
    <w:qFormat/>
    <w:locked/>
    <w:uiPriority w:val="9"/>
    <w:pPr>
      <w:keepNext/>
      <w:keepLines/>
      <w:numPr>
        <w:ilvl w:val="1"/>
        <w:numId w:val="1"/>
      </w:numPr>
      <w:spacing w:before="120" w:after="120" w:line="360" w:lineRule="auto"/>
      <w:ind w:left="0"/>
      <w:outlineLvl w:val="1"/>
    </w:pPr>
    <w:rPr>
      <w:rFonts w:ascii="Times New Roman" w:hAnsi="Times New Roman" w:eastAsia="宋体"/>
      <w:b/>
      <w:bCs/>
      <w:sz w:val="28"/>
      <w:szCs w:val="32"/>
    </w:rPr>
  </w:style>
  <w:style w:type="paragraph" w:styleId="4">
    <w:name w:val="heading 3"/>
    <w:basedOn w:val="1"/>
    <w:next w:val="1"/>
    <w:link w:val="50"/>
    <w:qFormat/>
    <w:locked/>
    <w:uiPriority w:val="0"/>
    <w:pPr>
      <w:keepNext/>
      <w:keepLines/>
      <w:numPr>
        <w:ilvl w:val="2"/>
        <w:numId w:val="1"/>
      </w:numPr>
      <w:tabs>
        <w:tab w:val="left" w:pos="420"/>
        <w:tab w:val="clear" w:pos="0"/>
      </w:tabs>
      <w:spacing w:before="120" w:after="120" w:line="360" w:lineRule="auto"/>
      <w:ind w:left="720" w:hanging="720"/>
      <w:outlineLvl w:val="2"/>
    </w:pPr>
    <w:rPr>
      <w:rFonts w:ascii="Times New Roman" w:hAnsi="Times New Roman" w:eastAsia="宋体"/>
      <w:b/>
      <w:bCs/>
      <w:sz w:val="24"/>
      <w:szCs w:val="32"/>
    </w:rPr>
  </w:style>
  <w:style w:type="paragraph" w:styleId="5">
    <w:name w:val="heading 4"/>
    <w:basedOn w:val="1"/>
    <w:next w:val="1"/>
    <w:link w:val="52"/>
    <w:qFormat/>
    <w:locked/>
    <w:uiPriority w:val="0"/>
    <w:pPr>
      <w:keepNext/>
      <w:keepLines/>
      <w:numPr>
        <w:ilvl w:val="3"/>
        <w:numId w:val="1"/>
      </w:numPr>
      <w:tabs>
        <w:tab w:val="left" w:pos="420"/>
        <w:tab w:val="clear" w:pos="0"/>
      </w:tabs>
      <w:spacing w:line="360" w:lineRule="auto"/>
      <w:ind w:left="864" w:hanging="864"/>
      <w:jc w:val="left"/>
      <w:outlineLvl w:val="3"/>
    </w:pPr>
    <w:rPr>
      <w:rFonts w:ascii="Times New Roman" w:hAnsi="Times New Roman" w:eastAsia="宋体"/>
      <w:b/>
      <w:bCs/>
      <w:sz w:val="24"/>
      <w:szCs w:val="28"/>
    </w:rPr>
  </w:style>
  <w:style w:type="paragraph" w:styleId="6">
    <w:name w:val="heading 5"/>
    <w:basedOn w:val="1"/>
    <w:next w:val="1"/>
    <w:link w:val="63"/>
    <w:qFormat/>
    <w:locked/>
    <w:uiPriority w:val="0"/>
    <w:pPr>
      <w:keepNext/>
      <w:keepLines/>
      <w:numPr>
        <w:ilvl w:val="4"/>
        <w:numId w:val="2"/>
      </w:numPr>
      <w:spacing w:before="280" w:after="290" w:line="376" w:lineRule="auto"/>
      <w:ind w:left="1366"/>
      <w:outlineLvl w:val="4"/>
    </w:pPr>
    <w:rPr>
      <w:b/>
      <w:bCs/>
      <w:sz w:val="28"/>
      <w:szCs w:val="28"/>
    </w:rPr>
  </w:style>
  <w:style w:type="paragraph" w:styleId="7">
    <w:name w:val="heading 6"/>
    <w:basedOn w:val="1"/>
    <w:next w:val="1"/>
    <w:unhideWhenUsed/>
    <w:qFormat/>
    <w:locked/>
    <w:uiPriority w:val="0"/>
    <w:pPr>
      <w:keepNext/>
      <w:keepLines/>
      <w:numPr>
        <w:ilvl w:val="5"/>
        <w:numId w:val="2"/>
      </w:numPr>
      <w:spacing w:before="240" w:after="64" w:line="317" w:lineRule="auto"/>
      <w:ind w:left="1509"/>
      <w:outlineLvl w:val="5"/>
    </w:pPr>
    <w:rPr>
      <w:rFonts w:ascii="Arial" w:hAnsi="Arial" w:eastAsia="黑体"/>
      <w:b/>
      <w:sz w:val="24"/>
    </w:rPr>
  </w:style>
  <w:style w:type="paragraph" w:styleId="8">
    <w:name w:val="heading 7"/>
    <w:basedOn w:val="1"/>
    <w:next w:val="1"/>
    <w:unhideWhenUsed/>
    <w:qFormat/>
    <w:locked/>
    <w:uiPriority w:val="0"/>
    <w:pPr>
      <w:keepNext/>
      <w:keepLines/>
      <w:numPr>
        <w:ilvl w:val="6"/>
        <w:numId w:val="2"/>
      </w:numPr>
      <w:spacing w:before="240" w:after="64" w:line="317" w:lineRule="auto"/>
      <w:ind w:left="1654"/>
      <w:outlineLvl w:val="6"/>
    </w:pPr>
    <w:rPr>
      <w:b/>
      <w:sz w:val="24"/>
    </w:rPr>
  </w:style>
  <w:style w:type="paragraph" w:styleId="9">
    <w:name w:val="heading 8"/>
    <w:basedOn w:val="1"/>
    <w:next w:val="1"/>
    <w:unhideWhenUsed/>
    <w:qFormat/>
    <w:locked/>
    <w:uiPriority w:val="0"/>
    <w:pPr>
      <w:keepNext/>
      <w:keepLines/>
      <w:numPr>
        <w:ilvl w:val="7"/>
        <w:numId w:val="3"/>
      </w:numPr>
      <w:spacing w:before="240" w:after="64" w:line="317" w:lineRule="auto"/>
      <w:ind w:left="1440"/>
      <w:outlineLvl w:val="7"/>
    </w:pPr>
    <w:rPr>
      <w:rFonts w:ascii="Arial" w:hAnsi="Arial" w:eastAsia="黑体"/>
      <w:sz w:val="24"/>
    </w:rPr>
  </w:style>
  <w:style w:type="paragraph" w:styleId="10">
    <w:name w:val="heading 9"/>
    <w:basedOn w:val="1"/>
    <w:next w:val="1"/>
    <w:unhideWhenUsed/>
    <w:qFormat/>
    <w:locked/>
    <w:uiPriority w:val="0"/>
    <w:pPr>
      <w:keepNext/>
      <w:keepLines/>
      <w:numPr>
        <w:ilvl w:val="8"/>
        <w:numId w:val="4"/>
      </w:numPr>
      <w:spacing w:before="240" w:after="64" w:line="317" w:lineRule="auto"/>
      <w:ind w:left="1941"/>
      <w:outlineLvl w:val="8"/>
    </w:pPr>
    <w:rPr>
      <w:rFonts w:ascii="Arial" w:hAnsi="Arial" w:eastAsia="黑体"/>
    </w:rPr>
  </w:style>
  <w:style w:type="character" w:default="1" w:styleId="36">
    <w:name w:val="Default Paragraph Font"/>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locked/>
    <w:uiPriority w:val="39"/>
    <w:pPr>
      <w:ind w:left="2520" w:leftChars="1200"/>
    </w:pPr>
  </w:style>
  <w:style w:type="paragraph" w:styleId="12">
    <w:name w:val="Note Heading"/>
    <w:basedOn w:val="1"/>
    <w:next w:val="1"/>
    <w:qFormat/>
    <w:uiPriority w:val="0"/>
    <w:pPr>
      <w:jc w:val="center"/>
    </w:pPr>
  </w:style>
  <w:style w:type="paragraph" w:styleId="13">
    <w:name w:val="Normal Indent"/>
    <w:basedOn w:val="1"/>
    <w:link w:val="137"/>
    <w:qFormat/>
    <w:uiPriority w:val="0"/>
    <w:pPr>
      <w:spacing w:before="50" w:beforeLines="50" w:line="360" w:lineRule="auto"/>
      <w:ind w:firstLine="560" w:firstLineChars="200"/>
    </w:pPr>
    <w:rPr>
      <w:rFonts w:ascii="Calibri" w:hAnsi="Calibri"/>
      <w:sz w:val="28"/>
    </w:rPr>
  </w:style>
  <w:style w:type="paragraph" w:styleId="14">
    <w:name w:val="annotation text"/>
    <w:basedOn w:val="1"/>
    <w:qFormat/>
    <w:uiPriority w:val="0"/>
    <w:pPr>
      <w:jc w:val="left"/>
    </w:pPr>
  </w:style>
  <w:style w:type="paragraph" w:styleId="15">
    <w:name w:val="Salutation"/>
    <w:basedOn w:val="1"/>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6">
    <w:name w:val="Body Text"/>
    <w:basedOn w:val="1"/>
    <w:next w:val="15"/>
    <w:qFormat/>
    <w:uiPriority w:val="0"/>
    <w:pPr>
      <w:widowControl/>
      <w:snapToGrid w:val="0"/>
      <w:spacing w:before="60" w:after="160" w:line="259" w:lineRule="auto"/>
      <w:ind w:right="113"/>
    </w:pPr>
    <w:rPr>
      <w:rFonts w:ascii="Times New Roman" w:hAnsi="Times New Roman" w:eastAsia="宋体"/>
      <w:kern w:val="0"/>
      <w:sz w:val="18"/>
      <w:szCs w:val="20"/>
    </w:rPr>
  </w:style>
  <w:style w:type="paragraph" w:styleId="17">
    <w:name w:val="Body Text Indent"/>
    <w:basedOn w:val="1"/>
    <w:next w:val="18"/>
    <w:qFormat/>
    <w:uiPriority w:val="0"/>
    <w:pPr>
      <w:ind w:firstLine="560" w:firstLineChars="200"/>
    </w:pPr>
    <w:rPr>
      <w:sz w:val="28"/>
    </w:rPr>
  </w:style>
  <w:style w:type="paragraph" w:styleId="18">
    <w:name w:val="Balloon Text"/>
    <w:basedOn w:val="1"/>
    <w:next w:val="16"/>
    <w:semiHidden/>
    <w:qFormat/>
    <w:uiPriority w:val="0"/>
    <w:rPr>
      <w:kern w:val="0"/>
      <w:sz w:val="18"/>
      <w:szCs w:val="20"/>
    </w:rPr>
  </w:style>
  <w:style w:type="paragraph" w:styleId="19">
    <w:name w:val="toc 5"/>
    <w:basedOn w:val="1"/>
    <w:next w:val="1"/>
    <w:qFormat/>
    <w:locked/>
    <w:uiPriority w:val="0"/>
    <w:pPr>
      <w:ind w:left="1680" w:leftChars="800"/>
    </w:pPr>
  </w:style>
  <w:style w:type="paragraph" w:styleId="20">
    <w:name w:val="toc 3"/>
    <w:basedOn w:val="1"/>
    <w:next w:val="1"/>
    <w:qFormat/>
    <w:locked/>
    <w:uiPriority w:val="0"/>
    <w:pPr>
      <w:ind w:left="840" w:leftChars="400"/>
    </w:pPr>
  </w:style>
  <w:style w:type="paragraph" w:styleId="21">
    <w:name w:val="Plain Text"/>
    <w:basedOn w:val="1"/>
    <w:next w:val="1"/>
    <w:qFormat/>
    <w:uiPriority w:val="0"/>
    <w:rPr>
      <w:rFonts w:ascii="宋体" w:hAnsi="Courier New"/>
      <w:szCs w:val="20"/>
    </w:rPr>
  </w:style>
  <w:style w:type="paragraph" w:styleId="22">
    <w:name w:val="Body Text Indent 2"/>
    <w:basedOn w:val="1"/>
    <w:next w:val="1"/>
    <w:qFormat/>
    <w:locked/>
    <w:uiPriority w:val="0"/>
    <w:pPr>
      <w:spacing w:after="120" w:afterLines="0" w:line="480" w:lineRule="auto"/>
      <w:ind w:left="420" w:leftChars="200"/>
    </w:pPr>
  </w:style>
  <w:style w:type="paragraph" w:styleId="23">
    <w:name w:val="footer"/>
    <w:basedOn w:val="1"/>
    <w:qFormat/>
    <w:uiPriority w:val="0"/>
    <w:pPr>
      <w:tabs>
        <w:tab w:val="center" w:pos="4153"/>
        <w:tab w:val="right" w:pos="8306"/>
      </w:tabs>
      <w:snapToGrid w:val="0"/>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5">
    <w:name w:val="toc 1"/>
    <w:basedOn w:val="1"/>
    <w:next w:val="1"/>
    <w:qFormat/>
    <w:uiPriority w:val="0"/>
    <w:pPr>
      <w:spacing w:line="312" w:lineRule="auto"/>
    </w:pPr>
    <w:rPr>
      <w:rFonts w:ascii="Times New Roman" w:hAnsi="Times New Roman" w:eastAsia="宋体"/>
      <w:sz w:val="24"/>
    </w:rPr>
  </w:style>
  <w:style w:type="paragraph" w:styleId="26">
    <w:name w:val="toc 4"/>
    <w:basedOn w:val="1"/>
    <w:next w:val="1"/>
    <w:qFormat/>
    <w:locked/>
    <w:uiPriority w:val="0"/>
    <w:pPr>
      <w:ind w:left="1260" w:leftChars="600"/>
    </w:pPr>
  </w:style>
  <w:style w:type="paragraph" w:styleId="27">
    <w:name w:val="List"/>
    <w:basedOn w:val="1"/>
    <w:unhideWhenUsed/>
    <w:qFormat/>
    <w:uiPriority w:val="99"/>
    <w:pPr>
      <w:ind w:left="200" w:hanging="200" w:hangingChars="200"/>
      <w:contextualSpacing/>
    </w:pPr>
  </w:style>
  <w:style w:type="paragraph" w:styleId="28">
    <w:name w:val="toc 2"/>
    <w:basedOn w:val="1"/>
    <w:next w:val="1"/>
    <w:qFormat/>
    <w:locked/>
    <w:uiPriority w:val="0"/>
    <w:pPr>
      <w:ind w:left="420" w:leftChars="200"/>
    </w:pPr>
  </w:style>
  <w:style w:type="paragraph" w:styleId="29">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1">
    <w:name w:val="Title"/>
    <w:basedOn w:val="1"/>
    <w:next w:val="1"/>
    <w:link w:val="64"/>
    <w:qFormat/>
    <w:locked/>
    <w:uiPriority w:val="0"/>
    <w:pPr>
      <w:spacing w:before="240" w:after="60"/>
      <w:jc w:val="center"/>
      <w:outlineLvl w:val="0"/>
    </w:pPr>
    <w:rPr>
      <w:rFonts w:ascii="Cambria" w:hAnsi="Cambria"/>
      <w:b/>
      <w:bCs/>
      <w:sz w:val="32"/>
      <w:szCs w:val="32"/>
    </w:rPr>
  </w:style>
  <w:style w:type="paragraph" w:styleId="32">
    <w:name w:val="Body Text First Indent"/>
    <w:basedOn w:val="16"/>
    <w:next w:val="1"/>
    <w:qFormat/>
    <w:uiPriority w:val="0"/>
    <w:pPr>
      <w:ind w:firstLine="420" w:firstLineChars="100"/>
    </w:pPr>
  </w:style>
  <w:style w:type="paragraph" w:styleId="33">
    <w:name w:val="Body Text First Indent 2"/>
    <w:basedOn w:val="17"/>
    <w:next w:val="32"/>
    <w:unhideWhenUsed/>
    <w:qFormat/>
    <w:uiPriority w:val="0"/>
    <w:pPr>
      <w:spacing w:after="120"/>
      <w:ind w:left="420" w:leftChars="200" w:firstLine="420"/>
    </w:pPr>
    <w:rPr>
      <w:sz w:val="21"/>
    </w:rPr>
  </w:style>
  <w:style w:type="table" w:styleId="35">
    <w:name w:val="Table Grid"/>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locked/>
    <w:uiPriority w:val="0"/>
    <w:rPr>
      <w:b/>
    </w:rPr>
  </w:style>
  <w:style w:type="character" w:styleId="38">
    <w:name w:val="FollowedHyperlink"/>
    <w:basedOn w:val="36"/>
    <w:qFormat/>
    <w:uiPriority w:val="0"/>
    <w:rPr>
      <w:color w:val="800080"/>
      <w:u w:val="none"/>
    </w:rPr>
  </w:style>
  <w:style w:type="character" w:styleId="39">
    <w:name w:val="Emphasis"/>
    <w:basedOn w:val="36"/>
    <w:qFormat/>
    <w:uiPriority w:val="0"/>
  </w:style>
  <w:style w:type="character" w:styleId="40">
    <w:name w:val="Hyperlink"/>
    <w:basedOn w:val="36"/>
    <w:qFormat/>
    <w:uiPriority w:val="0"/>
    <w:rPr>
      <w:color w:val="0000FF"/>
      <w:u w:val="none"/>
    </w:rPr>
  </w:style>
  <w:style w:type="character" w:styleId="41">
    <w:name w:val="HTML Code"/>
    <w:basedOn w:val="36"/>
    <w:qFormat/>
    <w:locked/>
    <w:uiPriority w:val="0"/>
    <w:rPr>
      <w:rFonts w:ascii="Courier New" w:hAnsi="Courier New"/>
      <w:sz w:val="20"/>
    </w:rPr>
  </w:style>
  <w:style w:type="character" w:customStyle="1" w:styleId="42">
    <w:name w:val="标题 2 Char"/>
    <w:link w:val="3"/>
    <w:qFormat/>
    <w:uiPriority w:val="9"/>
    <w:rPr>
      <w:rFonts w:ascii="Times New Roman" w:hAnsi="Times New Roman" w:eastAsia="宋体" w:cs="Times New Roman"/>
      <w:b/>
      <w:bCs/>
      <w:kern w:val="2"/>
      <w:sz w:val="28"/>
      <w:szCs w:val="32"/>
    </w:rPr>
  </w:style>
  <w:style w:type="character" w:customStyle="1" w:styleId="43">
    <w:name w:val="标题 1 Char"/>
    <w:link w:val="2"/>
    <w:qFormat/>
    <w:uiPriority w:val="99"/>
    <w:rPr>
      <w:rFonts w:ascii="Times New Roman" w:hAnsi="Times New Roman" w:eastAsia="宋体"/>
      <w:b/>
      <w:bCs/>
      <w:color w:val="000000"/>
      <w:kern w:val="44"/>
      <w:sz w:val="30"/>
      <w:szCs w:val="30"/>
    </w:rPr>
  </w:style>
  <w:style w:type="paragraph" w:customStyle="1" w:styleId="44">
    <w:name w:val="表格标题"/>
    <w:basedOn w:val="45"/>
    <w:next w:val="1"/>
    <w:qFormat/>
    <w:uiPriority w:val="0"/>
    <w:pPr>
      <w:numPr>
        <w:ilvl w:val="7"/>
        <w:numId w:val="1"/>
      </w:numPr>
      <w:tabs>
        <w:tab w:val="left" w:pos="420"/>
        <w:tab w:val="clear" w:pos="0"/>
      </w:tabs>
      <w:spacing w:line="240" w:lineRule="auto"/>
      <w:ind w:left="0" w:firstLine="0" w:firstLineChars="0"/>
      <w:jc w:val="center"/>
    </w:pPr>
    <w:rPr>
      <w:rFonts w:ascii="Times New Roman" w:hAnsi="Times New Roman" w:eastAsia="宋体"/>
      <w:b/>
      <w:bCs/>
      <w:color w:val="auto"/>
      <w:szCs w:val="21"/>
    </w:rPr>
  </w:style>
  <w:style w:type="paragraph" w:customStyle="1" w:styleId="45">
    <w:name w:val="正文内容"/>
    <w:basedOn w:val="1"/>
    <w:qFormat/>
    <w:uiPriority w:val="0"/>
    <w:pPr>
      <w:adjustRightInd w:val="0"/>
      <w:spacing w:line="360" w:lineRule="auto"/>
    </w:pPr>
    <w:rPr>
      <w:color w:val="000000"/>
      <w:sz w:val="24"/>
    </w:rPr>
  </w:style>
  <w:style w:type="paragraph" w:customStyle="1" w:styleId="46">
    <w:name w:val="闽创报告正文"/>
    <w:basedOn w:val="47"/>
    <w:link w:val="100"/>
    <w:qFormat/>
    <w:uiPriority w:val="0"/>
    <w:pPr>
      <w:widowControl w:val="0"/>
      <w:tabs>
        <w:tab w:val="left" w:pos="0"/>
      </w:tabs>
      <w:autoSpaceDE w:val="0"/>
      <w:autoSpaceDN w:val="0"/>
      <w:spacing w:line="360" w:lineRule="auto"/>
      <w:ind w:firstLine="200" w:firstLineChars="200"/>
      <w:jc w:val="both"/>
    </w:pPr>
    <w:rPr>
      <w:rFonts w:ascii="Times New Roman" w:hAnsi="Times New Roman" w:eastAsia="宋体" w:cs="宋体"/>
      <w:color w:val="000000" w:themeColor="text1"/>
      <w:kern w:val="0"/>
      <w:szCs w:val="20"/>
      <w:lang w:val="zh-CN"/>
      <w14:textFill>
        <w14:solidFill>
          <w14:schemeClr w14:val="tx1"/>
        </w14:solidFill>
      </w14:textFill>
    </w:rPr>
  </w:style>
  <w:style w:type="paragraph" w:customStyle="1" w:styleId="47">
    <w:name w:val="0正文"/>
    <w:basedOn w:val="17"/>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48">
    <w:name w:val="表格内容"/>
    <w:basedOn w:val="27"/>
    <w:next w:val="1"/>
    <w:link w:val="58"/>
    <w:qFormat/>
    <w:uiPriority w:val="0"/>
    <w:pPr>
      <w:numPr>
        <w:ilvl w:val="0"/>
        <w:numId w:val="0"/>
      </w:numPr>
      <w:spacing w:line="240" w:lineRule="auto"/>
      <w:ind w:left="0" w:firstLine="0" w:firstLineChars="0"/>
      <w:jc w:val="center"/>
    </w:pPr>
    <w:rPr>
      <w:rFonts w:ascii="Times New Roman" w:hAnsi="Times New Roman" w:eastAsia="宋体" w:cs="Times New Roman"/>
      <w:sz w:val="21"/>
    </w:rPr>
  </w:style>
  <w:style w:type="paragraph" w:customStyle="1" w:styleId="49">
    <w:name w:val="图文标题"/>
    <w:basedOn w:val="1"/>
    <w:next w:val="1"/>
    <w:link w:val="66"/>
    <w:qFormat/>
    <w:uiPriority w:val="0"/>
    <w:pPr>
      <w:numPr>
        <w:ilvl w:val="8"/>
        <w:numId w:val="1"/>
      </w:numPr>
      <w:spacing w:line="360" w:lineRule="auto"/>
      <w:ind w:left="1583" w:hanging="1583" w:firstLineChars="0"/>
      <w:jc w:val="center"/>
    </w:pPr>
    <w:rPr>
      <w:rFonts w:ascii="Times New Roman" w:hAnsi="Times New Roman" w:eastAsia="宋体"/>
      <w:b/>
      <w:bCs/>
      <w:color w:val="auto"/>
      <w:sz w:val="24"/>
      <w:szCs w:val="21"/>
    </w:rPr>
  </w:style>
  <w:style w:type="character" w:customStyle="1" w:styleId="50">
    <w:name w:val="标题 3 Char"/>
    <w:link w:val="4"/>
    <w:semiHidden/>
    <w:qFormat/>
    <w:uiPriority w:val="0"/>
    <w:rPr>
      <w:rFonts w:ascii="Times New Roman" w:hAnsi="Times New Roman" w:eastAsia="宋体"/>
      <w:b/>
      <w:bCs/>
      <w:kern w:val="2"/>
      <w:sz w:val="24"/>
      <w:szCs w:val="32"/>
    </w:rPr>
  </w:style>
  <w:style w:type="paragraph" w:customStyle="1" w:styleId="51">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52">
    <w:name w:val="标题 4 Char"/>
    <w:link w:val="5"/>
    <w:semiHidden/>
    <w:qFormat/>
    <w:uiPriority w:val="0"/>
    <w:rPr>
      <w:rFonts w:ascii="Times New Roman" w:hAnsi="Times New Roman" w:eastAsia="宋体" w:cs="Times New Roman"/>
      <w:b/>
      <w:bCs/>
      <w:kern w:val="2"/>
      <w:sz w:val="24"/>
      <w:szCs w:val="28"/>
    </w:rPr>
  </w:style>
  <w:style w:type="paragraph" w:customStyle="1" w:styleId="53">
    <w:name w:val="Default"/>
    <w:basedOn w:val="54"/>
    <w:next w:val="55"/>
    <w:qFormat/>
    <w:uiPriority w:val="0"/>
    <w:pPr>
      <w:widowControl w:val="0"/>
      <w:autoSpaceDE w:val="0"/>
      <w:autoSpaceDN w:val="0"/>
      <w:adjustRightInd w:val="0"/>
    </w:pPr>
    <w:rPr>
      <w:color w:val="000000"/>
      <w:sz w:val="24"/>
      <w:szCs w:val="24"/>
      <w:lang w:val="en-US" w:eastAsia="zh-CN" w:bidi="ar-SA"/>
    </w:rPr>
  </w:style>
  <w:style w:type="paragraph" w:customStyle="1" w:styleId="54">
    <w:name w:val="纯文本1"/>
    <w:basedOn w:val="1"/>
    <w:next w:val="21"/>
    <w:qFormat/>
    <w:uiPriority w:val="0"/>
    <w:pPr>
      <w:textAlignment w:val="baseline"/>
    </w:pPr>
    <w:rPr>
      <w:rFonts w:ascii="宋体" w:hAnsi="Courier New"/>
    </w:rPr>
  </w:style>
  <w:style w:type="paragraph" w:customStyle="1" w:styleId="55">
    <w:name w:val="样式35"/>
    <w:next w:val="56"/>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6">
    <w:name w:val="font6"/>
    <w:basedOn w:val="1"/>
    <w:next w:val="28"/>
    <w:qFormat/>
    <w:uiPriority w:val="99"/>
    <w:pPr>
      <w:widowControl/>
      <w:spacing w:beforeAutospacing="1" w:afterAutospacing="1" w:line="360" w:lineRule="auto"/>
      <w:ind w:firstLine="720" w:firstLineChars="200"/>
      <w:jc w:val="left"/>
    </w:pPr>
    <w:rPr>
      <w:rFonts w:ascii="宋体" w:hAnsi="宋体" w:eastAsia="宋体"/>
      <w:sz w:val="20"/>
      <w:szCs w:val="20"/>
    </w:rPr>
  </w:style>
  <w:style w:type="paragraph" w:customStyle="1" w:styleId="57">
    <w:name w:val="xl27"/>
    <w:basedOn w:val="1"/>
    <w:next w:val="22"/>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58">
    <w:name w:val="表格内容 Char1"/>
    <w:link w:val="48"/>
    <w:qFormat/>
    <w:uiPriority w:val="0"/>
    <w:rPr>
      <w:rFonts w:ascii="Times New Roman" w:hAnsi="Times New Roman" w:eastAsia="宋体" w:cs="Times New Roman"/>
      <w:sz w:val="21"/>
    </w:rPr>
  </w:style>
  <w:style w:type="paragraph" w:customStyle="1" w:styleId="59">
    <w:name w:val="表格标题无编号"/>
    <w:basedOn w:val="44"/>
    <w:qFormat/>
    <w:uiPriority w:val="0"/>
    <w:pPr>
      <w:widowControl w:val="0"/>
      <w:numPr>
        <w:ilvl w:val="7"/>
        <w:numId w:val="0"/>
      </w:numPr>
      <w:autoSpaceDE w:val="0"/>
      <w:autoSpaceDN w:val="0"/>
      <w:spacing w:line="360" w:lineRule="auto"/>
      <w:ind w:left="1440" w:hanging="1440" w:firstLineChars="0"/>
      <w:jc w:val="center"/>
      <w:outlineLvl w:val="9"/>
    </w:pPr>
    <w:rPr>
      <w:rFonts w:ascii="Times New Roman" w:hAnsi="Times New Roman" w:eastAsia="宋体" w:cs="宋体"/>
      <w:kern w:val="0"/>
      <w:sz w:val="24"/>
      <w:szCs w:val="22"/>
      <w:lang w:val="zh-CN" w:eastAsia="zh-CN" w:bidi="ar-SA"/>
    </w:rPr>
  </w:style>
  <w:style w:type="table" w:customStyle="1" w:styleId="60">
    <w:name w:val="网格型1"/>
    <w:basedOn w:val="3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6表格（锐）"/>
    <w:basedOn w:val="35"/>
    <w:qFormat/>
    <w:locked/>
    <w:uiPriority w:val="99"/>
    <w:pPr>
      <w:jc w:val="center"/>
    </w:pPr>
    <w:rPr>
      <w:sz w:val="21"/>
    </w:rPr>
    <w:tblPr>
      <w:tblBorders>
        <w:top w:val="single" w:color="auto" w:sz="12" w:space="0"/>
        <w:bottom w:val="single" w:color="auto" w:sz="12" w:space="0"/>
      </w:tblBorders>
      <w:tblCellMar>
        <w:top w:w="0" w:type="dxa"/>
        <w:left w:w="108" w:type="dxa"/>
        <w:bottom w:w="0" w:type="dxa"/>
        <w:right w:w="108" w:type="dxa"/>
      </w:tblCellMar>
    </w:tblPr>
    <w:trPr>
      <w:tblHeader/>
    </w:trPr>
    <w:tcPr>
      <w:vAlign w:val="center"/>
    </w:tcPr>
  </w:style>
  <w:style w:type="paragraph" w:customStyle="1" w:styleId="62">
    <w:name w:val="表格表头"/>
    <w:basedOn w:val="1"/>
    <w:unhideWhenUsed/>
    <w:qFormat/>
    <w:uiPriority w:val="0"/>
    <w:pPr>
      <w:adjustRightInd w:val="0"/>
      <w:snapToGrid w:val="0"/>
      <w:spacing w:beforeLines="0" w:afterLines="0" w:line="240" w:lineRule="auto"/>
      <w:ind w:firstLine="0" w:firstLineChars="0"/>
      <w:jc w:val="center"/>
    </w:pPr>
    <w:rPr>
      <w:rFonts w:hint="eastAsia" w:ascii="Times New Roman" w:hAnsi="Times New Roman"/>
      <w:b/>
      <w:sz w:val="21"/>
    </w:rPr>
  </w:style>
  <w:style w:type="character" w:customStyle="1" w:styleId="63">
    <w:name w:val="标题 5 Char"/>
    <w:link w:val="6"/>
    <w:semiHidden/>
    <w:qFormat/>
    <w:uiPriority w:val="0"/>
    <w:rPr>
      <w:b/>
      <w:bCs/>
      <w:kern w:val="2"/>
      <w:sz w:val="28"/>
      <w:szCs w:val="28"/>
    </w:rPr>
  </w:style>
  <w:style w:type="character" w:customStyle="1" w:styleId="64">
    <w:name w:val="标题 Char"/>
    <w:link w:val="31"/>
    <w:qFormat/>
    <w:uiPriority w:val="0"/>
    <w:rPr>
      <w:rFonts w:ascii="Cambria" w:hAnsi="Cambria" w:cs="Times New Roman"/>
      <w:b/>
      <w:bCs/>
      <w:kern w:val="2"/>
      <w:sz w:val="32"/>
      <w:szCs w:val="32"/>
    </w:rPr>
  </w:style>
  <w:style w:type="character" w:customStyle="1" w:styleId="65">
    <w:name w:val="闽创报告正文 Char"/>
    <w:link w:val="46"/>
    <w:qFormat/>
    <w:uiPriority w:val="0"/>
    <w:rPr>
      <w:rFonts w:ascii="Times New Roman" w:hAnsi="Times New Roman" w:eastAsia="宋体" w:cs="宋体"/>
      <w:color w:val="FF0000"/>
      <w:kern w:val="0"/>
      <w:sz w:val="24"/>
      <w:szCs w:val="20"/>
      <w:lang w:val="zh-CN" w:eastAsia="zh-CN" w:bidi="ar-SA"/>
    </w:rPr>
  </w:style>
  <w:style w:type="character" w:customStyle="1" w:styleId="66">
    <w:name w:val="图文标题 Char1"/>
    <w:link w:val="49"/>
    <w:qFormat/>
    <w:uiPriority w:val="0"/>
    <w:rPr>
      <w:rFonts w:ascii="Times New Roman" w:hAnsi="Times New Roman" w:eastAsia="宋体"/>
      <w:b/>
      <w:bCs/>
      <w:color w:val="auto"/>
      <w:sz w:val="24"/>
      <w:szCs w:val="21"/>
    </w:rPr>
  </w:style>
  <w:style w:type="paragraph" w:customStyle="1" w:styleId="67">
    <w:name w:val="表字体"/>
    <w:next w:val="1"/>
    <w:unhideWhenUsed/>
    <w:qFormat/>
    <w:uiPriority w:val="0"/>
    <w:pPr>
      <w:jc w:val="center"/>
    </w:pPr>
    <w:rPr>
      <w:rFonts w:hint="eastAsia" w:ascii="Times New Roman" w:hAnsi="Times New Roman" w:eastAsia="宋体" w:cs="Times New Roman"/>
      <w:sz w:val="21"/>
      <w:lang w:val="en-US" w:eastAsia="zh-CN" w:bidi="ar-SA"/>
    </w:rPr>
  </w:style>
  <w:style w:type="character" w:customStyle="1" w:styleId="68">
    <w:name w:val="font21"/>
    <w:basedOn w:val="36"/>
    <w:qFormat/>
    <w:uiPriority w:val="0"/>
    <w:rPr>
      <w:rFonts w:hint="eastAsia" w:ascii="宋体" w:hAnsi="宋体" w:eastAsia="宋体" w:cs="宋体"/>
      <w:color w:val="000000"/>
      <w:sz w:val="21"/>
      <w:szCs w:val="21"/>
      <w:u w:val="none"/>
    </w:rPr>
  </w:style>
  <w:style w:type="character" w:customStyle="1" w:styleId="69">
    <w:name w:val="font11"/>
    <w:basedOn w:val="36"/>
    <w:qFormat/>
    <w:uiPriority w:val="0"/>
    <w:rPr>
      <w:rFonts w:hint="default" w:ascii="Times New Roman" w:hAnsi="Times New Roman" w:cs="Times New Roman"/>
      <w:color w:val="000000"/>
      <w:sz w:val="21"/>
      <w:szCs w:val="21"/>
      <w:u w:val="none"/>
    </w:rPr>
  </w:style>
  <w:style w:type="character" w:customStyle="1" w:styleId="70">
    <w:name w:val="font31"/>
    <w:basedOn w:val="36"/>
    <w:qFormat/>
    <w:uiPriority w:val="0"/>
    <w:rPr>
      <w:rFonts w:hint="default" w:ascii="Times New Roman" w:hAnsi="Times New Roman" w:cs="Times New Roman"/>
      <w:color w:val="000000"/>
      <w:sz w:val="21"/>
      <w:szCs w:val="21"/>
      <w:u w:val="none"/>
      <w:vertAlign w:val="superscript"/>
    </w:rPr>
  </w:style>
  <w:style w:type="character" w:customStyle="1" w:styleId="71">
    <w:name w:val="font41"/>
    <w:basedOn w:val="36"/>
    <w:qFormat/>
    <w:uiPriority w:val="0"/>
    <w:rPr>
      <w:rFonts w:hint="default" w:ascii="Times New Roman" w:hAnsi="Times New Roman" w:cs="Times New Roman"/>
      <w:color w:val="000000"/>
      <w:sz w:val="21"/>
      <w:szCs w:val="21"/>
      <w:u w:val="none"/>
    </w:rPr>
  </w:style>
  <w:style w:type="paragraph" w:customStyle="1" w:styleId="72">
    <w:name w:val=" Char Char Char Char Char Char Char Char Char Char Char"/>
    <w:basedOn w:val="1"/>
    <w:qFormat/>
    <w:uiPriority w:val="0"/>
    <w:rPr>
      <w:sz w:val="24"/>
    </w:rPr>
  </w:style>
  <w:style w:type="paragraph" w:customStyle="1" w:styleId="73">
    <w:name w:val="6表文（锐）"/>
    <w:basedOn w:val="74"/>
    <w:qFormat/>
    <w:uiPriority w:val="0"/>
    <w:pPr>
      <w:topLinePunct/>
      <w:spacing w:line="240" w:lineRule="auto"/>
      <w:ind w:firstLine="0" w:firstLineChars="0"/>
      <w:jc w:val="center"/>
    </w:pPr>
    <w:rPr>
      <w:rFonts w:ascii="Times New Roman" w:hAnsi="Times New Roman" w:eastAsia="宋体" w:cs="Times New Roman"/>
      <w:color w:val="FF0000"/>
      <w:sz w:val="21"/>
      <w:szCs w:val="21"/>
    </w:rPr>
  </w:style>
  <w:style w:type="paragraph" w:customStyle="1" w:styleId="74">
    <w:name w:val="7正文（锐）"/>
    <w:basedOn w:val="1"/>
    <w:qFormat/>
    <w:uiPriority w:val="0"/>
    <w:pPr>
      <w:topLinePunct/>
      <w:spacing w:line="360" w:lineRule="auto"/>
      <w:ind w:firstLine="480" w:firstLineChars="200"/>
    </w:pPr>
    <w:rPr>
      <w:rFonts w:ascii="Times New Roman" w:hAnsi="Times New Roman" w:eastAsia="宋体" w:cs="Times New Roman"/>
      <w:sz w:val="24"/>
      <w:szCs w:val="24"/>
    </w:rPr>
  </w:style>
  <w:style w:type="paragraph" w:customStyle="1" w:styleId="75">
    <w:name w:val="表标题"/>
    <w:qFormat/>
    <w:uiPriority w:val="0"/>
    <w:pPr>
      <w:jc w:val="center"/>
    </w:pPr>
    <w:rPr>
      <w:rFonts w:ascii="Times New Roman" w:hAnsi="Times New Roman" w:eastAsia="宋体" w:cs="Times New Roman"/>
      <w:b/>
      <w:sz w:val="21"/>
      <w:lang w:val="en-US" w:eastAsia="zh-CN" w:bidi="ar-SA"/>
    </w:rPr>
  </w:style>
  <w:style w:type="paragraph" w:customStyle="1" w:styleId="76">
    <w:name w:val="表头1"/>
    <w:basedOn w:val="1"/>
    <w:next w:val="1"/>
    <w:qFormat/>
    <w:uiPriority w:val="0"/>
    <w:pPr>
      <w:numPr>
        <w:ilvl w:val="4"/>
        <w:numId w:val="5"/>
      </w:numPr>
      <w:tabs>
        <w:tab w:val="left" w:pos="0"/>
        <w:tab w:val="clear" w:pos="420"/>
      </w:tabs>
      <w:adjustRightInd/>
      <w:snapToGrid/>
      <w:spacing w:line="360" w:lineRule="auto"/>
      <w:ind w:left="0" w:firstLine="0" w:firstLineChars="0"/>
      <w:jc w:val="center"/>
      <w:outlineLvl w:val="7"/>
    </w:pPr>
    <w:rPr>
      <w:rFonts w:ascii="Times New Roman" w:hAnsi="Times New Roman" w:eastAsia="宋体"/>
      <w:b/>
    </w:rPr>
  </w:style>
  <w:style w:type="character" w:customStyle="1" w:styleId="77">
    <w:name w:val="font71"/>
    <w:basedOn w:val="36"/>
    <w:qFormat/>
    <w:uiPriority w:val="0"/>
    <w:rPr>
      <w:rFonts w:hint="default" w:ascii="Times New Roman" w:hAnsi="Times New Roman" w:cs="Times New Roman"/>
      <w:color w:val="FF0000"/>
      <w:sz w:val="21"/>
      <w:szCs w:val="21"/>
      <w:u w:val="none"/>
    </w:rPr>
  </w:style>
  <w:style w:type="character" w:customStyle="1" w:styleId="78">
    <w:name w:val="font101"/>
    <w:basedOn w:val="36"/>
    <w:qFormat/>
    <w:uiPriority w:val="0"/>
    <w:rPr>
      <w:rFonts w:hint="default" w:ascii="Times New Roman" w:hAnsi="Times New Roman" w:cs="Times New Roman"/>
      <w:color w:val="FF0000"/>
      <w:sz w:val="21"/>
      <w:szCs w:val="21"/>
      <w:u w:val="none"/>
      <w:vertAlign w:val="superscript"/>
    </w:rPr>
  </w:style>
  <w:style w:type="character" w:customStyle="1" w:styleId="79">
    <w:name w:val="font51"/>
    <w:basedOn w:val="36"/>
    <w:qFormat/>
    <w:uiPriority w:val="0"/>
    <w:rPr>
      <w:rFonts w:hint="default" w:ascii="Times New Roman" w:hAnsi="Times New Roman" w:cs="Times New Roman"/>
      <w:color w:val="0000FF"/>
      <w:sz w:val="21"/>
      <w:szCs w:val="21"/>
      <w:u w:val="none"/>
    </w:rPr>
  </w:style>
  <w:style w:type="character" w:customStyle="1" w:styleId="80">
    <w:name w:val="font112"/>
    <w:basedOn w:val="36"/>
    <w:qFormat/>
    <w:uiPriority w:val="0"/>
    <w:rPr>
      <w:rFonts w:hint="default" w:ascii="Times New Roman" w:hAnsi="Times New Roman" w:cs="Times New Roman"/>
      <w:color w:val="0000FF"/>
      <w:sz w:val="21"/>
      <w:szCs w:val="21"/>
      <w:u w:val="none"/>
      <w:vertAlign w:val="superscript"/>
    </w:rPr>
  </w:style>
  <w:style w:type="character" w:customStyle="1" w:styleId="81">
    <w:name w:val="font91"/>
    <w:basedOn w:val="36"/>
    <w:qFormat/>
    <w:uiPriority w:val="0"/>
    <w:rPr>
      <w:rFonts w:hint="default" w:ascii="Times New Roman" w:hAnsi="Times New Roman" w:cs="Times New Roman"/>
      <w:color w:val="7030A0"/>
      <w:sz w:val="21"/>
      <w:szCs w:val="21"/>
      <w:u w:val="none"/>
    </w:rPr>
  </w:style>
  <w:style w:type="character" w:customStyle="1" w:styleId="82">
    <w:name w:val="font121"/>
    <w:basedOn w:val="36"/>
    <w:qFormat/>
    <w:uiPriority w:val="0"/>
    <w:rPr>
      <w:rFonts w:hint="default" w:ascii="Times New Roman" w:hAnsi="Times New Roman" w:cs="Times New Roman"/>
      <w:color w:val="7030A0"/>
      <w:sz w:val="21"/>
      <w:szCs w:val="21"/>
      <w:u w:val="none"/>
      <w:vertAlign w:val="superscript"/>
    </w:rPr>
  </w:style>
  <w:style w:type="character" w:customStyle="1" w:styleId="83">
    <w:name w:val="font61"/>
    <w:basedOn w:val="36"/>
    <w:qFormat/>
    <w:uiPriority w:val="0"/>
    <w:rPr>
      <w:rFonts w:hint="eastAsia" w:ascii="宋体" w:hAnsi="宋体" w:eastAsia="宋体" w:cs="宋体"/>
      <w:color w:val="FF0000"/>
      <w:sz w:val="20"/>
      <w:szCs w:val="20"/>
      <w:u w:val="none"/>
    </w:rPr>
  </w:style>
  <w:style w:type="character" w:customStyle="1" w:styleId="84">
    <w:name w:val="font01"/>
    <w:basedOn w:val="36"/>
    <w:qFormat/>
    <w:uiPriority w:val="0"/>
    <w:rPr>
      <w:rFonts w:hint="default" w:ascii="Times New Roman" w:hAnsi="Times New Roman" w:cs="Times New Roman"/>
      <w:color w:val="FF0000"/>
      <w:sz w:val="20"/>
      <w:szCs w:val="20"/>
      <w:u w:val="none"/>
    </w:rPr>
  </w:style>
  <w:style w:type="character" w:customStyle="1" w:styleId="85">
    <w:name w:val="font81"/>
    <w:basedOn w:val="36"/>
    <w:qFormat/>
    <w:uiPriority w:val="0"/>
    <w:rPr>
      <w:rFonts w:hint="default" w:ascii="Times New Roman" w:hAnsi="Times New Roman" w:cs="Times New Roman"/>
      <w:color w:val="FF0000"/>
      <w:sz w:val="20"/>
      <w:szCs w:val="20"/>
      <w:u w:val="none"/>
      <w:vertAlign w:val="superscript"/>
    </w:rPr>
  </w:style>
  <w:style w:type="table" w:customStyle="1" w:styleId="86">
    <w:name w:val="Table Normal"/>
    <w:unhideWhenUsed/>
    <w:qFormat/>
    <w:uiPriority w:val="0"/>
    <w:tblPr>
      <w:tblCellMar>
        <w:top w:w="0" w:type="dxa"/>
        <w:left w:w="0" w:type="dxa"/>
        <w:bottom w:w="0" w:type="dxa"/>
        <w:right w:w="0" w:type="dxa"/>
      </w:tblCellMar>
    </w:tblPr>
  </w:style>
  <w:style w:type="paragraph" w:customStyle="1" w:styleId="87">
    <w:name w:val="表格内容bg"/>
    <w:basedOn w:val="1"/>
    <w:qFormat/>
    <w:uiPriority w:val="0"/>
    <w:pPr>
      <w:spacing w:line="240" w:lineRule="auto"/>
      <w:ind w:firstLine="0" w:firstLineChars="0"/>
      <w:jc w:val="center"/>
    </w:pPr>
    <w:rPr>
      <w:rFonts w:ascii="Times New Roman" w:hAnsi="Times New Roman" w:eastAsia="宋体"/>
      <w:sz w:val="21"/>
    </w:rPr>
  </w:style>
  <w:style w:type="paragraph" w:customStyle="1" w:styleId="88">
    <w:name w:val="16正文"/>
    <w:basedOn w:val="1"/>
    <w:qFormat/>
    <w:uiPriority w:val="0"/>
    <w:pPr>
      <w:widowControl/>
      <w:shd w:val="clear" w:color="auto" w:fill="FFFFFF"/>
      <w:spacing w:after="50" w:afterLines="50" w:line="360" w:lineRule="auto"/>
      <w:ind w:firstLine="880" w:firstLineChars="200"/>
      <w:jc w:val="left"/>
    </w:pPr>
    <w:rPr>
      <w:rFonts w:hint="eastAsia" w:ascii="Times New Roman" w:hAnsi="Times New Roman" w:eastAsia="宋体" w:cs="黑体"/>
      <w:bCs/>
      <w:color w:val="000000" w:themeColor="text1"/>
      <w:kern w:val="0"/>
      <w:sz w:val="24"/>
      <w:szCs w:val="24"/>
      <w14:textFill>
        <w14:solidFill>
          <w14:schemeClr w14:val="tx1"/>
        </w14:solidFill>
      </w14:textFill>
    </w:rPr>
  </w:style>
  <w:style w:type="paragraph" w:customStyle="1" w:styleId="89">
    <w:name w:val="正文(首行缩进)"/>
    <w:basedOn w:val="1"/>
    <w:qFormat/>
    <w:uiPriority w:val="0"/>
    <w:pPr>
      <w:ind w:firstLine="420"/>
    </w:pPr>
    <w:rPr>
      <w:kern w:val="24"/>
    </w:rPr>
  </w:style>
  <w:style w:type="paragraph" w:customStyle="1" w:styleId="90">
    <w:name w:val="表正文"/>
    <w:basedOn w:val="1"/>
    <w:qFormat/>
    <w:uiPriority w:val="0"/>
    <w:pPr>
      <w:spacing w:line="360" w:lineRule="auto"/>
      <w:ind w:firstLine="200" w:firstLineChars="200"/>
    </w:pPr>
    <w:rPr>
      <w:sz w:val="24"/>
    </w:rPr>
  </w:style>
  <w:style w:type="paragraph" w:customStyle="1" w:styleId="91">
    <w:name w:val="表哥的格式"/>
    <w:qFormat/>
    <w:uiPriority w:val="0"/>
    <w:pPr>
      <w:widowControl w:val="0"/>
      <w:autoSpaceDE w:val="0"/>
      <w:autoSpaceDN w:val="0"/>
      <w:adjustRightInd w:val="0"/>
      <w:snapToGrid w:val="0"/>
      <w:spacing w:line="360" w:lineRule="auto"/>
      <w:jc w:val="center"/>
    </w:pPr>
    <w:rPr>
      <w:rFonts w:ascii="Times New Roman" w:hAnsi="Times New Roman" w:eastAsia="宋体" w:cs="Times New Roman"/>
      <w:sz w:val="24"/>
      <w:szCs w:val="21"/>
      <w:lang w:val="en-US" w:eastAsia="zh-CN" w:bidi="ar-SA"/>
    </w:rPr>
  </w:style>
  <w:style w:type="paragraph" w:customStyle="1" w:styleId="92">
    <w:name w:val="z表格内文字"/>
    <w:basedOn w:val="1"/>
    <w:qFormat/>
    <w:uiPriority w:val="0"/>
    <w:pPr>
      <w:jc w:val="center"/>
    </w:pPr>
    <w:rPr>
      <w:color w:val="000000"/>
      <w:szCs w:val="21"/>
    </w:rPr>
  </w:style>
  <w:style w:type="paragraph" w:customStyle="1" w:styleId="93">
    <w:name w:val="书表文字"/>
    <w:qFormat/>
    <w:uiPriority w:val="0"/>
    <w:pPr>
      <w:widowControl w:val="0"/>
    </w:pPr>
    <w:rPr>
      <w:rFonts w:ascii="Times New Roman" w:hAnsi="Times New Roman" w:eastAsia="宋体" w:cs="Courier New"/>
      <w:kern w:val="2"/>
      <w:sz w:val="21"/>
      <w:szCs w:val="21"/>
      <w:lang w:val="en-US" w:eastAsia="zh-CN" w:bidi="ar-SA"/>
    </w:rPr>
  </w:style>
  <w:style w:type="character" w:customStyle="1" w:styleId="94">
    <w:name w:val="fontstyle01"/>
    <w:basedOn w:val="36"/>
    <w:qFormat/>
    <w:uiPriority w:val="0"/>
    <w:rPr>
      <w:rFonts w:ascii="宋体" w:hAnsi="宋体" w:eastAsia="宋体" w:cs="宋体"/>
      <w:color w:val="000000"/>
      <w:sz w:val="22"/>
      <w:szCs w:val="22"/>
    </w:rPr>
  </w:style>
  <w:style w:type="paragraph" w:customStyle="1" w:styleId="95">
    <w:name w:val="表格内文字"/>
    <w:basedOn w:val="96"/>
    <w:qFormat/>
    <w:uiPriority w:val="0"/>
    <w:pPr>
      <w:widowControl w:val="0"/>
      <w:tabs>
        <w:tab w:val="left" w:pos="3825"/>
        <w:tab w:val="left" w:pos="4680"/>
      </w:tabs>
      <w:adjustRightInd w:val="0"/>
      <w:snapToGrid w:val="0"/>
      <w:spacing w:line="240" w:lineRule="auto"/>
      <w:ind w:firstLine="480" w:firstLineChars="200"/>
    </w:pPr>
    <w:rPr>
      <w:rFonts w:ascii="Calibri" w:hAnsi="Calibri" w:cs="宋体"/>
      <w:b w:val="0"/>
      <w:sz w:val="21"/>
      <w:szCs w:val="24"/>
    </w:rPr>
  </w:style>
  <w:style w:type="paragraph" w:customStyle="1" w:styleId="96">
    <w:name w:val="表格名称"/>
    <w:next w:val="95"/>
    <w:qFormat/>
    <w:uiPriority w:val="0"/>
    <w:pPr>
      <w:tabs>
        <w:tab w:val="left" w:pos="3825"/>
        <w:tab w:val="left" w:pos="4680"/>
      </w:tabs>
      <w:spacing w:line="360" w:lineRule="auto"/>
      <w:jc w:val="center"/>
    </w:pPr>
    <w:rPr>
      <w:rFonts w:ascii="Times New Roman" w:hAnsi="Times New Roman" w:eastAsia="宋体" w:cs="Times New Roman"/>
      <w:b/>
      <w:sz w:val="24"/>
      <w:szCs w:val="21"/>
      <w:lang w:val="en-US" w:eastAsia="zh-CN" w:bidi="ar-SA"/>
    </w:rPr>
  </w:style>
  <w:style w:type="paragraph" w:customStyle="1" w:styleId="97">
    <w:name w:val="Table Paragraph"/>
    <w:basedOn w:val="1"/>
    <w:qFormat/>
    <w:uiPriority w:val="1"/>
    <w:pPr>
      <w:jc w:val="center"/>
    </w:pPr>
    <w:rPr>
      <w:rFonts w:ascii="宋体" w:hAnsi="宋体" w:cs="宋体"/>
      <w:lang w:val="zh-CN" w:bidi="zh-CN"/>
    </w:rPr>
  </w:style>
  <w:style w:type="paragraph" w:customStyle="1" w:styleId="98">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paragraph" w:customStyle="1" w:styleId="99">
    <w:name w:val="表内容"/>
    <w:basedOn w:val="1"/>
    <w:qFormat/>
    <w:uiPriority w:val="0"/>
    <w:pPr>
      <w:widowControl/>
      <w:adjustRightInd w:val="0"/>
      <w:jc w:val="center"/>
    </w:pPr>
    <w:rPr>
      <w:szCs w:val="21"/>
    </w:rPr>
  </w:style>
  <w:style w:type="character" w:customStyle="1" w:styleId="100">
    <w:name w:val="报告正文 Char"/>
    <w:link w:val="46"/>
    <w:qFormat/>
    <w:uiPriority w:val="0"/>
    <w:rPr>
      <w:rFonts w:ascii="Times New Roman" w:hAnsi="Times New Roman" w:eastAsia="宋体"/>
      <w:color w:val="000000" w:themeColor="text1"/>
      <w:sz w:val="24"/>
      <w:szCs w:val="24"/>
      <w14:textFill>
        <w14:solidFill>
          <w14:schemeClr w14:val="tx1"/>
        </w14:solidFill>
      </w14:textFill>
    </w:rPr>
  </w:style>
  <w:style w:type="paragraph" w:customStyle="1" w:styleId="101">
    <w:name w:val="表 内容"/>
    <w:qFormat/>
    <w:uiPriority w:val="0"/>
    <w:pPr>
      <w:widowControl w:val="0"/>
      <w:spacing w:line="360" w:lineRule="auto"/>
      <w:jc w:val="center"/>
    </w:pPr>
    <w:rPr>
      <w:rFonts w:ascii="Calibri" w:hAnsi="宋体" w:eastAsia="宋体" w:cs="Times New Roman"/>
      <w:kern w:val="2"/>
      <w:sz w:val="24"/>
      <w:lang w:val="en-US" w:eastAsia="zh-CN" w:bidi="ar-SA"/>
    </w:rPr>
  </w:style>
  <w:style w:type="paragraph" w:customStyle="1" w:styleId="102">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103">
    <w:name w:val="0报告正文"/>
    <w:basedOn w:val="1"/>
    <w:qFormat/>
    <w:uiPriority w:val="0"/>
    <w:pPr>
      <w:autoSpaceDE w:val="0"/>
      <w:autoSpaceDN w:val="0"/>
      <w:spacing w:line="360" w:lineRule="auto"/>
      <w:ind w:firstLine="482"/>
    </w:pPr>
    <w:rPr>
      <w:rFonts w:eastAsia="Times New Roman"/>
      <w:color w:val="000000"/>
      <w:kern w:val="0"/>
      <w:sz w:val="24"/>
      <w:szCs w:val="20"/>
    </w:rPr>
  </w:style>
  <w:style w:type="paragraph" w:customStyle="1" w:styleId="104">
    <w:name w:val="表格内容b"/>
    <w:basedOn w:val="1"/>
    <w:qFormat/>
    <w:uiPriority w:val="0"/>
    <w:pPr>
      <w:jc w:val="center"/>
    </w:pPr>
  </w:style>
  <w:style w:type="paragraph" w:customStyle="1" w:styleId="105">
    <w:name w:val="文"/>
    <w:basedOn w:val="1"/>
    <w:qFormat/>
    <w:uiPriority w:val="0"/>
    <w:pPr>
      <w:widowControl/>
      <w:spacing w:line="360" w:lineRule="auto"/>
      <w:ind w:firstLine="200" w:firstLineChars="200"/>
    </w:pPr>
    <w:rPr>
      <w:bCs/>
      <w:kern w:val="0"/>
      <w:sz w:val="24"/>
      <w:szCs w:val="28"/>
    </w:rPr>
  </w:style>
  <w:style w:type="paragraph" w:customStyle="1" w:styleId="106">
    <w:name w:val="a表格内文字"/>
    <w:basedOn w:val="1"/>
    <w:qFormat/>
    <w:uiPriority w:val="0"/>
    <w:pPr>
      <w:jc w:val="center"/>
    </w:pPr>
    <w:rPr>
      <w:color w:val="000000"/>
      <w:szCs w:val="21"/>
    </w:rPr>
  </w:style>
  <w:style w:type="paragraph" w:customStyle="1" w:styleId="107">
    <w:name w:val="金皇-正文"/>
    <w:basedOn w:val="1"/>
    <w:qFormat/>
    <w:uiPriority w:val="0"/>
    <w:pPr>
      <w:spacing w:line="360" w:lineRule="auto"/>
      <w:ind w:firstLine="200" w:firstLineChars="200"/>
    </w:pPr>
    <w:rPr>
      <w:sz w:val="24"/>
    </w:rPr>
  </w:style>
  <w:style w:type="paragraph" w:customStyle="1" w:styleId="108">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109">
    <w:name w:val="北京表格内容"/>
    <w:basedOn w:val="1"/>
    <w:next w:val="1"/>
    <w:qFormat/>
    <w:uiPriority w:val="0"/>
    <w:pPr>
      <w:widowControl/>
      <w:spacing w:line="280" w:lineRule="exact"/>
      <w:jc w:val="center"/>
    </w:pPr>
    <w:rPr>
      <w:bCs/>
      <w:color w:val="000000"/>
      <w:sz w:val="18"/>
    </w:rPr>
  </w:style>
  <w:style w:type="paragraph" w:customStyle="1" w:styleId="110">
    <w:name w:val="金皇-标题3"/>
    <w:basedOn w:val="4"/>
    <w:qFormat/>
    <w:uiPriority w:val="0"/>
    <w:pPr>
      <w:keepNext w:val="0"/>
      <w:keepLines w:val="0"/>
      <w:numPr>
        <w:numId w:val="6"/>
      </w:numPr>
      <w:tabs>
        <w:tab w:val="left" w:pos="644"/>
        <w:tab w:val="clear" w:pos="420"/>
      </w:tabs>
      <w:adjustRightInd w:val="0"/>
      <w:jc w:val="left"/>
    </w:pPr>
    <w:rPr>
      <w:rFonts w:eastAsia="黑体"/>
      <w:sz w:val="28"/>
      <w:szCs w:val="30"/>
    </w:rPr>
  </w:style>
  <w:style w:type="paragraph" w:customStyle="1" w:styleId="111">
    <w:name w:val="表格内文字（两端对齐）"/>
    <w:basedOn w:val="95"/>
    <w:qFormat/>
    <w:uiPriority w:val="0"/>
    <w:pPr>
      <w:tabs>
        <w:tab w:val="left" w:pos="1980"/>
      </w:tabs>
      <w:jc w:val="both"/>
    </w:pPr>
  </w:style>
  <w:style w:type="paragraph" w:customStyle="1" w:styleId="112">
    <w:name w:val="无编号标题2"/>
    <w:basedOn w:val="3"/>
    <w:next w:val="1"/>
    <w:link w:val="147"/>
    <w:qFormat/>
    <w:uiPriority w:val="0"/>
    <w:pPr>
      <w:numPr>
        <w:ilvl w:val="0"/>
        <w:numId w:val="0"/>
      </w:numPr>
      <w:tabs>
        <w:tab w:val="left" w:pos="0"/>
        <w:tab w:val="clear" w:pos="420"/>
      </w:tabs>
    </w:pPr>
    <w:rPr>
      <w:rFonts w:ascii="Times New Roman" w:hAnsi="Times New Roman" w:eastAsia="宋体"/>
      <w:sz w:val="24"/>
    </w:rPr>
  </w:style>
  <w:style w:type="character" w:customStyle="1" w:styleId="113">
    <w:name w:val="disabled"/>
    <w:basedOn w:val="36"/>
    <w:qFormat/>
    <w:uiPriority w:val="0"/>
    <w:rPr>
      <w:vanish/>
    </w:rPr>
  </w:style>
  <w:style w:type="character" w:customStyle="1" w:styleId="114">
    <w:name w:val="znspantitle"/>
    <w:basedOn w:val="36"/>
    <w:qFormat/>
    <w:uiPriority w:val="0"/>
    <w:rPr>
      <w:b/>
      <w:bCs/>
      <w:color w:val="333333"/>
    </w:rPr>
  </w:style>
  <w:style w:type="paragraph" w:customStyle="1" w:styleId="115">
    <w:name w:val="Table Text"/>
    <w:basedOn w:val="1"/>
    <w:semiHidden/>
    <w:qFormat/>
    <w:uiPriority w:val="0"/>
    <w:rPr>
      <w:rFonts w:ascii="宋体" w:hAnsi="宋体" w:eastAsia="宋体" w:cs="宋体"/>
      <w:sz w:val="24"/>
      <w:szCs w:val="24"/>
      <w:lang w:val="en-US" w:eastAsia="en-US" w:bidi="ar-SA"/>
    </w:rPr>
  </w:style>
  <w:style w:type="paragraph" w:customStyle="1" w:styleId="116">
    <w:name w:val="文本"/>
    <w:basedOn w:val="1"/>
    <w:qFormat/>
    <w:uiPriority w:val="0"/>
    <w:pPr>
      <w:spacing w:line="360" w:lineRule="auto"/>
      <w:ind w:firstLine="200" w:firstLineChars="200"/>
    </w:pPr>
    <w:rPr>
      <w:rFonts w:ascii="Calibri" w:hAnsi="Calibri" w:cs="宋体"/>
      <w:sz w:val="24"/>
    </w:rPr>
  </w:style>
  <w:style w:type="paragraph" w:customStyle="1" w:styleId="117">
    <w:name w:val="报告书表格文（林）"/>
    <w:basedOn w:val="1"/>
    <w:qFormat/>
    <w:uiPriority w:val="0"/>
    <w:pPr>
      <w:spacing w:line="280" w:lineRule="exact"/>
      <w:ind w:firstLine="0" w:firstLineChars="0"/>
      <w:jc w:val="center"/>
    </w:pPr>
    <w:rPr>
      <w:rFonts w:ascii="Times New Roman" w:hAnsi="Times New Roman"/>
      <w:sz w:val="21"/>
    </w:rPr>
  </w:style>
  <w:style w:type="paragraph" w:customStyle="1" w:styleId="118">
    <w:name w:val="正文格式111"/>
    <w:basedOn w:val="1"/>
    <w:qFormat/>
    <w:uiPriority w:val="0"/>
    <w:pPr>
      <w:spacing w:line="420" w:lineRule="auto"/>
      <w:ind w:firstLine="480" w:firstLineChars="200"/>
    </w:pPr>
    <w:rPr>
      <w:bCs/>
      <w:kern w:val="0"/>
      <w:sz w:val="24"/>
    </w:rPr>
  </w:style>
  <w:style w:type="paragraph" w:customStyle="1" w:styleId="119">
    <w:name w:val="正文11111111111"/>
    <w:basedOn w:val="1"/>
    <w:qFormat/>
    <w:uiPriority w:val="0"/>
    <w:pPr>
      <w:spacing w:line="360" w:lineRule="auto"/>
      <w:ind w:firstLine="480" w:firstLineChars="200"/>
    </w:pPr>
    <w:rPr>
      <w:rFonts w:ascii="宋体" w:hAnsi="宋体"/>
      <w:sz w:val="24"/>
    </w:rPr>
  </w:style>
  <w:style w:type="paragraph" w:customStyle="1" w:styleId="120">
    <w:name w:val="111正文的格式"/>
    <w:basedOn w:val="1"/>
    <w:qFormat/>
    <w:uiPriority w:val="0"/>
    <w:pPr>
      <w:adjustRightInd w:val="0"/>
      <w:snapToGrid w:val="0"/>
      <w:spacing w:line="360" w:lineRule="auto"/>
      <w:ind w:firstLine="480" w:firstLineChars="200"/>
    </w:pPr>
    <w:rPr>
      <w:color w:val="0000FF"/>
      <w:sz w:val="24"/>
    </w:rPr>
  </w:style>
  <w:style w:type="paragraph" w:customStyle="1" w:styleId="121">
    <w:name w:val="标题3"/>
    <w:basedOn w:val="1"/>
    <w:qFormat/>
    <w:uiPriority w:val="0"/>
    <w:pPr>
      <w:spacing w:line="360" w:lineRule="auto"/>
      <w:outlineLvl w:val="2"/>
    </w:pPr>
    <w:rPr>
      <w:b/>
      <w:sz w:val="24"/>
    </w:rPr>
  </w:style>
  <w:style w:type="paragraph" w:customStyle="1" w:styleId="122">
    <w:name w:val="Other|1"/>
    <w:basedOn w:val="1"/>
    <w:qFormat/>
    <w:uiPriority w:val="0"/>
    <w:pPr>
      <w:widowControl w:val="0"/>
      <w:spacing w:after="30" w:line="425" w:lineRule="auto"/>
      <w:ind w:firstLine="400"/>
      <w:jc w:val="both"/>
    </w:pPr>
    <w:rPr>
      <w:rFonts w:ascii="宋体" w:hAnsi="宋体" w:cs="宋体"/>
      <w:sz w:val="24"/>
      <w:lang w:val="zh-TW" w:eastAsia="zh-TW" w:bidi="zh-TW"/>
    </w:rPr>
  </w:style>
  <w:style w:type="paragraph" w:customStyle="1" w:styleId="123">
    <w:name w:val="表格内容（）"/>
    <w:basedOn w:val="1"/>
    <w:qFormat/>
    <w:uiPriority w:val="0"/>
    <w:pPr>
      <w:adjustRightInd w:val="0"/>
      <w:snapToGrid w:val="0"/>
      <w:jc w:val="center"/>
    </w:pPr>
    <w:rPr>
      <w:color w:val="00B0F0"/>
      <w:szCs w:val="21"/>
      <w:lang w:val="zh-CN"/>
    </w:rPr>
  </w:style>
  <w:style w:type="paragraph" w:customStyle="1" w:styleId="124">
    <w:name w:val="表表表表"/>
    <w:basedOn w:val="125"/>
    <w:qFormat/>
    <w:uiPriority w:val="0"/>
    <w:pPr>
      <w:jc w:val="center"/>
    </w:pPr>
    <w:rPr>
      <w:rFonts w:eastAsia="仿宋"/>
      <w:szCs w:val="21"/>
    </w:rPr>
  </w:style>
  <w:style w:type="paragraph" w:customStyle="1" w:styleId="125">
    <w:name w:val="表格文字"/>
    <w:basedOn w:val="1"/>
    <w:qFormat/>
    <w:uiPriority w:val="0"/>
    <w:pPr>
      <w:spacing w:line="560" w:lineRule="exact"/>
      <w:ind w:firstLine="0" w:firstLineChars="0"/>
      <w:jc w:val="center"/>
    </w:pPr>
    <w:rPr>
      <w:rFonts w:eastAsia="方正楷体简体"/>
      <w:szCs w:val="24"/>
    </w:rPr>
  </w:style>
  <w:style w:type="character" w:customStyle="1" w:styleId="126">
    <w:name w:val="fontstyle21"/>
    <w:basedOn w:val="36"/>
    <w:qFormat/>
    <w:uiPriority w:val="0"/>
    <w:rPr>
      <w:rFonts w:ascii="TimesNewRomanPSMT" w:hAnsi="TimesNewRomanPSMT" w:eastAsia="TimesNewRomanPSMT" w:cs="TimesNewRomanPSMT"/>
      <w:color w:val="000000"/>
      <w:sz w:val="24"/>
      <w:szCs w:val="24"/>
    </w:rPr>
  </w:style>
  <w:style w:type="paragraph" w:customStyle="1" w:styleId="127">
    <w:name w:val="22标题2"/>
    <w:basedOn w:val="128"/>
    <w:qFormat/>
    <w:uiPriority w:val="99"/>
    <w:pPr>
      <w:adjustRightInd w:val="0"/>
      <w:snapToGrid w:val="0"/>
    </w:pPr>
    <w:rPr>
      <w:color w:val="0000FF"/>
    </w:rPr>
  </w:style>
  <w:style w:type="paragraph" w:customStyle="1" w:styleId="128">
    <w:name w:val="标题2"/>
    <w:basedOn w:val="21"/>
    <w:qFormat/>
    <w:uiPriority w:val="99"/>
    <w:pPr>
      <w:spacing w:line="360" w:lineRule="auto"/>
      <w:outlineLvl w:val="1"/>
    </w:pPr>
    <w:rPr>
      <w:rFonts w:ascii="Times New Roman" w:hAnsi="Times New Roman" w:eastAsia="黑体"/>
      <w:sz w:val="30"/>
      <w:szCs w:val="30"/>
    </w:rPr>
  </w:style>
  <w:style w:type="paragraph" w:customStyle="1" w:styleId="129">
    <w:name w:val="三级标题（）"/>
    <w:basedOn w:val="1"/>
    <w:qFormat/>
    <w:uiPriority w:val="99"/>
    <w:pPr>
      <w:tabs>
        <w:tab w:val="left" w:pos="3840"/>
      </w:tabs>
      <w:spacing w:line="360" w:lineRule="auto"/>
      <w:outlineLvl w:val="2"/>
    </w:pPr>
    <w:rPr>
      <w:rFonts w:eastAsia="黑体"/>
      <w:color w:val="5B9BD5"/>
      <w:sz w:val="28"/>
      <w:szCs w:val="30"/>
    </w:rPr>
  </w:style>
  <w:style w:type="paragraph" w:customStyle="1" w:styleId="130">
    <w:name w:val="111表格"/>
    <w:basedOn w:val="1"/>
    <w:qFormat/>
    <w:uiPriority w:val="99"/>
    <w:pPr>
      <w:autoSpaceDE w:val="0"/>
      <w:autoSpaceDN w:val="0"/>
      <w:adjustRightInd w:val="0"/>
      <w:snapToGrid w:val="0"/>
      <w:spacing w:line="360" w:lineRule="auto"/>
      <w:ind w:firstLine="200" w:firstLineChars="200"/>
    </w:pPr>
    <w:rPr>
      <w:kern w:val="0"/>
      <w:szCs w:val="21"/>
    </w:rPr>
  </w:style>
  <w:style w:type="paragraph" w:customStyle="1" w:styleId="131">
    <w:name w:val="表头"/>
    <w:basedOn w:val="1"/>
    <w:next w:val="1"/>
    <w:qFormat/>
    <w:uiPriority w:val="0"/>
    <w:pPr>
      <w:numPr>
        <w:ilvl w:val="4"/>
        <w:numId w:val="7"/>
      </w:numPr>
      <w:tabs>
        <w:tab w:val="left" w:pos="420"/>
        <w:tab w:val="clear" w:pos="0"/>
      </w:tabs>
      <w:spacing w:line="360" w:lineRule="auto"/>
      <w:ind w:left="0" w:firstLine="0" w:firstLineChars="0"/>
      <w:jc w:val="center"/>
    </w:pPr>
    <w:rPr>
      <w:b/>
      <w:szCs w:val="22"/>
    </w:rPr>
  </w:style>
  <w:style w:type="paragraph" w:customStyle="1" w:styleId="132">
    <w:name w:val="@正文"/>
    <w:basedOn w:val="1"/>
    <w:qFormat/>
    <w:uiPriority w:val="0"/>
    <w:pPr>
      <w:tabs>
        <w:tab w:val="left" w:pos="1980"/>
        <w:tab w:val="left" w:pos="3825"/>
        <w:tab w:val="left" w:pos="4680"/>
      </w:tabs>
      <w:spacing w:line="360" w:lineRule="auto"/>
      <w:ind w:firstLine="200" w:firstLineChars="200"/>
      <w:jc w:val="left"/>
    </w:pPr>
    <w:rPr>
      <w:rFonts w:hAnsi="宋体"/>
      <w:kern w:val="0"/>
      <w:szCs w:val="21"/>
    </w:rPr>
  </w:style>
  <w:style w:type="character" w:customStyle="1" w:styleId="133">
    <w:name w:val="15"/>
    <w:qFormat/>
    <w:uiPriority w:val="0"/>
    <w:rPr>
      <w:rFonts w:hint="default" w:ascii="Times New Roman" w:hAnsi="Times New Roman" w:cs="Times New Roman"/>
    </w:rPr>
  </w:style>
  <w:style w:type="paragraph" w:customStyle="1" w:styleId="134">
    <w:name w:val="金皇-表（图）头"/>
    <w:basedOn w:val="1"/>
    <w:qFormat/>
    <w:uiPriority w:val="0"/>
    <w:pPr>
      <w:adjustRightInd w:val="0"/>
      <w:snapToGrid w:val="0"/>
      <w:jc w:val="center"/>
      <w:outlineLvl w:val="4"/>
    </w:pPr>
    <w:rPr>
      <w:rFonts w:eastAsia="黑体"/>
      <w:b/>
      <w:sz w:val="24"/>
    </w:rPr>
  </w:style>
  <w:style w:type="paragraph" w:customStyle="1" w:styleId="135">
    <w:name w:val="111正文格式111"/>
    <w:basedOn w:val="1"/>
    <w:qFormat/>
    <w:uiPriority w:val="99"/>
    <w:pPr>
      <w:adjustRightInd w:val="0"/>
      <w:snapToGrid w:val="0"/>
      <w:spacing w:line="360" w:lineRule="auto"/>
      <w:ind w:firstLine="200" w:firstLineChars="200"/>
    </w:pPr>
    <w:rPr>
      <w:kern w:val="0"/>
    </w:rPr>
  </w:style>
  <w:style w:type="paragraph" w:customStyle="1" w:styleId="136">
    <w:name w:val="（环评）表格内容"/>
    <w:basedOn w:val="1"/>
    <w:next w:val="16"/>
    <w:qFormat/>
    <w:uiPriority w:val="0"/>
    <w:pPr>
      <w:adjustRightInd w:val="0"/>
      <w:snapToGrid w:val="0"/>
      <w:spacing w:line="240" w:lineRule="auto"/>
      <w:ind w:firstLine="0" w:firstLineChars="0"/>
      <w:jc w:val="center"/>
    </w:pPr>
    <w:rPr>
      <w:rFonts w:ascii="Times New Roman" w:hAnsi="Times New Roman" w:eastAsia="宋体"/>
      <w:iCs/>
      <w:szCs w:val="21"/>
    </w:rPr>
  </w:style>
  <w:style w:type="character" w:customStyle="1" w:styleId="137">
    <w:name w:val="正文缩进 Char"/>
    <w:link w:val="13"/>
    <w:qFormat/>
    <w:uiPriority w:val="0"/>
    <w:rPr>
      <w:rFonts w:ascii="Calibri" w:hAnsi="Calibri"/>
      <w:sz w:val="28"/>
    </w:rPr>
  </w:style>
  <w:style w:type="paragraph" w:customStyle="1" w:styleId="138">
    <w:name w:val="1表格（5宋.）"/>
    <w:basedOn w:val="1"/>
    <w:qFormat/>
    <w:uiPriority w:val="0"/>
    <w:pPr>
      <w:shd w:val="clear" w:color="auto" w:fill="auto"/>
      <w:spacing w:line="240" w:lineRule="auto"/>
      <w:ind w:firstLine="0" w:firstLineChars="0"/>
      <w:jc w:val="center"/>
    </w:pPr>
    <w:rPr>
      <w:rFonts w:ascii="宋体" w:hAnsi="宋体" w:eastAsia="宋体" w:cs="宋体"/>
      <w:color w:val="000000"/>
      <w:sz w:val="21"/>
      <w:szCs w:val="22"/>
      <w:u w:val="none"/>
      <w:shd w:val="clear" w:color="auto" w:fill="auto"/>
      <w:lang w:val="zh-TW" w:eastAsia="zh-TW" w:bidi="zh-TW"/>
    </w:rPr>
  </w:style>
  <w:style w:type="paragraph" w:customStyle="1" w:styleId="139">
    <w:name w:val="11正文"/>
    <w:basedOn w:val="140"/>
    <w:qFormat/>
    <w:uiPriority w:val="99"/>
  </w:style>
  <w:style w:type="paragraph" w:customStyle="1" w:styleId="140">
    <w:name w:val="正文111"/>
    <w:basedOn w:val="141"/>
    <w:qFormat/>
    <w:uiPriority w:val="99"/>
    <w:pPr>
      <w:ind w:firstLine="480"/>
    </w:pPr>
  </w:style>
  <w:style w:type="paragraph" w:customStyle="1" w:styleId="141">
    <w:name w:val="正文的格式52"/>
    <w:basedOn w:val="1"/>
    <w:qFormat/>
    <w:uiPriority w:val="99"/>
    <w:pPr>
      <w:spacing w:line="360" w:lineRule="auto"/>
      <w:ind w:firstLine="200" w:firstLineChars="200"/>
    </w:pPr>
    <w:rPr>
      <w:kern w:val="0"/>
      <w:sz w:val="24"/>
      <w:szCs w:val="20"/>
    </w:rPr>
  </w:style>
  <w:style w:type="paragraph" w:customStyle="1" w:styleId="142">
    <w:name w:val="10、表格内容"/>
    <w:basedOn w:val="16"/>
    <w:qFormat/>
    <w:uiPriority w:val="0"/>
    <w:pPr>
      <w:widowControl w:val="0"/>
      <w:adjustRightInd w:val="0"/>
      <w:spacing w:before="0" w:after="0" w:line="280" w:lineRule="exact"/>
      <w:ind w:right="0"/>
      <w:jc w:val="center"/>
    </w:pPr>
    <w:rPr>
      <w:color w:val="000000"/>
      <w:kern w:val="2"/>
      <w:sz w:val="21"/>
      <w:szCs w:val="24"/>
    </w:rPr>
  </w:style>
  <w:style w:type="paragraph" w:customStyle="1" w:styleId="143">
    <w:name w:val="22表格"/>
    <w:basedOn w:val="124"/>
    <w:qFormat/>
    <w:uiPriority w:val="0"/>
    <w:pPr>
      <w:adjustRightInd w:val="0"/>
      <w:snapToGrid w:val="0"/>
      <w:textAlignment w:val="center"/>
    </w:pPr>
    <w:rPr>
      <w:rFonts w:eastAsia="宋体"/>
      <w:color w:val="000000"/>
    </w:rPr>
  </w:style>
  <w:style w:type="paragraph" w:customStyle="1" w:styleId="144">
    <w:name w:val="111正文"/>
    <w:basedOn w:val="1"/>
    <w:qFormat/>
    <w:uiPriority w:val="99"/>
    <w:pPr>
      <w:widowControl/>
      <w:tabs>
        <w:tab w:val="left" w:pos="7276"/>
      </w:tabs>
      <w:adjustRightInd w:val="0"/>
      <w:snapToGrid w:val="0"/>
      <w:spacing w:line="360" w:lineRule="auto"/>
      <w:ind w:firstLine="480" w:firstLineChars="200"/>
      <w:jc w:val="left"/>
    </w:pPr>
    <w:rPr>
      <w:color w:val="C00000"/>
      <w:kern w:val="0"/>
      <w:sz w:val="24"/>
      <w:szCs w:val="32"/>
    </w:rPr>
  </w:style>
  <w:style w:type="paragraph" w:customStyle="1" w:styleId="145">
    <w:name w:val="WPSOffice手动目录 1"/>
    <w:qFormat/>
    <w:uiPriority w:val="0"/>
    <w:pPr>
      <w:ind w:leftChars="0"/>
    </w:pPr>
    <w:rPr>
      <w:rFonts w:ascii="Times New Roman" w:hAnsi="Times New Roman" w:eastAsia="宋体" w:cs="Times New Roman"/>
      <w:sz w:val="20"/>
      <w:szCs w:val="20"/>
    </w:rPr>
  </w:style>
  <w:style w:type="paragraph" w:styleId="146">
    <w:name w:val="List Paragraph"/>
    <w:basedOn w:val="1"/>
    <w:qFormat/>
    <w:uiPriority w:val="1"/>
    <w:pPr>
      <w:ind w:left="1286" w:hanging="277"/>
    </w:pPr>
    <w:rPr>
      <w:rFonts w:ascii="宋体" w:hAnsi="宋体" w:eastAsia="宋体" w:cs="宋体"/>
      <w:lang w:val="en-US" w:eastAsia="zh-CN" w:bidi="ar-SA"/>
    </w:rPr>
  </w:style>
  <w:style w:type="character" w:customStyle="1" w:styleId="147">
    <w:name w:val="无编号标题2 Char"/>
    <w:link w:val="112"/>
    <w:qFormat/>
    <w:uiPriority w:val="0"/>
    <w:rPr>
      <w:rFonts w:ascii="Times New Roman" w:hAnsi="Times New Roman" w:eastAsia="宋体"/>
      <w:sz w:val="24"/>
    </w:rPr>
  </w:style>
  <w:style w:type="paragraph" w:customStyle="1" w:styleId="148">
    <w:name w:val="7表格(治)"/>
    <w:qFormat/>
    <w:uiPriority w:val="0"/>
    <w:pPr>
      <w:jc w:val="center"/>
    </w:pPr>
    <w:rPr>
      <w:rFonts w:ascii="Times New Roman" w:hAnsi="Times New Roman" w:eastAsia="宋体" w:cs="Times New Roman"/>
      <w:sz w:val="21"/>
      <w:lang w:val="en-US" w:eastAsia="zh-CN" w:bidi="ar-SA"/>
    </w:rPr>
  </w:style>
  <w:style w:type="paragraph" w:customStyle="1" w:styleId="149">
    <w:name w:val="5段落"/>
    <w:basedOn w:val="1"/>
    <w:qFormat/>
    <w:uiPriority w:val="0"/>
    <w:pPr>
      <w:spacing w:line="360" w:lineRule="auto"/>
      <w:ind w:firstLine="200" w:firstLineChars="200"/>
    </w:pPr>
    <w:rPr>
      <w:szCs w:val="28"/>
    </w:rPr>
  </w:style>
  <w:style w:type="paragraph" w:customStyle="1" w:styleId="150">
    <w:name w:val="环评 表格"/>
    <w:basedOn w:val="151"/>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51">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52">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153">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154">
    <w:name w:val="表格的字"/>
    <w:basedOn w:val="155"/>
    <w:next w:val="1"/>
    <w:qFormat/>
    <w:uiPriority w:val="0"/>
    <w:pPr>
      <w:jc w:val="center"/>
    </w:pPr>
    <w:rPr>
      <w:szCs w:val="21"/>
      <w:lang w:val="en-US" w:eastAsia="zh-CN" w:bidi="ar-SA"/>
    </w:rPr>
  </w:style>
  <w:style w:type="paragraph" w:customStyle="1" w:styleId="155">
    <w:name w:val="项目基本情况的字"/>
    <w:basedOn w:val="1"/>
    <w:qFormat/>
    <w:uiPriority w:val="0"/>
    <w:pPr>
      <w:jc w:val="center"/>
    </w:pPr>
    <w:rPr>
      <w:rFonts w:cs="宋体"/>
    </w:rPr>
  </w:style>
  <w:style w:type="paragraph" w:customStyle="1" w:styleId="156">
    <w:name w:val="个人表格"/>
    <w:basedOn w:val="1"/>
    <w:next w:val="1"/>
    <w:qFormat/>
    <w:uiPriority w:val="0"/>
    <w:pPr>
      <w:spacing w:before="120" w:beforeLines="0" w:after="120" w:afterLines="0"/>
      <w:jc w:val="center"/>
    </w:pPr>
    <w:rPr>
      <w:rFonts w:ascii="Times New Roman" w:hAnsi="Times New Roman" w:cs="Times New Roman"/>
      <w:szCs w:val="21"/>
    </w:rPr>
  </w:style>
  <w:style w:type="paragraph" w:customStyle="1" w:styleId="157">
    <w:name w:val="zhang正文"/>
    <w:basedOn w:val="17"/>
    <w:next w:val="1"/>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158">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159">
    <w:name w:val="正文1"/>
    <w:basedOn w:val="17"/>
    <w:qFormat/>
    <w:uiPriority w:val="0"/>
    <w:pPr>
      <w:ind w:firstLine="200" w:firstLineChars="200"/>
    </w:pPr>
    <w:rPr>
      <w:rFonts w:eastAsia="宋体" w:cs="宋体"/>
      <w:sz w:val="24"/>
    </w:rPr>
  </w:style>
  <w:style w:type="paragraph" w:customStyle="1" w:styleId="160">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161">
    <w:name w:val="6表格"/>
    <w:basedOn w:val="1"/>
    <w:qFormat/>
    <w:uiPriority w:val="0"/>
    <w:pPr>
      <w:jc w:val="center"/>
    </w:pPr>
  </w:style>
  <w:style w:type="paragraph" w:customStyle="1" w:styleId="162">
    <w:name w:val="正文（无网格）"/>
    <w:basedOn w:val="1"/>
    <w:qFormat/>
    <w:uiPriority w:val="0"/>
    <w:pPr>
      <w:adjustRightInd w:val="0"/>
      <w:snapToGrid w:val="0"/>
      <w:spacing w:line="360" w:lineRule="auto"/>
      <w:ind w:firstLine="48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microsoft.com/office/2006/relationships/keyMapCustomizations" Target="customizations.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wmf"/><Relationship Id="rId32" Type="http://schemas.openxmlformats.org/officeDocument/2006/relationships/oleObject" Target="embeddings/oleObject5.bin"/><Relationship Id="rId31" Type="http://schemas.openxmlformats.org/officeDocument/2006/relationships/image" Target="media/image18.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oleObject" Target="embeddings/oleObject3.bin"/><Relationship Id="rId27" Type="http://schemas.openxmlformats.org/officeDocument/2006/relationships/image" Target="media/image16.wmf"/><Relationship Id="rId26" Type="http://schemas.openxmlformats.org/officeDocument/2006/relationships/oleObject" Target="embeddings/oleObject2.bin"/><Relationship Id="rId25" Type="http://schemas.openxmlformats.org/officeDocument/2006/relationships/image" Target="media/image15.wmf"/><Relationship Id="rId24" Type="http://schemas.openxmlformats.org/officeDocument/2006/relationships/oleObject" Target="embeddings/oleObject1.bin"/><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kwNTMzNzAxMDcwIiwKCSJHcm91cElkIiA6ICIxMTIxNzI2MjI1IiwKCSJJbWFnZSIgOiAiaVZCT1J3MEtHZ29BQUFBTlNVaEVVZ0FBQldZQUFBYWRDQVlBQUFCVURaVEFBQUFBQVhOU1IwSUFyczRjNlFBQUlBQkpSRUZVZUp6czNYbDhWT1gxeC9IdnVUTlpXRVZBeExWQnd5S1FaR1p3dDI1WXBlNzZjME4rVmV1Q08yckZuMHZkTjFRVUxZcExxVzNCcWxXTFdCV1F1aFFSS3lJbW1TU3NRakZRRUJDRnNJY2tjNS9mSDVta0FiSUJTU2FSei92MTRwVTc5ejczZWM0Z1hwTERtZk5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Nm9uL0R6Sll5MDZvVXhZZkFBQUFBRWxGVGtTdVFtQ0MiLAoJIlRoZW1lIiA6ICIiLAoJIlR5cGUiIDogImZsb3ciLAoJIlVzZXJJZCIgOiAiMTA1NDEyODczNyIsCgkiVmVyc2lvbiIgOiAiNjkiCn0K"/>
    </extobj>
    <extobj name="ECB019B1-382A-4266-B25C-5B523AA43C14-2">
      <extobjdata type="ECB019B1-382A-4266-B25C-5B523AA43C14" data="ewoJIkZpbGVJZCIgOiAiNDkwMzg1NDMzNDEyIiwKCSJHcm91cElkIiA6ICIxMTIxNzI2MjI1IiwKCSJJbWFnZSIgOiAiaVZCT1J3MEtHZ29BQUFBTlNVaEVVZ0FBQkJjQUFBVmxDQVlBQUFCRUlTUlBBQUFBQVhOU1IwSUFyczRjNlFBQUlBQkpSRUZVZUp6czNYdDh6dlgveC9IbmRkaHNkc0FZYzE0WWltUU9VZC8wTFRvcVg0ZVVvaStKUXVtYmtBNWZsWi9vSkNXaEloMG9sWklJS1NuSER1WTRNbU9ZODJIRHpHelh0dXU2UHI4LzJxN3ZadWRkMTNaaGovdnR0dHZYOVhtL1A1L1A2OXJIMTZmcmViMC83N2N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RXYwL2d6U1NTM1ltQW00QUFBQUFTVVZPUks1Q1lJST0iLAoJIlRoZW1lIiA6ICIiLAoJIlR5cGUiIDogImZsb3ciLAoJIlVzZXJJZCIgOiAiMTA1NDEyODczNyIsCgkiVmVyc2lvbiIgOiAiIgp9Cg=="/>
    </extobj>
    <extobj name="ECB019B1-382A-4266-B25C-5B523AA43C14-3">
      <extobjdata type="ECB019B1-382A-4266-B25C-5B523AA43C14" data="ewoJIkZpbGVJZCIgOiAiNDkwMzc0MjUyNzMwIiwKCSJHcm91cElkIiA6ICIxMTIxNzI2MjI1IiwKCSJJbWFnZSIgOiAiaVZCT1J3MEtHZ29BQUFBTlNVaEVVZ0FBQXhvQUFBUGZDQVlBQUFCQVpiOVZBQUFBQVhOU1IwSUFyczRjNlFBQUlBQkpSRUZVZUp6czNYbWNqWFgveC9IM2RlYk1ZZ3hqbVRLMmJJMlFHRnUySkVvM3VsTzBhZmxWVkVvaUNTV0VXeXEzU0l0UWtpS0pRaXBLSkxjMUU4WnVpb3g5SGNQTW1QV2NjLzMrTU9jMHg1elpPSnlaOFhvK0hoNlBNOWYzZTMydnp6WGQ5elhuYzMwM0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0hSTU5JaUlpSWlLU25XRHRBSWdLYTlPbVRRdUZRdkdVdGVPZ1I1dE9wL01SQk9GZGhVS2hFRVh4Q0lETjFvNkpuaGh4eWNuSit5SWpJM09zSFFnUmtUVXgwYUJLcFczYnRnMEVRZmhURUlRVzFvNkZIbTJpS0FJQUJJRWZjMVRoY25RNjNhd0xGeTU4WSsxQWlJaXNTV250QUlnS2NRUGdKSXFpVGhDRUd3Q1NyUjBRUGJKc0FYZ0JzQmRGOFk0Z0NHbldEb2dlZjZJb3RoSUV3VW1oVUxoYk94WWlJbXRqb2tHVmtpQUlhcDFPdDFTdFZ2OXQ3VmpvMFpXYm0rc3NDSUtkUXFGSVZTcVZXbXZIUTQ4L0J3ZUgvUUJhV2pzT0lxTEtnSWtHVldZcDRlSGg5NndkQkJHUnBkcTFhNmZoY2owaW9uenNPa1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a1kvOFBiWnZCWmZZbkNuVUFBQUFBU1VWT1JLNUNZSUk9IiwKCSJUaGVtZSIgOiAiIiwKCSJUeXBlIiA6ICJmbG93IiwKCSJVc2VySWQiIDogIjEwNTQxMjg3MzciLAoJIlZlcnNpb24iIDogIjMyIgp9Cg=="/>
    </extobj>
    <extobj name="ECB019B1-382A-4266-B25C-5B523AA43C14-4">
      <extobjdata type="ECB019B1-382A-4266-B25C-5B523AA43C14" data="ewoJIkZpbGVJZCIgOiAiNDkwMzYzMDI0NTE2IiwKCSJHcm91cElkIiA6ICIxMTIxNzI2MjI1IiwKCSJJbWFnZSIgOiAiaVZCT1J3MEtHZ29BQUFBTlNVaEVVZ0FBQks0QUFBUEtDQVlBQUFDOVdCSzlBQUFBQVhOU1IwSUFyczRjNlFBQUlBQkpSRUZVZUp6czNYZDBWTlhleHZGblp0SkpJUFFXTUFRUTZRUkJLYUlFQVJIa3BWcTRJbGNCcjBpUklvaUlDSUpLdDZDb0ZKRW1DQ0pYVUVDYW9DQlZtblJDQ2RWUTAvdGt6dnVIeWR5RVRDcGdCdkw5ck1VaWMvWSsrL3htWEN0SG50bG5id2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mY0RDZYc3ZuTlhuaW44QUFBQUFTVVZPUks1Q1lJST0iLAoJIlRoZW1lIiA6ICIiLAoJIlR5cGUiIDogImZsb3ciLAoJIlVzZXJJZCIgOiAiMTA1NDEyODczNyIsCgkiVmVyc2lvbiIgOiAiMzk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福建省闽创环保科技有限公司</Company>
  <Pages>121</Pages>
  <Words>71009</Words>
  <Characters>83602</Characters>
  <Lines>1</Lines>
  <Paragraphs>1</Paragraphs>
  <TotalTime>11</TotalTime>
  <ScaleCrop>false</ScaleCrop>
  <LinksUpToDate>false</LinksUpToDate>
  <CharactersWithSpaces>83821</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2021-09-17T07:05:00Z</dcterms:created>
  <dc:creator>龚锐</dc:creator>
  <cp:lastModifiedBy>admin</cp:lastModifiedBy>
  <cp:lastPrinted>2026-03-04T08:11:00Z</cp:lastPrinted>
  <dcterms:modified xsi:type="dcterms:W3CDTF">2026-03-19T05:42:09Z</dcterms:modified>
  <dc:title>年产25万平方米单双面及多层印制电路板项目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BF25E7C2E8254BFEA7D01429BB77BC51_13</vt:lpwstr>
  </property>
  <property fmtid="{D5CDD505-2E9C-101B-9397-08002B2CF9AE}" pid="4" name="KSOTemplateDocerSaveRecord">
    <vt:lpwstr>eyJoZGlkIjoiODIxOTQwYmRmYmY3YWI0ZmJiMDI1ZTBkNDIyN2Q3YzgiLCJ1c2VySWQiOiIxMDU0MTI4NzM3In0=</vt:lpwstr>
  </property>
</Properties>
</file>