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D9FA5">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r>
        <w:rPr>
          <w:rFonts w:hint="eastAsia" w:ascii="Times New Roman" w:hAnsi="Times New Roman" w:eastAsia="宋体" w:cs="Times New Roman"/>
          <w:color w:val="auto"/>
          <w:sz w:val="36"/>
          <w:szCs w:val="36"/>
          <w:highlight w:val="none"/>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72390</wp:posOffset>
            </wp:positionV>
            <wp:extent cx="5744210" cy="8122285"/>
            <wp:effectExtent l="0" t="0" r="8890" b="12065"/>
            <wp:wrapNone/>
            <wp:docPr id="63" name="图片 63" descr="环评签字材料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环评签字材料_01"/>
                    <pic:cNvPicPr>
                      <a:picLocks noChangeAspect="1"/>
                    </pic:cNvPicPr>
                  </pic:nvPicPr>
                  <pic:blipFill>
                    <a:blip r:embed="rId8"/>
                    <a:stretch>
                      <a:fillRect/>
                    </a:stretch>
                  </pic:blipFill>
                  <pic:spPr>
                    <a:xfrm>
                      <a:off x="0" y="0"/>
                      <a:ext cx="5744210" cy="8122285"/>
                    </a:xfrm>
                    <a:prstGeom prst="rect">
                      <a:avLst/>
                    </a:prstGeom>
                  </pic:spPr>
                </pic:pic>
              </a:graphicData>
            </a:graphic>
          </wp:anchor>
        </w:drawing>
      </w:r>
    </w:p>
    <w:p w14:paraId="5022E62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29571"/>
      <w:bookmarkStart w:id="1" w:name="_Toc23611"/>
      <w:bookmarkStart w:id="2" w:name="_Toc9163"/>
      <w:bookmarkStart w:id="3" w:name="_Toc14623"/>
      <w:bookmarkStart w:id="4" w:name="_Toc13859"/>
      <w:bookmarkStart w:id="5" w:name="_Toc2526"/>
      <w:bookmarkStart w:id="6" w:name="_Toc17132"/>
      <w:bookmarkStart w:id="7" w:name="_Toc15153"/>
      <w:bookmarkStart w:id="8" w:name="_Toc19841"/>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5D7FC04">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656963C2">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BAF7017">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EF449B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E1DA220">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FC5B291">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6C95F58E">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289DC7A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7DEBCD3">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523AB0E9">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cs="宋体"/>
          <w:color w:val="auto"/>
          <w:sz w:val="36"/>
          <w:szCs w:val="36"/>
          <w:u w:val="single"/>
          <w:lang w:eastAsia="zh-CN"/>
        </w:rPr>
        <w:t>福州塑联永拓新材料科技有限公司年加工塑料包装膜4100吨、塑料包装袋1700吨项目</w:t>
      </w:r>
      <w:r>
        <w:rPr>
          <w:rFonts w:hint="eastAsia" w:cs="Times New Roman"/>
          <w:color w:val="auto"/>
          <w:sz w:val="36"/>
          <w:szCs w:val="36"/>
          <w:highlight w:val="none"/>
          <w:u w:val="single"/>
          <w:lang w:val="en-US" w:eastAsia="zh-CN"/>
        </w:rPr>
        <w:t xml:space="preserve">     </w:t>
      </w:r>
    </w:p>
    <w:p w14:paraId="443BC1AE">
      <w:pPr>
        <w:keepNext w:val="0"/>
        <w:keepLines w:val="0"/>
        <w:pageBreakBefore w:val="0"/>
        <w:widowControl w:val="0"/>
        <w:kinsoku/>
        <w:wordWrap/>
        <w:overflowPunct/>
        <w:topLinePunct w:val="0"/>
        <w:autoSpaceDE/>
        <w:autoSpaceDN/>
        <w:bidi w:val="0"/>
        <w:adjustRightInd w:val="0"/>
        <w:snapToGrid w:val="0"/>
        <w:spacing w:line="288" w:lineRule="auto"/>
        <w:ind w:left="359" w:leftChars="171" w:firstLine="0" w:firstLineChars="0"/>
        <w:jc w:val="left"/>
        <w:textAlignment w:val="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建设单位（盖章）：</w:t>
      </w:r>
      <w:r>
        <w:rPr>
          <w:rFonts w:hint="eastAsia" w:ascii="宋体" w:hAnsi="宋体" w:cs="宋体"/>
          <w:color w:val="auto"/>
          <w:sz w:val="36"/>
          <w:szCs w:val="36"/>
          <w:u w:val="single"/>
          <w:lang w:eastAsia="zh-CN"/>
        </w:rPr>
        <w:t>福州塑联永拓新材料科技有限公司</w:t>
      </w: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202</w:t>
      </w:r>
      <w:r>
        <w:rPr>
          <w:rFonts w:hint="eastAsia" w:cs="Times New Roman"/>
          <w:color w:val="auto"/>
          <w:sz w:val="36"/>
          <w:szCs w:val="36"/>
          <w:highlight w:val="none"/>
          <w:u w:val="single"/>
          <w:lang w:val="en-US" w:eastAsia="zh-CN"/>
        </w:rPr>
        <w:t>6</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1</w:t>
      </w:r>
      <w:r>
        <w:rPr>
          <w:rFonts w:hint="default" w:ascii="Times New Roman" w:hAnsi="Times New Roman" w:eastAsia="宋体" w:cs="Times New Roman"/>
          <w:color w:val="auto"/>
          <w:sz w:val="36"/>
          <w:szCs w:val="36"/>
          <w:highlight w:val="none"/>
          <w:u w:val="single"/>
          <w:lang w:val="en-US" w:eastAsia="zh-CN"/>
        </w:rPr>
        <w:t>月</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p>
    <w:p w14:paraId="293F3CA4">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5EE4E799">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7175567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36"/>
          <w:szCs w:val="36"/>
          <w:highlight w:val="none"/>
        </w:rPr>
      </w:pPr>
    </w:p>
    <w:p w14:paraId="075D2745">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54971949">
      <w:pPr>
        <w:pStyle w:val="16"/>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0FE73F4E">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3"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bookmarkStart w:id="9" w:name="_Toc31786"/>
      <w:bookmarkStart w:id="10" w:name="_Toc9208"/>
      <w:bookmarkStart w:id="11" w:name="_Toc29265"/>
    </w:p>
    <w:p w14:paraId="72CFB1CF">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r>
        <w:rPr>
          <w:rFonts w:hint="default" w:ascii="Times New Roman" w:hAnsi="Times New Roman" w:eastAsia="黑体" w:cs="Times New Roman"/>
          <w:snapToGrid w:val="0"/>
          <w:color w:val="auto"/>
          <w:sz w:val="30"/>
          <w:szCs w:val="30"/>
          <w:u w:val="none"/>
          <w:lang w:val="en-US" w:eastAsia="zh-CN"/>
        </w:rPr>
        <w:t>一、建设项目基本情况</w:t>
      </w:r>
      <w:bookmarkEnd w:id="9"/>
      <w:bookmarkEnd w:id="10"/>
      <w:bookmarkEnd w:id="11"/>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90"/>
        <w:gridCol w:w="1121"/>
        <w:gridCol w:w="2398"/>
        <w:gridCol w:w="1414"/>
        <w:gridCol w:w="480"/>
        <w:gridCol w:w="2893"/>
      </w:tblGrid>
      <w:tr w14:paraId="2FDB7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1050" w:type="pct"/>
            <w:gridSpan w:val="2"/>
            <w:noWrap w:val="0"/>
            <w:tcMar>
              <w:top w:w="16" w:type="dxa"/>
              <w:left w:w="16" w:type="dxa"/>
              <w:right w:w="16" w:type="dxa"/>
            </w:tcMar>
            <w:vAlign w:val="center"/>
          </w:tcPr>
          <w:p w14:paraId="6A09E3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3949" w:type="pct"/>
            <w:gridSpan w:val="4"/>
            <w:noWrap w:val="0"/>
            <w:vAlign w:val="center"/>
          </w:tcPr>
          <w:p w14:paraId="058444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rPr>
            </w:pPr>
            <w:r>
              <w:rPr>
                <w:rFonts w:hint="eastAsia" w:cs="Times New Roman"/>
                <w:color w:val="auto"/>
                <w:sz w:val="24"/>
                <w:szCs w:val="24"/>
                <w:u w:val="none"/>
                <w:lang w:eastAsia="zh-CN"/>
              </w:rPr>
              <w:t>福州塑联永拓新材料科技有限公司年加工塑料包装膜4100吨、塑料包装袋1700吨项目</w:t>
            </w:r>
          </w:p>
        </w:tc>
      </w:tr>
      <w:tr w14:paraId="0186D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1050" w:type="pct"/>
            <w:gridSpan w:val="2"/>
            <w:shd w:val="clear" w:color="auto" w:fill="auto"/>
            <w:noWrap w:val="0"/>
            <w:tcMar>
              <w:top w:w="16" w:type="dxa"/>
              <w:left w:w="16" w:type="dxa"/>
              <w:right w:w="16" w:type="dxa"/>
            </w:tcMar>
            <w:vAlign w:val="center"/>
          </w:tcPr>
          <w:p w14:paraId="700F085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项目代码</w:t>
            </w:r>
          </w:p>
        </w:tc>
        <w:tc>
          <w:tcPr>
            <w:tcW w:w="3949" w:type="pct"/>
            <w:gridSpan w:val="4"/>
            <w:shd w:val="clear" w:color="auto" w:fill="auto"/>
            <w:noWrap w:val="0"/>
            <w:vAlign w:val="center"/>
          </w:tcPr>
          <w:p w14:paraId="6083A94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FF0000"/>
                <w:sz w:val="24"/>
                <w:szCs w:val="24"/>
                <w:u w:val="none"/>
                <w:lang w:val="en-US" w:eastAsia="zh-CN"/>
              </w:rPr>
            </w:pPr>
            <w:r>
              <w:rPr>
                <w:rFonts w:hint="eastAsia"/>
                <w:color w:val="auto"/>
                <w:sz w:val="24"/>
                <w:szCs w:val="24"/>
                <w:lang w:val="en-US" w:eastAsia="zh-CN"/>
              </w:rPr>
              <w:t>2603-350181-04-01-749978</w:t>
            </w:r>
          </w:p>
        </w:tc>
      </w:tr>
      <w:tr w14:paraId="25CD4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050" w:type="pct"/>
            <w:gridSpan w:val="2"/>
            <w:shd w:val="clear" w:color="auto" w:fill="auto"/>
            <w:noWrap w:val="0"/>
            <w:tcMar>
              <w:top w:w="16" w:type="dxa"/>
              <w:left w:w="16" w:type="dxa"/>
              <w:right w:w="16" w:type="dxa"/>
            </w:tcMar>
            <w:vAlign w:val="center"/>
          </w:tcPr>
          <w:p w14:paraId="0F3BAFA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建设单位联系人</w:t>
            </w:r>
          </w:p>
        </w:tc>
        <w:tc>
          <w:tcPr>
            <w:tcW w:w="1318" w:type="pct"/>
            <w:shd w:val="clear" w:color="auto" w:fill="auto"/>
            <w:noWrap w:val="0"/>
            <w:vAlign w:val="center"/>
          </w:tcPr>
          <w:p w14:paraId="4C60EBF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FF0000"/>
                <w:sz w:val="24"/>
                <w:szCs w:val="24"/>
                <w:highlight w:val="none"/>
                <w:u w:val="none"/>
                <w:lang w:val="en-US" w:eastAsia="zh-CN"/>
              </w:rPr>
            </w:pPr>
            <w:r>
              <w:rPr>
                <w:rFonts w:hint="default" w:cs="Times New Roman"/>
                <w:color w:val="auto"/>
                <w:sz w:val="24"/>
                <w:szCs w:val="24"/>
                <w:u w:val="none"/>
                <w:lang w:val="en-US" w:eastAsia="zh-CN"/>
              </w:rPr>
              <w:t>林</w:t>
            </w:r>
            <w:r>
              <w:rPr>
                <w:rFonts w:hint="eastAsia" w:cs="Times New Roman"/>
                <w:color w:val="auto"/>
                <w:sz w:val="24"/>
                <w:szCs w:val="24"/>
                <w:u w:val="none"/>
                <w:lang w:val="en-US" w:eastAsia="zh-CN"/>
              </w:rPr>
              <w:t>*</w:t>
            </w:r>
          </w:p>
        </w:tc>
        <w:tc>
          <w:tcPr>
            <w:tcW w:w="1041" w:type="pct"/>
            <w:gridSpan w:val="2"/>
            <w:shd w:val="clear" w:color="auto" w:fill="auto"/>
            <w:noWrap w:val="0"/>
            <w:vAlign w:val="center"/>
          </w:tcPr>
          <w:p w14:paraId="5123E7E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FF0000"/>
                <w:sz w:val="24"/>
                <w:szCs w:val="24"/>
                <w:highlight w:val="none"/>
                <w:u w:val="none"/>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联系方式</w:t>
            </w:r>
          </w:p>
        </w:tc>
        <w:tc>
          <w:tcPr>
            <w:tcW w:w="1589" w:type="pct"/>
            <w:noWrap w:val="0"/>
            <w:vAlign w:val="center"/>
          </w:tcPr>
          <w:p w14:paraId="650B638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135</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329</w:t>
            </w:r>
          </w:p>
        </w:tc>
      </w:tr>
      <w:tr w14:paraId="2449A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1050" w:type="pct"/>
            <w:gridSpan w:val="2"/>
            <w:noWrap w:val="0"/>
            <w:tcMar>
              <w:top w:w="16" w:type="dxa"/>
              <w:left w:w="16" w:type="dxa"/>
              <w:right w:w="16" w:type="dxa"/>
            </w:tcMar>
            <w:vAlign w:val="center"/>
          </w:tcPr>
          <w:p w14:paraId="6553CEE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3949" w:type="pct"/>
            <w:gridSpan w:val="4"/>
            <w:noWrap w:val="0"/>
            <w:vAlign w:val="center"/>
          </w:tcPr>
          <w:p w14:paraId="4902921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rPr>
            </w:pPr>
            <w:r>
              <w:rPr>
                <w:rFonts w:hint="eastAsia" w:cs="Times New Roman"/>
                <w:color w:val="auto"/>
                <w:sz w:val="24"/>
                <w:szCs w:val="24"/>
                <w:u w:val="none"/>
                <w:lang w:val="en-US" w:eastAsia="zh-CN"/>
              </w:rPr>
              <w:t>福清融侨经济技术开发区（</w:t>
            </w:r>
            <w:r>
              <w:rPr>
                <w:rFonts w:hint="eastAsia" w:cs="Times New Roman"/>
                <w:color w:val="auto"/>
                <w:sz w:val="24"/>
                <w:szCs w:val="24"/>
                <w:highlight w:val="none"/>
                <w:u w:val="none"/>
                <w:lang w:val="en-US" w:eastAsia="zh-CN"/>
              </w:rPr>
              <w:t>租赁福建融永拓新材料有限公司位于均和云谷·福清科技港的28#、36#厂房）</w:t>
            </w:r>
          </w:p>
        </w:tc>
      </w:tr>
      <w:tr w14:paraId="4755C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5B3FFFB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3949" w:type="pct"/>
            <w:gridSpan w:val="4"/>
            <w:noWrap w:val="0"/>
            <w:vAlign w:val="center"/>
          </w:tcPr>
          <w:p w14:paraId="7C6B7B8C">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sz w:val="24"/>
              </w:rPr>
              <w:t>（</w:t>
            </w:r>
            <w:r>
              <w:rPr>
                <w:sz w:val="24"/>
                <w:u w:val="single"/>
              </w:rPr>
              <w:t>119</w:t>
            </w:r>
            <w:r>
              <w:rPr>
                <w:sz w:val="24"/>
              </w:rPr>
              <w:t>度</w:t>
            </w:r>
            <w:r>
              <w:rPr>
                <w:rFonts w:hint="eastAsia"/>
                <w:sz w:val="24"/>
                <w:u w:val="single"/>
                <w:lang w:val="en-US" w:eastAsia="zh-CN"/>
              </w:rPr>
              <w:t>25</w:t>
            </w:r>
            <w:r>
              <w:rPr>
                <w:sz w:val="24"/>
              </w:rPr>
              <w:t>分</w:t>
            </w:r>
            <w:r>
              <w:rPr>
                <w:rFonts w:hint="eastAsia"/>
                <w:sz w:val="24"/>
                <w:u w:val="single"/>
                <w:lang w:val="en-US" w:eastAsia="zh-CN"/>
              </w:rPr>
              <w:t>41.80</w:t>
            </w:r>
            <w:r>
              <w:rPr>
                <w:sz w:val="24"/>
              </w:rPr>
              <w:t>秒，</w:t>
            </w:r>
            <w:r>
              <w:rPr>
                <w:sz w:val="24"/>
                <w:u w:val="single"/>
              </w:rPr>
              <w:t>2</w:t>
            </w:r>
            <w:r>
              <w:rPr>
                <w:rFonts w:hint="eastAsia"/>
                <w:sz w:val="24"/>
                <w:u w:val="single"/>
              </w:rPr>
              <w:t>5</w:t>
            </w:r>
            <w:r>
              <w:rPr>
                <w:sz w:val="24"/>
              </w:rPr>
              <w:t>度</w:t>
            </w:r>
            <w:r>
              <w:rPr>
                <w:rFonts w:hint="eastAsia"/>
                <w:sz w:val="24"/>
                <w:u w:val="single"/>
                <w:lang w:val="en-US" w:eastAsia="zh-CN"/>
              </w:rPr>
              <w:t>46</w:t>
            </w:r>
            <w:r>
              <w:rPr>
                <w:sz w:val="24"/>
              </w:rPr>
              <w:t>分</w:t>
            </w:r>
            <w:r>
              <w:rPr>
                <w:rFonts w:hint="eastAsia"/>
                <w:sz w:val="24"/>
                <w:u w:val="single"/>
                <w:lang w:val="en-US" w:eastAsia="zh-CN"/>
              </w:rPr>
              <w:t>4.71</w:t>
            </w:r>
            <w:r>
              <w:rPr>
                <w:sz w:val="24"/>
              </w:rPr>
              <w:t>秒）</w:t>
            </w:r>
          </w:p>
          <w:p w14:paraId="07B0CC60">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highlight w:val="none"/>
                <w:u w:val="none"/>
                <w:lang w:eastAsia="zh-CN"/>
              </w:rPr>
              <w:t>地理位置图详见附图</w:t>
            </w:r>
            <w:r>
              <w:rPr>
                <w:rFonts w:hint="eastAsia" w:cs="Times New Roman"/>
                <w:color w:val="auto"/>
                <w:sz w:val="24"/>
                <w:szCs w:val="24"/>
                <w:highlight w:val="none"/>
                <w:u w:val="none"/>
                <w:lang w:val="en-US" w:eastAsia="zh-CN"/>
              </w:rPr>
              <w:t>一</w:t>
            </w:r>
          </w:p>
        </w:tc>
      </w:tr>
      <w:tr w14:paraId="6F4CD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50" w:type="pct"/>
            <w:gridSpan w:val="2"/>
            <w:noWrap w:val="0"/>
            <w:tcMar>
              <w:top w:w="16" w:type="dxa"/>
              <w:left w:w="16" w:type="dxa"/>
              <w:right w:w="16" w:type="dxa"/>
            </w:tcMar>
            <w:vAlign w:val="center"/>
          </w:tcPr>
          <w:p w14:paraId="368E091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41E9A01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318" w:type="pct"/>
            <w:noWrap w:val="0"/>
            <w:vAlign w:val="center"/>
          </w:tcPr>
          <w:p w14:paraId="1098BC77">
            <w:pPr>
              <w:widowControl/>
              <w:spacing w:line="240" w:lineRule="auto"/>
              <w:jc w:val="both"/>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C2921</w:t>
            </w:r>
            <w:r>
              <w:rPr>
                <w:rFonts w:hint="default" w:ascii="Times New Roman" w:hAnsi="Times New Roman" w:eastAsia="宋体" w:cs="Times New Roman"/>
                <w:color w:val="000000"/>
                <w:sz w:val="24"/>
                <w:szCs w:val="24"/>
                <w:lang w:val="en-US" w:eastAsia="zh-CN"/>
              </w:rPr>
              <w:t>塑料</w:t>
            </w:r>
            <w:r>
              <w:rPr>
                <w:rFonts w:hint="eastAsia" w:ascii="Times New Roman" w:hAnsi="Times New Roman" w:eastAsia="宋体" w:cs="Times New Roman"/>
                <w:color w:val="000000"/>
                <w:sz w:val="24"/>
                <w:szCs w:val="24"/>
                <w:lang w:val="en-US" w:eastAsia="zh-CN"/>
              </w:rPr>
              <w:t>薄膜</w:t>
            </w:r>
            <w:r>
              <w:rPr>
                <w:rFonts w:hint="default" w:ascii="Times New Roman" w:hAnsi="Times New Roman" w:eastAsia="宋体" w:cs="Times New Roman"/>
                <w:color w:val="000000"/>
                <w:sz w:val="24"/>
                <w:szCs w:val="24"/>
                <w:lang w:val="en-US" w:eastAsia="zh-CN"/>
              </w:rPr>
              <w:t>制造</w:t>
            </w:r>
            <w:r>
              <w:rPr>
                <w:rFonts w:hint="eastAsia" w:cs="Times New Roman"/>
                <w:color w:val="000000"/>
                <w:sz w:val="24"/>
                <w:szCs w:val="24"/>
                <w:lang w:val="en-US" w:eastAsia="zh-CN"/>
              </w:rPr>
              <w:t>；C2319包装装潢及其他印刷</w:t>
            </w:r>
          </w:p>
          <w:p w14:paraId="66BAC34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lang w:val="en-US"/>
              </w:rPr>
            </w:pPr>
          </w:p>
        </w:tc>
        <w:tc>
          <w:tcPr>
            <w:tcW w:w="777" w:type="pct"/>
            <w:noWrap w:val="0"/>
            <w:vAlign w:val="center"/>
          </w:tcPr>
          <w:p w14:paraId="4520CC0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7BA7B33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852" w:type="pct"/>
            <w:gridSpan w:val="2"/>
            <w:noWrap w:val="0"/>
            <w:vAlign w:val="center"/>
          </w:tcPr>
          <w:p w14:paraId="24D7EFE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cs="Times New Roman"/>
                <w:color w:val="000000"/>
                <w:sz w:val="24"/>
                <w:lang w:val="en-US" w:eastAsia="zh-CN"/>
              </w:rPr>
            </w:pPr>
            <w:r>
              <w:rPr>
                <w:rFonts w:hint="eastAsia" w:ascii="Times New Roman" w:hAnsi="Times New Roman" w:eastAsia="宋体" w:cs="Times New Roman"/>
                <w:color w:val="000000"/>
                <w:sz w:val="24"/>
                <w:lang w:val="en-US" w:eastAsia="zh-CN"/>
              </w:rPr>
              <w:t>二十六、橡胶和塑料制品业29 其他（年用非溶剂型低VOCs含量涂料10吨以下的除外）</w:t>
            </w:r>
            <w:r>
              <w:rPr>
                <w:rFonts w:hint="eastAsia" w:cs="Times New Roman"/>
                <w:color w:val="000000"/>
                <w:sz w:val="24"/>
                <w:lang w:val="en-US" w:eastAsia="zh-CN"/>
              </w:rPr>
              <w:t>；</w:t>
            </w:r>
          </w:p>
          <w:p w14:paraId="7FEB6E5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000000"/>
                <w:kern w:val="0"/>
                <w:sz w:val="24"/>
                <w:szCs w:val="20"/>
                <w:lang w:val="en-US" w:eastAsia="zh-CN" w:bidi="ar-SA"/>
              </w:rPr>
              <w:t>二十、印刷和记录媒介复制业23-39印刷231</w:t>
            </w:r>
            <w:r>
              <w:rPr>
                <w:rFonts w:hint="eastAsia" w:ascii="Times New Roman" w:hAnsi="Times New Roman" w:eastAsia="宋体" w:cs="Times New Roman"/>
                <w:color w:val="000000"/>
                <w:kern w:val="0"/>
                <w:sz w:val="24"/>
                <w:szCs w:val="20"/>
                <w:lang w:val="en-US" w:eastAsia="zh-CN" w:bidi="ar-SA"/>
              </w:rPr>
              <w:t xml:space="preserve"> </w:t>
            </w:r>
            <w:r>
              <w:rPr>
                <w:rFonts w:hint="default" w:ascii="Times New Roman" w:hAnsi="Times New Roman" w:eastAsia="宋体" w:cs="Times New Roman"/>
                <w:color w:val="000000"/>
                <w:kern w:val="0"/>
                <w:sz w:val="24"/>
                <w:szCs w:val="20"/>
                <w:lang w:val="en-US" w:eastAsia="zh-CN" w:bidi="ar-SA"/>
              </w:rPr>
              <w:t>其他（激光印刷除外；年用低VOCs含量油墨10吨以下的印刷除外</w:t>
            </w:r>
            <w:r>
              <w:rPr>
                <w:rFonts w:hint="eastAsia" w:ascii="Times New Roman" w:hAnsi="Times New Roman" w:eastAsia="宋体" w:cs="Times New Roman"/>
                <w:color w:val="000000"/>
                <w:kern w:val="0"/>
                <w:sz w:val="24"/>
                <w:szCs w:val="20"/>
                <w:lang w:val="en-US" w:eastAsia="zh-CN" w:bidi="ar-SA"/>
              </w:rPr>
              <w:t>）</w:t>
            </w:r>
          </w:p>
        </w:tc>
      </w:tr>
      <w:tr w14:paraId="4C91E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50" w:type="pct"/>
            <w:gridSpan w:val="2"/>
            <w:noWrap w:val="0"/>
            <w:tcMar>
              <w:top w:w="16" w:type="dxa"/>
              <w:left w:w="16" w:type="dxa"/>
              <w:right w:w="16" w:type="dxa"/>
            </w:tcMar>
            <w:vAlign w:val="center"/>
          </w:tcPr>
          <w:p w14:paraId="6810F6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318" w:type="pct"/>
            <w:noWrap w:val="0"/>
            <w:vAlign w:val="center"/>
          </w:tcPr>
          <w:p w14:paraId="0872F43F">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新建（迁建）</w:t>
            </w:r>
          </w:p>
          <w:p w14:paraId="1CD1B56A">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改建</w:t>
            </w:r>
          </w:p>
          <w:p w14:paraId="05FA07A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扩建</w:t>
            </w:r>
          </w:p>
          <w:p w14:paraId="1B78F16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技术改造</w:t>
            </w:r>
          </w:p>
        </w:tc>
        <w:tc>
          <w:tcPr>
            <w:tcW w:w="777" w:type="pct"/>
            <w:noWrap w:val="0"/>
            <w:vAlign w:val="center"/>
          </w:tcPr>
          <w:p w14:paraId="68D1AF1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32EF88A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申报情形</w:t>
            </w:r>
          </w:p>
        </w:tc>
        <w:tc>
          <w:tcPr>
            <w:tcW w:w="1852" w:type="pct"/>
            <w:gridSpan w:val="2"/>
            <w:noWrap w:val="0"/>
            <w:vAlign w:val="center"/>
          </w:tcPr>
          <w:p w14:paraId="235E1007">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首次申报项目</w:t>
            </w:r>
          </w:p>
          <w:p w14:paraId="2FABE2C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不予批准后再次申报项目</w:t>
            </w:r>
          </w:p>
          <w:p w14:paraId="003A8DF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超五年重新审核项目</w:t>
            </w:r>
          </w:p>
          <w:p w14:paraId="7CA2D39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重大变动重新报批项目</w:t>
            </w:r>
          </w:p>
        </w:tc>
      </w:tr>
      <w:tr w14:paraId="17446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50" w:type="pct"/>
            <w:gridSpan w:val="2"/>
            <w:noWrap w:val="0"/>
            <w:tcMar>
              <w:top w:w="16" w:type="dxa"/>
              <w:left w:w="16" w:type="dxa"/>
              <w:right w:w="16" w:type="dxa"/>
            </w:tcMar>
            <w:vAlign w:val="center"/>
          </w:tcPr>
          <w:p w14:paraId="4FED4DA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19437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318" w:type="pct"/>
            <w:noWrap w:val="0"/>
            <w:vAlign w:val="center"/>
          </w:tcPr>
          <w:p w14:paraId="29F94A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eastAsia" w:cs="Times New Roman"/>
                <w:color w:val="auto"/>
                <w:sz w:val="24"/>
                <w:szCs w:val="24"/>
                <w:u w:val="none"/>
                <w:lang w:val="en-US" w:eastAsia="zh-CN"/>
              </w:rPr>
              <w:t>福清市发展和改革局</w:t>
            </w:r>
          </w:p>
        </w:tc>
        <w:tc>
          <w:tcPr>
            <w:tcW w:w="1041" w:type="pct"/>
            <w:gridSpan w:val="2"/>
            <w:shd w:val="clear" w:color="auto" w:fill="auto"/>
            <w:noWrap w:val="0"/>
            <w:vAlign w:val="center"/>
          </w:tcPr>
          <w:p w14:paraId="69CA6A5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项目审批（核准/</w:t>
            </w:r>
          </w:p>
          <w:p w14:paraId="2E2FBD0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备案）文号（选填）</w:t>
            </w:r>
          </w:p>
        </w:tc>
        <w:tc>
          <w:tcPr>
            <w:tcW w:w="1589" w:type="pct"/>
            <w:shd w:val="clear" w:color="auto" w:fill="auto"/>
            <w:noWrap w:val="0"/>
            <w:vAlign w:val="center"/>
          </w:tcPr>
          <w:p w14:paraId="59AC1A9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eastAsia="zh-CN"/>
                <w14:textFill>
                  <w14:solidFill>
                    <w14:schemeClr w14:val="tx1"/>
                  </w14:solidFill>
                </w14:textFill>
              </w:rPr>
              <w:t>闽发改备［2026］A060061号</w:t>
            </w:r>
          </w:p>
        </w:tc>
      </w:tr>
      <w:tr w14:paraId="039F2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683C29D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总投资（万元）</w:t>
            </w:r>
          </w:p>
        </w:tc>
        <w:tc>
          <w:tcPr>
            <w:tcW w:w="1318" w:type="pct"/>
            <w:noWrap w:val="0"/>
            <w:vAlign w:val="center"/>
          </w:tcPr>
          <w:p w14:paraId="0EDC3F6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120</w:t>
            </w:r>
          </w:p>
        </w:tc>
        <w:tc>
          <w:tcPr>
            <w:tcW w:w="1041" w:type="pct"/>
            <w:gridSpan w:val="2"/>
            <w:noWrap w:val="0"/>
            <w:tcMar>
              <w:top w:w="16" w:type="dxa"/>
              <w:left w:w="16" w:type="dxa"/>
              <w:right w:w="16" w:type="dxa"/>
            </w:tcMar>
            <w:vAlign w:val="center"/>
          </w:tcPr>
          <w:p w14:paraId="45E6775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环保投资（万元）</w:t>
            </w:r>
          </w:p>
        </w:tc>
        <w:tc>
          <w:tcPr>
            <w:tcW w:w="1589" w:type="pct"/>
            <w:noWrap w:val="0"/>
            <w:vAlign w:val="center"/>
          </w:tcPr>
          <w:p w14:paraId="426BA59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20</w:t>
            </w:r>
          </w:p>
        </w:tc>
      </w:tr>
      <w:tr w14:paraId="65E02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1050" w:type="pct"/>
            <w:gridSpan w:val="2"/>
            <w:noWrap w:val="0"/>
            <w:tcMar>
              <w:top w:w="16" w:type="dxa"/>
              <w:left w:w="16" w:type="dxa"/>
              <w:right w:w="16" w:type="dxa"/>
            </w:tcMar>
            <w:vAlign w:val="center"/>
          </w:tcPr>
          <w:p w14:paraId="0C54B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环保投资占比（%）</w:t>
            </w:r>
          </w:p>
        </w:tc>
        <w:tc>
          <w:tcPr>
            <w:tcW w:w="1318" w:type="pct"/>
            <w:noWrap w:val="0"/>
            <w:vAlign w:val="center"/>
          </w:tcPr>
          <w:p w14:paraId="7502742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highlight w:val="none"/>
                <w:u w:val="none"/>
                <w:lang w:val="en-US" w:eastAsia="zh-CN"/>
              </w:rPr>
              <w:t>16.67</w:t>
            </w:r>
            <w:r>
              <w:rPr>
                <w:rFonts w:hint="eastAsia" w:ascii="Times New Roman" w:hAnsi="Times New Roman" w:eastAsia="宋体" w:cs="Times New Roman"/>
                <w:color w:val="auto"/>
                <w:sz w:val="24"/>
                <w:szCs w:val="24"/>
                <w:highlight w:val="none"/>
                <w:u w:val="none"/>
                <w:lang w:val="en-US" w:eastAsia="zh-CN"/>
              </w:rPr>
              <w:t>%</w:t>
            </w:r>
          </w:p>
        </w:tc>
        <w:tc>
          <w:tcPr>
            <w:tcW w:w="1041" w:type="pct"/>
            <w:gridSpan w:val="2"/>
            <w:noWrap w:val="0"/>
            <w:tcMar>
              <w:top w:w="16" w:type="dxa"/>
              <w:left w:w="16" w:type="dxa"/>
              <w:right w:w="16" w:type="dxa"/>
            </w:tcMar>
            <w:vAlign w:val="center"/>
          </w:tcPr>
          <w:p w14:paraId="01C675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施工工期</w:t>
            </w:r>
          </w:p>
        </w:tc>
        <w:tc>
          <w:tcPr>
            <w:tcW w:w="1589" w:type="pct"/>
            <w:noWrap w:val="0"/>
            <w:vAlign w:val="center"/>
          </w:tcPr>
          <w:p w14:paraId="19F6668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12个月</w:t>
            </w:r>
          </w:p>
        </w:tc>
      </w:tr>
      <w:tr w14:paraId="1B531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192EBA3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318" w:type="pct"/>
            <w:noWrap w:val="0"/>
            <w:vAlign w:val="center"/>
          </w:tcPr>
          <w:p w14:paraId="1DA7E0C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104D1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41" w:type="pct"/>
            <w:gridSpan w:val="2"/>
            <w:noWrap w:val="0"/>
            <w:tcMar>
              <w:top w:w="16" w:type="dxa"/>
              <w:left w:w="16" w:type="dxa"/>
              <w:right w:w="16" w:type="dxa"/>
            </w:tcMar>
            <w:vAlign w:val="center"/>
          </w:tcPr>
          <w:p w14:paraId="3E999B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0F03E1F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589" w:type="pct"/>
            <w:noWrap w:val="0"/>
            <w:vAlign w:val="center"/>
          </w:tcPr>
          <w:p w14:paraId="41CCC33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面积</w:t>
            </w:r>
            <w:r>
              <w:rPr>
                <w:rFonts w:hint="eastAsia" w:cs="Times New Roman"/>
                <w:color w:val="auto"/>
                <w:sz w:val="24"/>
                <w:szCs w:val="24"/>
                <w:highlight w:val="none"/>
                <w:u w:val="none"/>
                <w:lang w:val="en-US" w:eastAsia="zh-CN"/>
              </w:rPr>
              <w:t>10602.44</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52362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4" w:type="pct"/>
            <w:noWrap w:val="0"/>
            <w:vAlign w:val="center"/>
          </w:tcPr>
          <w:p w14:paraId="7307D5C2">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65" w:type="pct"/>
            <w:gridSpan w:val="5"/>
            <w:noWrap w:val="0"/>
            <w:vAlign w:val="center"/>
          </w:tcPr>
          <w:p w14:paraId="3F63624E">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w:t>
            </w:r>
            <w:r>
              <w:rPr>
                <w:rFonts w:hint="eastAsia" w:cs="Times New Roman"/>
                <w:color w:val="auto"/>
                <w:kern w:val="0"/>
                <w:sz w:val="24"/>
                <w:szCs w:val="24"/>
                <w:u w:val="none"/>
                <w:lang w:val="en-US" w:eastAsia="zh-CN" w:bidi="ar"/>
              </w:rPr>
              <w:t>.1-1</w:t>
            </w:r>
            <w:r>
              <w:rPr>
                <w:rFonts w:hint="default" w:ascii="Times New Roman" w:hAnsi="Times New Roman" w:eastAsia="宋体" w:cs="Times New Roman"/>
                <w:color w:val="auto"/>
                <w:kern w:val="0"/>
                <w:sz w:val="24"/>
                <w:szCs w:val="24"/>
                <w:u w:val="none"/>
                <w:lang w:val="en-US" w:eastAsia="zh-CN" w:bidi="ar"/>
              </w:rPr>
              <w:t>专项评价设置原则表，具体详见下表：</w:t>
            </w:r>
          </w:p>
          <w:p w14:paraId="375B69DF">
            <w:pPr>
              <w:pStyle w:val="64"/>
              <w:keepNext/>
              <w:keepLines/>
              <w:pageBreakBefore w:val="0"/>
              <w:widowControl w:val="0"/>
              <w:numPr>
                <w:ilvl w:val="7"/>
                <w:numId w:val="2"/>
              </w:numPr>
              <w:tabs>
                <w:tab w:val="left" w:pos="420"/>
                <w:tab w:val="clear" w:pos="4507"/>
              </w:tabs>
              <w:kinsoku/>
              <w:wordWrap/>
              <w:overflowPunct/>
              <w:topLinePunct w:val="0"/>
              <w:autoSpaceDE/>
              <w:autoSpaceDN/>
              <w:bidi w:val="0"/>
              <w:adjustRightInd/>
              <w:snapToGrid/>
              <w:spacing w:before="157" w:beforeLines="50" w:after="0"/>
              <w:ind w:left="630" w:leftChars="0" w:firstLine="0" w:firstLineChars="0"/>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000000" w:themeColor="text1"/>
                <w:spacing w:val="0"/>
                <w:szCs w:val="21"/>
                <w:highlight w:val="none"/>
                <w:lang w:eastAsia="zh-CN"/>
                <w14:textFill>
                  <w14:solidFill>
                    <w14:schemeClr w14:val="tx1"/>
                  </w14:solidFill>
                </w14:textFill>
              </w:rPr>
              <w:t>项目专项评价设置表</w:t>
            </w:r>
          </w:p>
          <w:tbl>
            <w:tblPr>
              <w:tblStyle w:val="25"/>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3491"/>
              <w:gridCol w:w="2381"/>
              <w:gridCol w:w="908"/>
            </w:tblGrid>
            <w:tr w14:paraId="70D9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top w:val="single" w:color="auto" w:sz="12" w:space="0"/>
                    <w:left w:val="nil"/>
                  </w:tcBorders>
                  <w:noWrap w:val="0"/>
                  <w:vAlign w:val="center"/>
                </w:tcPr>
                <w:p w14:paraId="7D3D53C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专项评价的类别</w:t>
                  </w:r>
                </w:p>
              </w:tc>
              <w:tc>
                <w:tcPr>
                  <w:tcW w:w="2191" w:type="pct"/>
                  <w:tcBorders>
                    <w:top w:val="single" w:color="auto" w:sz="12" w:space="0"/>
                  </w:tcBorders>
                  <w:noWrap w:val="0"/>
                  <w:vAlign w:val="center"/>
                </w:tcPr>
                <w:p w14:paraId="4E0E459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设置原则</w:t>
                  </w:r>
                </w:p>
              </w:tc>
              <w:tc>
                <w:tcPr>
                  <w:tcW w:w="1494" w:type="pct"/>
                  <w:tcBorders>
                    <w:top w:val="single" w:color="auto" w:sz="12" w:space="0"/>
                  </w:tcBorders>
                  <w:noWrap w:val="0"/>
                  <w:vAlign w:val="center"/>
                </w:tcPr>
                <w:p w14:paraId="44E0D28D">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本项目情况</w:t>
                  </w:r>
                </w:p>
              </w:tc>
              <w:tc>
                <w:tcPr>
                  <w:tcW w:w="570" w:type="pct"/>
                  <w:tcBorders>
                    <w:top w:val="single" w:color="auto" w:sz="12" w:space="0"/>
                    <w:right w:val="nil"/>
                  </w:tcBorders>
                  <w:noWrap w:val="0"/>
                  <w:vAlign w:val="center"/>
                </w:tcPr>
                <w:p w14:paraId="6F3938B0">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是否设置专项</w:t>
                  </w:r>
                </w:p>
              </w:tc>
            </w:tr>
            <w:tr w14:paraId="59D2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743" w:type="pct"/>
                  <w:tcBorders>
                    <w:left w:val="nil"/>
                  </w:tcBorders>
                  <w:noWrap w:val="0"/>
                  <w:vAlign w:val="center"/>
                </w:tcPr>
                <w:p w14:paraId="4144E3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大气</w:t>
                  </w:r>
                </w:p>
              </w:tc>
              <w:tc>
                <w:tcPr>
                  <w:tcW w:w="2191" w:type="pct"/>
                  <w:noWrap w:val="0"/>
                  <w:vAlign w:val="center"/>
                </w:tcPr>
                <w:p w14:paraId="5DCFC7E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lang w:val="en-US" w:eastAsia="zh-CN"/>
                    </w:rPr>
                    <w:t>排放废气含有毒有害污染物、二噁英、苯并[a]芘、氰化物、氯气且厂界外500米范围内有环境空气保护目标的建设项目。</w:t>
                  </w:r>
                </w:p>
              </w:tc>
              <w:tc>
                <w:tcPr>
                  <w:tcW w:w="1494" w:type="pct"/>
                  <w:noWrap w:val="0"/>
                  <w:vAlign w:val="center"/>
                </w:tcPr>
                <w:p w14:paraId="5A891561">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本项目排放的废气污染物不涉及左列大气污染物。</w:t>
                  </w:r>
                </w:p>
              </w:tc>
              <w:tc>
                <w:tcPr>
                  <w:tcW w:w="570" w:type="pct"/>
                  <w:tcBorders>
                    <w:right w:val="nil"/>
                  </w:tcBorders>
                  <w:noWrap w:val="0"/>
                  <w:vAlign w:val="center"/>
                </w:tcPr>
                <w:p w14:paraId="44CBA15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sz w:val="21"/>
                      <w:szCs w:val="21"/>
                      <w:u w:val="none"/>
                      <w:vertAlign w:val="baseline"/>
                      <w:lang w:eastAsia="zh-CN"/>
                    </w:rPr>
                    <w:t>否</w:t>
                  </w:r>
                </w:p>
              </w:tc>
            </w:tr>
            <w:tr w14:paraId="1160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pct"/>
                  <w:tcBorders>
                    <w:left w:val="nil"/>
                  </w:tcBorders>
                  <w:noWrap w:val="0"/>
                  <w:vAlign w:val="center"/>
                </w:tcPr>
                <w:p w14:paraId="2A39D9E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地表水</w:t>
                  </w:r>
                </w:p>
              </w:tc>
              <w:tc>
                <w:tcPr>
                  <w:tcW w:w="2191" w:type="pct"/>
                  <w:noWrap w:val="0"/>
                  <w:vAlign w:val="center"/>
                </w:tcPr>
                <w:p w14:paraId="3DBA382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新增工业废水直排建设项目（槽罐车外送污水处理厂的除外）；新增废水直排的污水集中处理厂</w:t>
                  </w:r>
                </w:p>
              </w:tc>
              <w:tc>
                <w:tcPr>
                  <w:tcW w:w="1494" w:type="pct"/>
                  <w:noWrap w:val="0"/>
                  <w:vAlign w:val="center"/>
                </w:tcPr>
                <w:p w14:paraId="4FF2C7F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本项目运营期不产生生产废水；</w:t>
                  </w:r>
                  <w:r>
                    <w:rPr>
                      <w:rFonts w:hint="default" w:ascii="Times New Roman" w:hAnsi="Times New Roman" w:eastAsia="宋体" w:cs="Times New Roman"/>
                      <w:color w:val="auto"/>
                      <w:sz w:val="21"/>
                      <w:szCs w:val="21"/>
                      <w:u w:val="none"/>
                      <w:vertAlign w:val="baseline"/>
                      <w:lang w:eastAsia="zh-CN"/>
                    </w:rPr>
                    <w:t>生活污水经化粪池预处理后，排入</w:t>
                  </w:r>
                  <w:r>
                    <w:rPr>
                      <w:rFonts w:hint="default" w:ascii="Times New Roman" w:hAnsi="Times New Roman" w:eastAsia="宋体" w:cs="Times New Roman"/>
                      <w:color w:val="auto"/>
                      <w:sz w:val="21"/>
                      <w:szCs w:val="21"/>
                      <w:highlight w:val="none"/>
                      <w:u w:val="none"/>
                      <w:vertAlign w:val="baseline"/>
                      <w:lang w:eastAsia="zh-CN"/>
                    </w:rPr>
                    <w:t>市政污水管网纳入福清市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p>
              </w:tc>
              <w:tc>
                <w:tcPr>
                  <w:tcW w:w="570" w:type="pct"/>
                  <w:tcBorders>
                    <w:right w:val="nil"/>
                  </w:tcBorders>
                  <w:noWrap w:val="0"/>
                  <w:vAlign w:val="center"/>
                </w:tcPr>
                <w:p w14:paraId="66EA81B8">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5A33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43" w:type="pct"/>
                  <w:tcBorders>
                    <w:left w:val="nil"/>
                  </w:tcBorders>
                  <w:noWrap w:val="0"/>
                  <w:vAlign w:val="center"/>
                </w:tcPr>
                <w:p w14:paraId="6EAFEF4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环境风险</w:t>
                  </w:r>
                </w:p>
              </w:tc>
              <w:tc>
                <w:tcPr>
                  <w:tcW w:w="2191" w:type="pct"/>
                  <w:noWrap w:val="0"/>
                  <w:vAlign w:val="center"/>
                </w:tcPr>
                <w:p w14:paraId="52FE669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有毒有害和易燃易爆危险物质存储量超过临界量的建设项目</w:t>
                  </w:r>
                </w:p>
              </w:tc>
              <w:tc>
                <w:tcPr>
                  <w:tcW w:w="1494" w:type="pct"/>
                  <w:noWrap w:val="0"/>
                  <w:vAlign w:val="center"/>
                </w:tcPr>
                <w:p w14:paraId="001D42A0">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w:t>
                  </w:r>
                  <w:r>
                    <w:rPr>
                      <w:rFonts w:hint="eastAsia" w:cs="Times New Roman"/>
                      <w:color w:val="auto"/>
                      <w:sz w:val="21"/>
                      <w:szCs w:val="21"/>
                      <w:u w:val="none"/>
                      <w:vertAlign w:val="baseline"/>
                      <w:lang w:eastAsia="zh-CN"/>
                    </w:rPr>
                    <w:t>涉及</w:t>
                  </w:r>
                  <w:r>
                    <w:rPr>
                      <w:rFonts w:hint="default" w:ascii="Times New Roman" w:hAnsi="Times New Roman" w:eastAsia="宋体" w:cs="Times New Roman"/>
                      <w:color w:val="auto"/>
                      <w:sz w:val="21"/>
                      <w:szCs w:val="21"/>
                      <w:u w:val="none"/>
                      <w:vertAlign w:val="baseline"/>
                      <w:lang w:eastAsia="zh-CN"/>
                    </w:rPr>
                    <w:t>危险物质为</w:t>
                  </w:r>
                  <w:r>
                    <w:rPr>
                      <w:rFonts w:hint="eastAsia" w:ascii="Times New Roman" w:hAnsi="Times New Roman" w:eastAsia="宋体" w:cs="Times New Roman"/>
                      <w:color w:val="auto"/>
                      <w:sz w:val="21"/>
                      <w:szCs w:val="21"/>
                      <w:u w:val="none"/>
                      <w:vertAlign w:val="baseline"/>
                      <w:lang w:eastAsia="zh-CN"/>
                    </w:rPr>
                    <w:t>油类物质</w:t>
                  </w:r>
                  <w:r>
                    <w:rPr>
                      <w:rFonts w:hint="default" w:ascii="Times New Roman" w:hAnsi="Times New Roman" w:eastAsia="宋体" w:cs="Times New Roman"/>
                      <w:color w:val="auto"/>
                      <w:sz w:val="21"/>
                      <w:szCs w:val="21"/>
                      <w:u w:val="none"/>
                      <w:vertAlign w:val="baseline"/>
                      <w:lang w:eastAsia="zh-CN"/>
                    </w:rPr>
                    <w:t>，储量未超过临界量</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Q＜1。</w:t>
                  </w:r>
                </w:p>
              </w:tc>
              <w:tc>
                <w:tcPr>
                  <w:tcW w:w="570" w:type="pct"/>
                  <w:tcBorders>
                    <w:right w:val="nil"/>
                  </w:tcBorders>
                  <w:noWrap w:val="0"/>
                  <w:vAlign w:val="center"/>
                </w:tcPr>
                <w:p w14:paraId="100EABCD">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7D96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tcBorders>
                  <w:noWrap w:val="0"/>
                  <w:vAlign w:val="center"/>
                </w:tcPr>
                <w:p w14:paraId="0E1BD51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生态</w:t>
                  </w:r>
                </w:p>
              </w:tc>
              <w:tc>
                <w:tcPr>
                  <w:tcW w:w="2191" w:type="pct"/>
                  <w:noWrap w:val="0"/>
                  <w:vAlign w:val="center"/>
                </w:tcPr>
                <w:p w14:paraId="1FEFBB3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取水口下游500米范围内有重要水生生物的自然产卵场、索饵场、越冬场和洄游通道的新增河道取水的污染类建设项目</w:t>
                  </w:r>
                </w:p>
              </w:tc>
              <w:tc>
                <w:tcPr>
                  <w:tcW w:w="1494" w:type="pct"/>
                  <w:noWrap w:val="0"/>
                  <w:vAlign w:val="center"/>
                </w:tcPr>
                <w:p w14:paraId="43AB678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right w:val="nil"/>
                  </w:tcBorders>
                  <w:noWrap w:val="0"/>
                  <w:vAlign w:val="center"/>
                </w:tcPr>
                <w:p w14:paraId="416AB098">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67F6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bottom w:val="single" w:color="auto" w:sz="12" w:space="0"/>
                  </w:tcBorders>
                  <w:noWrap w:val="0"/>
                  <w:vAlign w:val="center"/>
                </w:tcPr>
                <w:p w14:paraId="223A738B">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海洋</w:t>
                  </w:r>
                </w:p>
              </w:tc>
              <w:tc>
                <w:tcPr>
                  <w:tcW w:w="2191" w:type="pct"/>
                  <w:tcBorders>
                    <w:bottom w:val="single" w:color="auto" w:sz="12" w:space="0"/>
                  </w:tcBorders>
                  <w:noWrap w:val="0"/>
                  <w:vAlign w:val="center"/>
                </w:tcPr>
                <w:p w14:paraId="04354604">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直接向海排放污染物的海洋工程建设项目</w:t>
                  </w:r>
                </w:p>
              </w:tc>
              <w:tc>
                <w:tcPr>
                  <w:tcW w:w="1494" w:type="pct"/>
                  <w:tcBorders>
                    <w:bottom w:val="single" w:color="auto" w:sz="12" w:space="0"/>
                  </w:tcBorders>
                  <w:noWrap w:val="0"/>
                  <w:vAlign w:val="center"/>
                </w:tcPr>
                <w:p w14:paraId="5B99DAF2">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bottom w:val="single" w:color="auto" w:sz="12" w:space="0"/>
                    <w:right w:val="nil"/>
                  </w:tcBorders>
                  <w:noWrap w:val="0"/>
                  <w:vAlign w:val="center"/>
                </w:tcPr>
                <w:p w14:paraId="66CABE81">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bl>
          <w:p w14:paraId="74F1473A">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kern w:val="0"/>
                <w:sz w:val="24"/>
                <w:szCs w:val="24"/>
                <w:u w:val="none"/>
                <w:lang w:eastAsia="zh-CN" w:bidi="ar"/>
              </w:rPr>
              <w:t>经判定，本项目</w:t>
            </w:r>
            <w:r>
              <w:rPr>
                <w:rFonts w:hint="eastAsia" w:ascii="Times New Roman" w:hAnsi="Times New Roman" w:eastAsia="宋体" w:cs="Times New Roman"/>
                <w:color w:val="auto"/>
                <w:kern w:val="0"/>
                <w:sz w:val="24"/>
                <w:szCs w:val="24"/>
                <w:u w:val="none"/>
                <w:lang w:eastAsia="zh-CN" w:bidi="ar"/>
              </w:rPr>
              <w:t>无须设置</w:t>
            </w:r>
            <w:r>
              <w:rPr>
                <w:rFonts w:hint="default" w:ascii="Times New Roman" w:hAnsi="Times New Roman" w:eastAsia="宋体" w:cs="Times New Roman"/>
                <w:color w:val="auto"/>
                <w:kern w:val="0"/>
                <w:sz w:val="24"/>
                <w:szCs w:val="24"/>
                <w:u w:val="none"/>
                <w:lang w:eastAsia="zh-CN" w:bidi="ar"/>
              </w:rPr>
              <w:t>专项评价。</w:t>
            </w:r>
          </w:p>
        </w:tc>
      </w:tr>
      <w:tr w14:paraId="08621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4" w:type="pct"/>
            <w:noWrap w:val="0"/>
            <w:vAlign w:val="center"/>
          </w:tcPr>
          <w:p w14:paraId="50E486A0">
            <w:pPr>
              <w:keepLines w:val="0"/>
              <w:pageBreakBefore w:val="0"/>
              <w:wordWrap/>
              <w:topLinePunct w:val="0"/>
              <w:autoSpaceDE w:val="0"/>
              <w:autoSpaceDN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规划情况</w:t>
            </w:r>
          </w:p>
        </w:tc>
        <w:tc>
          <w:tcPr>
            <w:tcW w:w="4565" w:type="pct"/>
            <w:gridSpan w:val="5"/>
            <w:noWrap w:val="0"/>
            <w:vAlign w:val="center"/>
          </w:tcPr>
          <w:p w14:paraId="1911DF5A">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eastAsia="zh-CN"/>
              </w:rPr>
            </w:pPr>
            <w:r>
              <w:rPr>
                <w:rFonts w:hint="eastAsia" w:cs="Times New Roman"/>
                <w:b/>
                <w:bCs/>
                <w:color w:val="auto"/>
                <w:kern w:val="0"/>
                <w:sz w:val="24"/>
                <w:szCs w:val="24"/>
                <w:u w:val="none"/>
                <w:lang w:eastAsia="zh-CN"/>
              </w:rPr>
              <w:t>一、</w:t>
            </w:r>
            <w:r>
              <w:rPr>
                <w:rFonts w:hint="default" w:ascii="Times New Roman" w:hAnsi="Times New Roman" w:eastAsia="宋体" w:cs="Times New Roman"/>
                <w:b/>
                <w:bCs/>
                <w:color w:val="auto"/>
                <w:kern w:val="0"/>
                <w:sz w:val="24"/>
                <w:szCs w:val="24"/>
                <w:u w:val="none"/>
                <w:lang w:val="en-US" w:eastAsia="zh-CN" w:bidi="ar"/>
              </w:rPr>
              <w:t>《福清融侨经济技术开发区总体规划</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2018-2035年</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w:t>
            </w:r>
          </w:p>
          <w:p w14:paraId="7FF9FDE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规划名称：《福清融侨经济技术开发区总体规划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w:t>
            </w:r>
          </w:p>
          <w:p w14:paraId="4D19DA1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②审批机关：福清市人民政府</w:t>
            </w:r>
          </w:p>
          <w:p w14:paraId="6B8DF9BB">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③审批文件名称及文号：《福清市人民政府关于同意融侨经济技术开发区总体规划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编制范围的批复》</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融政综〔2019〕189号</w:t>
            </w:r>
            <w:r>
              <w:rPr>
                <w:rFonts w:hint="eastAsia" w:cs="Times New Roman"/>
                <w:b w:val="0"/>
                <w:color w:val="auto"/>
                <w:kern w:val="0"/>
                <w:sz w:val="24"/>
                <w:szCs w:val="24"/>
                <w:u w:val="none"/>
                <w:lang w:val="en-US" w:eastAsia="zh-CN" w:bidi="ar"/>
              </w:rPr>
              <w:t>）</w:t>
            </w:r>
          </w:p>
          <w:p w14:paraId="7ABA47B9">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二、</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7902F8A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0B1C6F70">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4BAAB201">
            <w:pPr>
              <w:keepLines w:val="0"/>
              <w:pageBreakBefore w:val="0"/>
              <w:widowControl/>
              <w:wordWrap/>
              <w:topLinePunct w:val="0"/>
              <w:autoSpaceDE/>
              <w:autoSpaceDN/>
              <w:bidi w:val="0"/>
              <w:adjustRightInd/>
              <w:snapToGrid/>
              <w:spacing w:line="360" w:lineRule="auto"/>
              <w:ind w:left="0" w:right="0" w:firstLine="0" w:firstLineChars="0"/>
              <w:jc w:val="left"/>
              <w:rPr>
                <w:rFonts w:hint="default"/>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12D11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noWrap w:val="0"/>
            <w:vAlign w:val="center"/>
          </w:tcPr>
          <w:p w14:paraId="7E50365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2B0F0C0E">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65" w:type="pct"/>
            <w:gridSpan w:val="5"/>
            <w:noWrap w:val="0"/>
            <w:vAlign w:val="center"/>
          </w:tcPr>
          <w:p w14:paraId="377D96B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文件名称：福清融侨经济技术开发区总体规划（2018-2035年）环境影响报告书</w:t>
            </w:r>
          </w:p>
          <w:p w14:paraId="3D79FF5B">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②审查机关：</w:t>
            </w:r>
            <w:r>
              <w:rPr>
                <w:rFonts w:hint="eastAsia" w:cs="Times New Roman"/>
                <w:b w:val="0"/>
                <w:color w:val="auto"/>
                <w:kern w:val="0"/>
                <w:sz w:val="24"/>
                <w:szCs w:val="24"/>
                <w:u w:val="none"/>
                <w:lang w:val="en-US" w:eastAsia="zh-CN" w:bidi="ar"/>
              </w:rPr>
              <w:t>中华人民共和国</w:t>
            </w:r>
            <w:r>
              <w:rPr>
                <w:rFonts w:hint="default" w:ascii="Times New Roman" w:hAnsi="Times New Roman" w:eastAsia="宋体" w:cs="Times New Roman"/>
                <w:b w:val="0"/>
                <w:color w:val="auto"/>
                <w:kern w:val="0"/>
                <w:sz w:val="24"/>
                <w:szCs w:val="24"/>
                <w:u w:val="none"/>
                <w:lang w:val="en-US" w:eastAsia="zh-CN" w:bidi="ar"/>
              </w:rPr>
              <w:t>生态环境部</w:t>
            </w:r>
          </w:p>
          <w:p w14:paraId="41F1F18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color w:val="auto"/>
                <w:kern w:val="0"/>
                <w:sz w:val="24"/>
                <w:szCs w:val="24"/>
                <w:u w:val="none"/>
                <w:lang w:val="en-US" w:eastAsia="zh-CN" w:bidi="ar"/>
              </w:rPr>
              <w:t>审批文件名称及文号：关于《</w:t>
            </w:r>
            <w:r>
              <w:rPr>
                <w:rFonts w:hint="default" w:ascii="Times New Roman" w:hAnsi="Times New Roman" w:eastAsia="宋体" w:cs="Times New Roman"/>
                <w:b w:val="0"/>
                <w:color w:val="auto"/>
                <w:kern w:val="0"/>
                <w:sz w:val="24"/>
                <w:szCs w:val="24"/>
                <w:u w:val="none"/>
                <w:lang w:val="en-US" w:eastAsia="zh-CN" w:bidi="ar"/>
              </w:rPr>
              <w:t>福清融侨经济技术开发区总体规划（2018-2035 年）环境影响报告书</w:t>
            </w:r>
            <w:r>
              <w:rPr>
                <w:rFonts w:hint="default" w:ascii="Times New Roman" w:hAnsi="Times New Roman" w:eastAsia="宋体" w:cs="Times New Roman"/>
                <w:color w:val="auto"/>
                <w:kern w:val="0"/>
                <w:sz w:val="24"/>
                <w:szCs w:val="24"/>
                <w:u w:val="none"/>
                <w:lang w:val="en-US" w:eastAsia="zh-CN" w:bidi="ar"/>
              </w:rPr>
              <w:t>》的审查意见</w:t>
            </w:r>
            <w:r>
              <w:rPr>
                <w:rFonts w:hint="eastAsia"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环审</w:t>
            </w:r>
            <w:r>
              <w:rPr>
                <w:rFonts w:hint="eastAsia" w:cs="Times New Roman"/>
                <w:color w:val="auto"/>
                <w:kern w:val="0"/>
                <w:sz w:val="24"/>
                <w:szCs w:val="24"/>
                <w:u w:val="none"/>
                <w:lang w:val="en-US" w:eastAsia="zh-CN" w:bidi="ar"/>
              </w:rPr>
              <w:t>〔2020〕80号）</w:t>
            </w:r>
          </w:p>
        </w:tc>
      </w:tr>
      <w:tr w14:paraId="2A0A7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434" w:type="pct"/>
            <w:noWrap w:val="0"/>
            <w:vAlign w:val="center"/>
          </w:tcPr>
          <w:p w14:paraId="01078B0F">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65" w:type="pct"/>
            <w:gridSpan w:val="5"/>
            <w:noWrap w:val="0"/>
            <w:vAlign w:val="center"/>
          </w:tcPr>
          <w:p w14:paraId="4F9B250A">
            <w:pPr>
              <w:pStyle w:val="3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color w:val="auto"/>
                <w:sz w:val="24"/>
                <w:szCs w:val="24"/>
                <w:highlight w:val="none"/>
                <w:u w:val="none"/>
                <w:lang w:val="en-US" w:eastAsia="zh-CN"/>
              </w:rPr>
              <w:t>一</w:t>
            </w:r>
            <w:r>
              <w:rPr>
                <w:rFonts w:hint="default"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b/>
                <w:bCs/>
                <w:color w:val="auto"/>
                <w:sz w:val="24"/>
                <w:szCs w:val="24"/>
                <w:u w:val="none"/>
                <w:lang w:val="en-US" w:eastAsia="zh-CN"/>
              </w:rPr>
              <w:t>与《福清融侨经济技术开发区总体规划</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2018-2035年</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》符合性分析</w:t>
            </w:r>
          </w:p>
          <w:p w14:paraId="562D6351">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i w:val="0"/>
                <w:iCs w:val="0"/>
                <w:color w:val="auto"/>
                <w:sz w:val="24"/>
                <w:szCs w:val="24"/>
                <w:u w:val="none"/>
                <w:lang w:val="en-US" w:eastAsia="zh-CN"/>
              </w:rPr>
            </w:pPr>
            <w:r>
              <w:rPr>
                <w:rFonts w:hint="default" w:ascii="Times New Roman" w:hAnsi="Times New Roman" w:eastAsia="宋体" w:cs="Times New Roman"/>
                <w:color w:val="auto"/>
                <w:sz w:val="24"/>
                <w:szCs w:val="24"/>
                <w:highlight w:val="none"/>
                <w:u w:val="none"/>
                <w:lang w:val="en-US" w:eastAsia="zh-CN"/>
              </w:rPr>
              <w:t>根据总体规划内容可知，开发区</w:t>
            </w:r>
            <w:r>
              <w:rPr>
                <w:rFonts w:hint="default" w:ascii="Times New Roman" w:hAnsi="Times New Roman" w:eastAsia="宋体" w:cs="Times New Roman"/>
                <w:color w:val="auto"/>
                <w:sz w:val="24"/>
                <w:szCs w:val="24"/>
                <w:u w:val="none"/>
                <w:lang w:val="en-US" w:eastAsia="zh-CN"/>
              </w:rPr>
              <w:t>为理顺与中心城区的发展关系，建立健全</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多规合一</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体制机制，突出开发区核心产业优势，强调龙头企业引领，通过</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组团式</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布局，着力营造融侨经济技术开发区</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现代生态开发区</w:t>
            </w:r>
            <w:r>
              <w:rPr>
                <w:rFonts w:hint="default" w:ascii="宋体" w:hAnsi="宋体" w:eastAsia="宋体" w:cs="宋体"/>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空间特色，规划整体形成</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一区三园多组团</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的空间结构。</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w:t>
            </w:r>
            <w:r>
              <w:rPr>
                <w:rFonts w:hint="default" w:ascii="宋体" w:hAnsi="宋体" w:eastAsia="宋体" w:cs="宋体"/>
                <w:color w:val="auto"/>
                <w:sz w:val="24"/>
                <w:szCs w:val="24"/>
                <w:u w:val="none"/>
                <w:lang w:val="en-US" w:eastAsia="zh-CN"/>
              </w:rPr>
              <w:t>”</w:t>
            </w:r>
            <w:r>
              <w:rPr>
                <w:rFonts w:hint="eastAsia" w:cs="Times New Roman"/>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融侨经济技术开发区。利用国家级开发区品牌，充分释放</w:t>
            </w:r>
            <w:r>
              <w:rPr>
                <w:rFonts w:hint="default" w:ascii="宋体" w:hAnsi="宋体" w:eastAsia="宋体" w:cs="宋体"/>
                <w:color w:val="auto"/>
                <w:sz w:val="24"/>
                <w:szCs w:val="24"/>
                <w:u w:val="none"/>
                <w:lang w:val="en-US" w:eastAsia="zh-CN"/>
              </w:rPr>
              <w:t>“五区叠加、一区毗邻”政</w:t>
            </w:r>
            <w:r>
              <w:rPr>
                <w:rFonts w:hint="default" w:ascii="Times New Roman" w:hAnsi="Times New Roman" w:eastAsia="宋体" w:cs="Times New Roman"/>
                <w:color w:val="auto"/>
                <w:sz w:val="24"/>
                <w:szCs w:val="24"/>
                <w:u w:val="none"/>
                <w:lang w:val="en-US" w:eastAsia="zh-CN"/>
              </w:rPr>
              <w:t>策优势，以空间转型引领开发区的新一轮跨越发展。</w:t>
            </w:r>
            <w:r>
              <w:rPr>
                <w:rFonts w:hint="default" w:ascii="宋体" w:hAnsi="宋体" w:eastAsia="宋体" w:cs="宋体"/>
                <w:color w:val="auto"/>
                <w:sz w:val="24"/>
                <w:szCs w:val="24"/>
                <w:u w:val="none"/>
                <w:lang w:val="en-US" w:eastAsia="zh-CN"/>
              </w:rPr>
              <w:t>“三园”</w:t>
            </w:r>
            <w:r>
              <w:rPr>
                <w:rFonts w:hint="eastAsia" w:ascii="宋体" w:hAnsi="宋体" w:cs="宋体"/>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default" w:ascii="宋体" w:hAnsi="宋体" w:eastAsia="宋体" w:cs="宋体"/>
                <w:color w:val="auto"/>
                <w:sz w:val="24"/>
                <w:szCs w:val="24"/>
                <w:u w:val="none"/>
                <w:lang w:val="en-US" w:eastAsia="zh-CN"/>
              </w:rPr>
              <w:t>“双创”平</w:t>
            </w:r>
            <w:r>
              <w:rPr>
                <w:rFonts w:hint="default" w:ascii="Times New Roman" w:hAnsi="Times New Roman" w:eastAsia="宋体" w:cs="Times New Roman"/>
                <w:color w:val="auto"/>
                <w:sz w:val="24"/>
                <w:szCs w:val="24"/>
                <w:u w:val="none"/>
                <w:lang w:val="en-US" w:eastAsia="zh-CN"/>
              </w:rPr>
              <w:t>台、现代服务业建设核心区，形成福清市极具影响力、辐射力和竞争力的大福</w:t>
            </w:r>
            <w:r>
              <w:rPr>
                <w:rFonts w:hint="default" w:ascii="宋体" w:hAnsi="宋体" w:eastAsia="宋体" w:cs="宋体"/>
                <w:color w:val="auto"/>
                <w:sz w:val="24"/>
                <w:szCs w:val="24"/>
                <w:u w:val="none"/>
                <w:lang w:val="en-US" w:eastAsia="zh-CN"/>
              </w:rPr>
              <w:t>清“副中心”。</w:t>
            </w:r>
            <w:r>
              <w:rPr>
                <w:rFonts w:hint="default" w:ascii="Times New Roman" w:hAnsi="Times New Roman" w:eastAsia="宋体" w:cs="Times New Roman"/>
                <w:b w:val="0"/>
                <w:bCs w:val="0"/>
                <w:i w:val="0"/>
                <w:iCs w:val="0"/>
                <w:color w:val="auto"/>
                <w:sz w:val="24"/>
                <w:szCs w:val="24"/>
                <w:u w:val="none"/>
                <w:lang w:val="en-US" w:eastAsia="zh-CN"/>
              </w:rPr>
              <w:t>城北产业园：依托京东方等电子信息龙头企业优势，以电子信息、光学、机械电气为主导</w:t>
            </w:r>
            <w:r>
              <w:rPr>
                <w:rFonts w:hint="eastAsia" w:cs="Times New Roman"/>
                <w:b w:val="0"/>
                <w:bCs w:val="0"/>
                <w:i w:val="0"/>
                <w:iCs w:val="0"/>
                <w:color w:val="auto"/>
                <w:sz w:val="24"/>
                <w:szCs w:val="24"/>
                <w:u w:val="none"/>
                <w:lang w:val="en-US" w:eastAsia="zh-CN"/>
              </w:rPr>
              <w:t>，以</w:t>
            </w:r>
            <w:r>
              <w:rPr>
                <w:rFonts w:hint="default" w:ascii="Times New Roman" w:hAnsi="Times New Roman" w:eastAsia="宋体" w:cs="Times New Roman"/>
                <w:b w:val="0"/>
                <w:bCs w:val="0"/>
                <w:i w:val="0"/>
                <w:iCs w:val="0"/>
                <w:color w:val="auto"/>
                <w:sz w:val="24"/>
                <w:szCs w:val="24"/>
                <w:u w:val="none"/>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A909A19">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本规划分为核心区和协调区2个层次。其中：</w:t>
            </w:r>
          </w:p>
          <w:p w14:paraId="67CF0572">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核心区</w:t>
            </w:r>
            <w:r>
              <w:rPr>
                <w:rFonts w:hint="eastAsia" w:cs="Times New Roman"/>
                <w:color w:val="auto"/>
                <w:sz w:val="24"/>
                <w:szCs w:val="24"/>
                <w:highlight w:val="none"/>
                <w:u w:val="none"/>
                <w:lang w:val="en-US" w:eastAsia="zh-CN"/>
              </w:rPr>
              <w:t>即</w:t>
            </w:r>
            <w:r>
              <w:rPr>
                <w:rFonts w:hint="default" w:ascii="Times New Roman" w:hAnsi="Times New Roman" w:eastAsia="宋体" w:cs="Times New Roman"/>
                <w:color w:val="auto"/>
                <w:sz w:val="24"/>
                <w:szCs w:val="24"/>
                <w:highlight w:val="none"/>
                <w:u w:val="none"/>
                <w:lang w:val="en-US" w:eastAsia="zh-CN"/>
              </w:rPr>
              <w:t>国家批复的融侨经济技术开发区范围。土地面积9.19平方公里，其中宏路中心区6.4平方公里，洪宽工业村2.79平方公里。</w:t>
            </w:r>
          </w:p>
          <w:p w14:paraId="6D4BF0F1">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协调区：考虑到开发区与福清城区一体化发展，结合开发区委托代管范围</w:t>
            </w:r>
            <w:r>
              <w:rPr>
                <w:rFonts w:hint="eastAsia" w:cs="Times New Roman"/>
                <w:color w:val="auto"/>
                <w:sz w:val="24"/>
                <w:szCs w:val="24"/>
                <w:highlight w:val="none"/>
                <w:u w:val="none"/>
                <w:lang w:val="en-US" w:eastAsia="zh-CN"/>
              </w:rPr>
              <w:t>，以</w:t>
            </w:r>
            <w:r>
              <w:rPr>
                <w:rFonts w:hint="default" w:ascii="Times New Roman" w:hAnsi="Times New Roman" w:eastAsia="宋体" w:cs="Times New Roman"/>
                <w:color w:val="auto"/>
                <w:sz w:val="24"/>
                <w:szCs w:val="24"/>
                <w:highlight w:val="none"/>
                <w:u w:val="none"/>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7454A65E">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根据《福清融侨经济技术开发区总体规划</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2018-2035年</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产业发展-第二十二条构建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3+1</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的产业体系：</w:t>
            </w:r>
          </w:p>
          <w:p w14:paraId="5CB7F14F">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三大支柱产业</w:t>
            </w:r>
          </w:p>
          <w:p w14:paraId="12FA16FB">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电子信息产业：显示科技、云计算、</w:t>
            </w:r>
            <w:r>
              <w:rPr>
                <w:rFonts w:hint="default" w:ascii="Times New Roman" w:hAnsi="Times New Roman" w:eastAsia="宋体" w:cs="Times New Roman"/>
                <w:b w:val="0"/>
                <w:bCs w:val="0"/>
                <w:color w:val="auto"/>
                <w:sz w:val="24"/>
                <w:szCs w:val="24"/>
                <w:highlight w:val="none"/>
                <w:u w:val="none"/>
                <w:lang w:val="en-US" w:eastAsia="zh-CN"/>
              </w:rPr>
              <w:t>电子元器件</w:t>
            </w:r>
            <w:r>
              <w:rPr>
                <w:rFonts w:hint="default" w:ascii="Times New Roman" w:hAnsi="Times New Roman" w:eastAsia="宋体" w:cs="Times New Roman"/>
                <w:color w:val="auto"/>
                <w:sz w:val="24"/>
                <w:szCs w:val="24"/>
                <w:highlight w:val="none"/>
                <w:u w:val="none"/>
                <w:lang w:val="en-US" w:eastAsia="zh-CN"/>
              </w:rPr>
              <w:t>、光电科技、计算机与智能终端设备等。</w:t>
            </w:r>
          </w:p>
          <w:p w14:paraId="46DA6161">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精密汽车部件产业：汽车电气电子装置、动力传动装置、汽车轴承、新能源动力电池等。</w:t>
            </w:r>
          </w:p>
          <w:p w14:paraId="6E793AFE">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光学产业：光学部件、光通讯技术、电子光学、虚拟现实装置等。</w:t>
            </w:r>
          </w:p>
          <w:p w14:paraId="4710D4DF">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在三大支柱产业基础之上，完善与其相关的配套产业。</w:t>
            </w:r>
          </w:p>
          <w:p w14:paraId="00380F4B">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一项新兴产业</w:t>
            </w:r>
          </w:p>
          <w:p w14:paraId="3EFE5814">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现代服务业：金融商务、总部经济、科技研发、文化创意、物流展销都市型产业与服务型制造业。</w:t>
            </w:r>
          </w:p>
          <w:p w14:paraId="2E921780">
            <w:pPr>
              <w:pStyle w:val="32"/>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b w:val="0"/>
                <w:bCs w:val="0"/>
                <w:color w:val="FF0000"/>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本项目位于</w:t>
            </w:r>
            <w:r>
              <w:rPr>
                <w:rFonts w:hint="default" w:ascii="Times New Roman" w:hAnsi="Times New Roman" w:eastAsia="宋体" w:cs="Times New Roman"/>
                <w:color w:val="auto"/>
                <w:sz w:val="24"/>
                <w:szCs w:val="24"/>
                <w:highlight w:val="none"/>
              </w:rPr>
              <w:t>福清融侨经济技术开发区（</w:t>
            </w:r>
            <w:r>
              <w:rPr>
                <w:rFonts w:hint="eastAsia" w:cs="Times New Roman"/>
                <w:color w:val="auto"/>
                <w:sz w:val="24"/>
                <w:szCs w:val="24"/>
                <w:highlight w:val="none"/>
                <w:u w:val="none"/>
                <w:lang w:val="en-US" w:eastAsia="zh-CN"/>
              </w:rPr>
              <w:t>租赁福建融永拓新材料有限公司位于均和云谷·福清科技港的28#、36#厂房）（详见</w:t>
            </w:r>
            <w:r>
              <w:rPr>
                <w:rFonts w:hint="eastAsia" w:cs="Times New Roman"/>
                <w:b/>
                <w:bCs/>
                <w:color w:val="auto"/>
                <w:sz w:val="24"/>
                <w:szCs w:val="24"/>
                <w:highlight w:val="none"/>
                <w:u w:val="none"/>
                <w:lang w:val="en-US" w:eastAsia="zh-CN"/>
              </w:rPr>
              <w:t>附图一</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kern w:val="2"/>
                <w:sz w:val="24"/>
                <w:szCs w:val="24"/>
                <w:highlight w:val="none"/>
                <w:lang w:val="en-US" w:eastAsia="zh-CN" w:bidi="ar-SA"/>
              </w:rPr>
              <w:t>根据福清融侨经济技术开发区对主导产业发展方向的定位，对照《国民经济行业分类》（GB/T4754-2017），主导行业涉及国民经济类别主要包括</w:t>
            </w:r>
            <w:r>
              <w:rPr>
                <w:rFonts w:hint="eastAsia" w:ascii="Times New Roman" w:hAnsi="Times New Roman" w:eastAsia="宋体" w:cs="Times New Roman"/>
                <w:b/>
                <w:bCs/>
                <w:color w:val="auto"/>
                <w:kern w:val="2"/>
                <w:sz w:val="24"/>
                <w:szCs w:val="24"/>
                <w:highlight w:val="none"/>
                <w:lang w:val="en-US" w:eastAsia="zh-CN" w:bidi="ar-SA"/>
              </w:rPr>
              <w:t>C29、</w:t>
            </w:r>
            <w:r>
              <w:rPr>
                <w:rFonts w:hint="eastAsia" w:ascii="Times New Roman" w:hAnsi="Times New Roman" w:eastAsia="宋体" w:cs="Times New Roman"/>
                <w:color w:val="auto"/>
                <w:kern w:val="2"/>
                <w:sz w:val="24"/>
                <w:szCs w:val="24"/>
                <w:highlight w:val="none"/>
                <w:lang w:val="en-US" w:eastAsia="zh-CN" w:bidi="ar-SA"/>
              </w:rPr>
              <w:t>C304、C33、C34、C35、C36、</w:t>
            </w:r>
            <w:r>
              <w:rPr>
                <w:rFonts w:hint="eastAsia" w:ascii="Times New Roman" w:hAnsi="Times New Roman" w:eastAsia="宋体" w:cs="Times New Roman"/>
                <w:b w:val="0"/>
                <w:bCs w:val="0"/>
                <w:color w:val="auto"/>
                <w:kern w:val="2"/>
                <w:sz w:val="24"/>
                <w:szCs w:val="24"/>
                <w:highlight w:val="none"/>
                <w:lang w:val="en-US" w:eastAsia="zh-CN" w:bidi="ar-SA"/>
              </w:rPr>
              <w:t>C38、C39</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C40，</w:t>
            </w:r>
            <w:r>
              <w:rPr>
                <w:rFonts w:hint="eastAsia"/>
                <w:color w:val="auto"/>
                <w:sz w:val="24"/>
                <w:highlight w:val="none"/>
              </w:rPr>
              <w:t>禁止新建，含电镀工艺、冶炼工艺、电解铝的项目，现有生产能</w:t>
            </w:r>
            <w:r>
              <w:rPr>
                <w:rFonts w:hint="eastAsia"/>
                <w:color w:val="auto"/>
                <w:sz w:val="24"/>
                <w:highlight w:val="none"/>
                <w:lang w:eastAsia="zh-CN"/>
              </w:rPr>
              <w:t>力在</w:t>
            </w:r>
            <w:r>
              <w:rPr>
                <w:rFonts w:hint="eastAsia"/>
                <w:color w:val="auto"/>
                <w:sz w:val="24"/>
                <w:highlight w:val="none"/>
              </w:rPr>
              <w:t>一定期限内搬迁；包装印刷业禁止使用不符合环保要求的油墨、胶黏剂。</w:t>
            </w:r>
            <w:r>
              <w:rPr>
                <w:rFonts w:hint="eastAsia" w:ascii="Times New Roman" w:hAnsi="Times New Roman" w:eastAsia="宋体" w:cs="Times New Roman"/>
                <w:color w:val="auto"/>
                <w:kern w:val="2"/>
                <w:sz w:val="24"/>
                <w:szCs w:val="24"/>
                <w:highlight w:val="none"/>
                <w:lang w:val="en-US" w:eastAsia="zh-CN" w:bidi="ar-SA"/>
              </w:rPr>
              <w:t>本项目行业类别为“C2921塑料薄膜制造”，属于规划区内主导产业。</w:t>
            </w:r>
            <w:r>
              <w:rPr>
                <w:rFonts w:hint="default" w:ascii="Times New Roman" w:hAnsi="Times New Roman" w:eastAsia="宋体" w:cs="Times New Roman"/>
                <w:b w:val="0"/>
                <w:bCs w:val="0"/>
                <w:color w:val="auto"/>
                <w:sz w:val="24"/>
                <w:szCs w:val="24"/>
                <w:highlight w:val="none"/>
                <w:u w:val="none"/>
                <w:lang w:val="en-US" w:eastAsia="zh-CN"/>
              </w:rPr>
              <w:t>因此</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项目的建设符合《福清融侨经济技术开发区总体规划</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2018-2035年</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》有关要求。</w:t>
            </w:r>
          </w:p>
          <w:p w14:paraId="49B58A69">
            <w:pPr>
              <w:pStyle w:val="32"/>
              <w:keepNext w:val="0"/>
              <w:keepLines w:val="0"/>
              <w:pageBreakBefore w:val="0"/>
              <w:numPr>
                <w:ilvl w:val="0"/>
                <w:numId w:val="3"/>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cs="Times New Roman"/>
                <w:b/>
                <w:bCs/>
                <w:color w:val="auto"/>
                <w:sz w:val="24"/>
                <w:szCs w:val="24"/>
                <w:highlight w:val="none"/>
                <w:u w:val="none"/>
                <w:lang w:val="en-US" w:eastAsia="zh-CN"/>
              </w:rPr>
              <w:t>符合性分析</w:t>
            </w:r>
          </w:p>
          <w:p w14:paraId="365B0CC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14151BF8">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构建现代化产业体系“一带两湾四区”的产业发展格局，形成“四个重点产业园区、多个工业集中区”的产业园区空间布局，加快推进重点产业园区标准化建设，统筹划定工业用地控制线。四区主要为融城现代产业综合区“以电子信息、食品、总部经济、电子商务、文化创意为主”、西部生态产业区“以特色种植、文化旅游为主”、高龙特色产业区“以现代农业、休闲农业、滨海旅游为主”、江阴临港产业区“以化工新材料、现代物流、智能制造、海洋经济为主”。</w:t>
            </w:r>
          </w:p>
          <w:p w14:paraId="0AEFAD9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本项目位于福清融侨经济技术开发区</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租赁福建融永拓新材料有限公司位于均和云谷·福清科技港的28#、36#厂房）</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位于城北组团。主要生产塑料包装膜和塑料包装袋，属于</w:t>
            </w:r>
            <w:r>
              <w:rPr>
                <w:rFonts w:hint="eastAsia" w:ascii="Times New Roman" w:hAnsi="Times New Roman" w:eastAsia="宋体" w:cs="Times New Roman"/>
                <w:color w:val="000000"/>
                <w:sz w:val="24"/>
                <w:szCs w:val="24"/>
                <w:lang w:val="en-US" w:eastAsia="zh-CN"/>
              </w:rPr>
              <w:t>C2921</w:t>
            </w:r>
            <w:r>
              <w:rPr>
                <w:rFonts w:hint="default" w:ascii="Times New Roman" w:hAnsi="Times New Roman" w:eastAsia="宋体" w:cs="Times New Roman"/>
                <w:color w:val="000000"/>
                <w:sz w:val="24"/>
                <w:szCs w:val="24"/>
                <w:lang w:val="en-US" w:eastAsia="zh-CN"/>
              </w:rPr>
              <w:t>塑料</w:t>
            </w:r>
            <w:r>
              <w:rPr>
                <w:rFonts w:hint="eastAsia" w:ascii="Times New Roman" w:hAnsi="Times New Roman" w:eastAsia="宋体" w:cs="Times New Roman"/>
                <w:color w:val="000000"/>
                <w:sz w:val="24"/>
                <w:szCs w:val="24"/>
                <w:lang w:val="en-US" w:eastAsia="zh-CN"/>
              </w:rPr>
              <w:t>薄膜</w:t>
            </w:r>
            <w:r>
              <w:rPr>
                <w:rFonts w:hint="default" w:ascii="Times New Roman" w:hAnsi="Times New Roman" w:eastAsia="宋体" w:cs="Times New Roman"/>
                <w:color w:val="000000"/>
                <w:sz w:val="24"/>
                <w:szCs w:val="24"/>
                <w:lang w:val="en-US" w:eastAsia="zh-CN"/>
              </w:rPr>
              <w:t>制造</w:t>
            </w:r>
            <w:r>
              <w:rPr>
                <w:rFonts w:hint="eastAsia" w:cs="Times New Roman"/>
                <w:color w:val="auto"/>
                <w:sz w:val="24"/>
                <w:szCs w:val="24"/>
                <w:highlight w:val="none"/>
                <w:u w:val="none"/>
                <w:lang w:val="en-US" w:eastAsia="zh-CN"/>
              </w:rPr>
              <w:t>，符合规划中两大传统产业规划。因此本项目符合</w:t>
            </w:r>
            <w:r>
              <w:rPr>
                <w:rFonts w:hint="default" w:cs="Times New Roman"/>
                <w:color w:val="auto"/>
                <w:sz w:val="24"/>
                <w:szCs w:val="24"/>
                <w:highlight w:val="none"/>
                <w:u w:val="none"/>
                <w:lang w:val="en-US" w:eastAsia="zh-CN"/>
              </w:rPr>
              <w:t>《福清市国土空间总体规划（2021—2035年）》</w:t>
            </w:r>
            <w:r>
              <w:rPr>
                <w:rFonts w:hint="eastAsia" w:cs="Times New Roman"/>
                <w:color w:val="auto"/>
                <w:sz w:val="24"/>
                <w:szCs w:val="24"/>
                <w:highlight w:val="none"/>
                <w:u w:val="none"/>
                <w:lang w:val="en-US" w:eastAsia="zh-CN"/>
              </w:rPr>
              <w:t>有关要求。</w:t>
            </w:r>
          </w:p>
          <w:p w14:paraId="1E78A017">
            <w:pPr>
              <w:pStyle w:val="32"/>
              <w:keepNext w:val="0"/>
              <w:keepLines w:val="0"/>
              <w:pageBreakBefore w:val="0"/>
              <w:numPr>
                <w:ilvl w:val="0"/>
                <w:numId w:val="3"/>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《福清融侨经济技术开发区总体规划环境影响报告书（2018</w:t>
            </w:r>
            <w:r>
              <w:rPr>
                <w:rFonts w:hint="eastAsia" w:ascii="Times New Roman" w:hAnsi="Times New Roman" w:eastAsia="宋体" w:cs="Times New Roman"/>
                <w:b/>
                <w:bCs/>
                <w:color w:val="auto"/>
                <w:sz w:val="24"/>
                <w:szCs w:val="24"/>
                <w:highlight w:val="none"/>
                <w:u w:val="none"/>
                <w:lang w:val="en-US" w:eastAsia="zh-CN"/>
              </w:rPr>
              <w:t>—</w:t>
            </w:r>
            <w:r>
              <w:rPr>
                <w:rFonts w:hint="default" w:ascii="Times New Roman" w:hAnsi="Times New Roman" w:eastAsia="宋体" w:cs="Times New Roman"/>
                <w:b/>
                <w:bCs/>
                <w:color w:val="auto"/>
                <w:sz w:val="24"/>
                <w:szCs w:val="24"/>
                <w:highlight w:val="none"/>
                <w:u w:val="none"/>
                <w:lang w:val="en-US" w:eastAsia="zh-CN"/>
              </w:rPr>
              <w:t>2035年）》符合性分析</w:t>
            </w:r>
          </w:p>
          <w:p w14:paraId="7C6412D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工业企业准入产业为电子信息、精密汽车部件、光学三大产业</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。本项目产品为</w:t>
            </w:r>
            <w:r>
              <w:rPr>
                <w:rFonts w:hint="eastAsia" w:cs="Times New Roman"/>
                <w:color w:val="auto"/>
                <w:sz w:val="24"/>
                <w:szCs w:val="24"/>
                <w:highlight w:val="none"/>
                <w:u w:val="none"/>
                <w:lang w:val="en-US" w:eastAsia="zh-CN"/>
              </w:rPr>
              <w:t>塑料包装膜和塑料包装袋</w:t>
            </w:r>
            <w:r>
              <w:rPr>
                <w:rFonts w:hint="default" w:ascii="Times New Roman" w:hAnsi="Times New Roman" w:eastAsia="宋体" w:cs="Times New Roman"/>
                <w:color w:val="auto"/>
                <w:sz w:val="24"/>
                <w:szCs w:val="24"/>
                <w:highlight w:val="none"/>
                <w:u w:val="none"/>
                <w:lang w:val="en-US" w:eastAsia="zh-CN"/>
              </w:rPr>
              <w:t>加工制</w:t>
            </w:r>
            <w:r>
              <w:rPr>
                <w:rFonts w:hint="default" w:ascii="Times New Roman" w:hAnsi="Times New Roman" w:eastAsia="宋体" w:cs="Times New Roman"/>
                <w:b w:val="0"/>
                <w:bCs w:val="0"/>
                <w:color w:val="auto"/>
                <w:sz w:val="24"/>
                <w:szCs w:val="24"/>
                <w:highlight w:val="none"/>
                <w:u w:val="none"/>
                <w:lang w:val="en-US" w:eastAsia="zh-CN"/>
              </w:rPr>
              <w:t>造，国民经济代码为</w:t>
            </w:r>
            <w:r>
              <w:rPr>
                <w:rFonts w:hint="eastAsia" w:ascii="Times New Roman" w:hAnsi="Times New Roman" w:eastAsia="宋体" w:cs="Times New Roman"/>
                <w:color w:val="000000"/>
                <w:sz w:val="24"/>
                <w:szCs w:val="24"/>
                <w:lang w:val="en-US" w:eastAsia="zh-CN"/>
              </w:rPr>
              <w:t>C2921</w:t>
            </w:r>
            <w:r>
              <w:rPr>
                <w:rFonts w:hint="default" w:ascii="Times New Roman" w:hAnsi="Times New Roman" w:eastAsia="宋体" w:cs="Times New Roman"/>
                <w:color w:val="000000"/>
                <w:sz w:val="24"/>
                <w:szCs w:val="24"/>
                <w:lang w:val="en-US" w:eastAsia="zh-CN"/>
              </w:rPr>
              <w:t>塑料</w:t>
            </w:r>
            <w:r>
              <w:rPr>
                <w:rFonts w:hint="eastAsia" w:ascii="Times New Roman" w:hAnsi="Times New Roman" w:eastAsia="宋体" w:cs="Times New Roman"/>
                <w:color w:val="000000"/>
                <w:sz w:val="24"/>
                <w:szCs w:val="24"/>
                <w:lang w:val="en-US" w:eastAsia="zh-CN"/>
              </w:rPr>
              <w:t>薄膜</w:t>
            </w:r>
            <w:r>
              <w:rPr>
                <w:rFonts w:hint="default" w:ascii="Times New Roman" w:hAnsi="Times New Roman" w:eastAsia="宋体" w:cs="Times New Roman"/>
                <w:color w:val="000000"/>
                <w:sz w:val="24"/>
                <w:szCs w:val="24"/>
                <w:lang w:val="en-US" w:eastAsia="zh-CN"/>
              </w:rPr>
              <w:t>制造</w:t>
            </w:r>
            <w:r>
              <w:rPr>
                <w:rFonts w:hint="default" w:ascii="Times New Roman" w:hAnsi="Times New Roman" w:eastAsia="宋体" w:cs="Times New Roman"/>
                <w:b w:val="0"/>
                <w:bCs w:val="0"/>
                <w:color w:val="auto"/>
                <w:sz w:val="24"/>
                <w:szCs w:val="24"/>
                <w:highlight w:val="none"/>
                <w:u w:val="none"/>
                <w:lang w:val="en-US" w:eastAsia="zh-CN"/>
              </w:rPr>
              <w:t>；项目涉及的行业（二十六、橡胶和塑料制品业）属于规划区主导行业</w:t>
            </w:r>
            <w:r>
              <w:rPr>
                <w:rFonts w:hint="eastAsia" w:cs="Times New Roman"/>
                <w:b w:val="0"/>
                <w:bCs w:val="0"/>
                <w:color w:val="auto"/>
                <w:sz w:val="24"/>
                <w:szCs w:val="24"/>
                <w:highlight w:val="none"/>
                <w:u w:val="none"/>
                <w:lang w:val="en-US" w:eastAsia="zh-CN"/>
              </w:rPr>
              <w:t>（</w:t>
            </w:r>
            <w:r>
              <w:rPr>
                <w:rFonts w:hint="eastAsia" w:ascii="Times New Roman" w:hAnsi="Times New Roman" w:cs="Times New Roman"/>
                <w:b w:val="0"/>
                <w:bCs w:val="0"/>
                <w:color w:val="auto"/>
                <w:sz w:val="24"/>
                <w:szCs w:val="24"/>
                <w:highlight w:val="none"/>
                <w:u w:val="none"/>
                <w:lang w:val="en-US" w:eastAsia="zh-CN"/>
              </w:rPr>
              <w:t>C29</w:t>
            </w:r>
            <w:r>
              <w:rPr>
                <w:rFonts w:hint="eastAsia" w:cs="Times New Roman"/>
                <w:b w:val="0"/>
                <w:bCs w:val="0"/>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因此，应遵循福清融侨经济开发区的产业准入要求，根据前文分析，本项目为</w:t>
            </w:r>
            <w:r>
              <w:rPr>
                <w:rFonts w:hint="eastAsia" w:cs="Times New Roman"/>
                <w:color w:val="auto"/>
                <w:sz w:val="24"/>
                <w:szCs w:val="24"/>
                <w:highlight w:val="none"/>
                <w:u w:val="none"/>
                <w:lang w:val="en-US" w:eastAsia="zh-CN"/>
              </w:rPr>
              <w:t>塑料包装膜和塑料包装袋</w:t>
            </w:r>
            <w:r>
              <w:rPr>
                <w:rFonts w:hint="default" w:ascii="Times New Roman" w:hAnsi="Times New Roman" w:eastAsia="宋体" w:cs="Times New Roman"/>
                <w:color w:val="auto"/>
                <w:sz w:val="24"/>
                <w:szCs w:val="24"/>
                <w:highlight w:val="none"/>
                <w:u w:val="none"/>
                <w:lang w:val="en-US" w:eastAsia="zh-CN"/>
              </w:rPr>
              <w:t>加工制造，属于</w:t>
            </w:r>
            <w:r>
              <w:rPr>
                <w:rFonts w:hint="eastAsia" w:cs="Times New Roman"/>
                <w:color w:val="auto"/>
                <w:sz w:val="24"/>
                <w:szCs w:val="24"/>
                <w:highlight w:val="none"/>
                <w:u w:val="none"/>
                <w:lang w:val="en-US" w:eastAsia="zh-CN"/>
              </w:rPr>
              <w:t>塑胶产业</w:t>
            </w:r>
            <w:r>
              <w:rPr>
                <w:rFonts w:hint="default" w:ascii="Times New Roman" w:hAnsi="Times New Roman" w:eastAsia="宋体" w:cs="Times New Roman"/>
                <w:color w:val="auto"/>
                <w:sz w:val="24"/>
                <w:szCs w:val="24"/>
                <w:highlight w:val="none"/>
                <w:u w:val="none"/>
                <w:lang w:val="en-US" w:eastAsia="zh-CN"/>
              </w:rPr>
              <w:t>，符合福清融侨经济开发区准入产业。</w:t>
            </w:r>
          </w:p>
          <w:p w14:paraId="7F21585C">
            <w:pPr>
              <w:pStyle w:val="32"/>
              <w:keepNext w:val="0"/>
              <w:keepLines w:val="0"/>
              <w:pageBreakBefore w:val="0"/>
              <w:numPr>
                <w:ilvl w:val="0"/>
                <w:numId w:val="0"/>
              </w:numPr>
              <w:kinsoku/>
              <w:wordWrap/>
              <w:overflowPunct/>
              <w:topLinePunct w:val="0"/>
              <w:autoSpaceDE/>
              <w:autoSpaceDN/>
              <w:bidi w:val="0"/>
              <w:spacing w:line="360" w:lineRule="auto"/>
              <w:ind w:leftChars="200" w:right="0" w:rightChars="0"/>
              <w:jc w:val="left"/>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与规划环评及审查意见符合性分析</w:t>
            </w:r>
          </w:p>
          <w:p w14:paraId="726FC683">
            <w:pPr>
              <w:pStyle w:val="32"/>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对照</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《福清融侨经济技术开发区总体规划</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环境影响报告书》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，本项目与规划区主导产业环境准入清单符合性分析详见表1.1-2。</w:t>
            </w:r>
          </w:p>
          <w:p w14:paraId="1249C9C4">
            <w:pPr>
              <w:pStyle w:val="64"/>
              <w:keepNext/>
              <w:keepLines/>
              <w:pageBreakBefore w:val="0"/>
              <w:widowControl w:val="0"/>
              <w:numPr>
                <w:ilvl w:val="7"/>
                <w:numId w:val="2"/>
              </w:numPr>
              <w:tabs>
                <w:tab w:val="left" w:pos="420"/>
                <w:tab w:val="clear" w:pos="4507"/>
              </w:tabs>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本项目与规划区主导产业环境准入清单符合性分析表</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147"/>
              <w:gridCol w:w="3240"/>
              <w:gridCol w:w="1032"/>
            </w:tblGrid>
            <w:tr w14:paraId="11983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noWrap w:val="0"/>
                  <w:vAlign w:val="center"/>
                </w:tcPr>
                <w:p w14:paraId="4C40C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类别</w:t>
                  </w:r>
                </w:p>
                <w:p w14:paraId="52328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名称</w:t>
                  </w:r>
                </w:p>
              </w:tc>
              <w:tc>
                <w:tcPr>
                  <w:tcW w:w="1946" w:type="pct"/>
                  <w:noWrap w:val="0"/>
                  <w:vAlign w:val="center"/>
                </w:tcPr>
                <w:p w14:paraId="7D6CE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空间布局</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约束</w:t>
                  </w:r>
                </w:p>
              </w:tc>
              <w:tc>
                <w:tcPr>
                  <w:tcW w:w="2004" w:type="pct"/>
                  <w:noWrap w:val="0"/>
                  <w:vAlign w:val="center"/>
                </w:tcPr>
                <w:p w14:paraId="1FA2F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0E60CC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05D3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restart"/>
                  <w:noWrap w:val="0"/>
                  <w:vAlign w:val="center"/>
                </w:tcPr>
                <w:p w14:paraId="01C6B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29</w:t>
                  </w:r>
                  <w:r>
                    <w:rPr>
                      <w:rFonts w:hint="default" w:ascii="Times New Roman" w:hAnsi="Times New Roman" w:cs="Times New Roman"/>
                      <w:bCs/>
                      <w:color w:val="auto"/>
                      <w:szCs w:val="21"/>
                      <w:highlight w:val="none"/>
                    </w:rPr>
                    <w:t>橡胶和塑料制品业</w:t>
                  </w:r>
                </w:p>
              </w:tc>
              <w:tc>
                <w:tcPr>
                  <w:tcW w:w="1946" w:type="pct"/>
                  <w:noWrap w:val="0"/>
                  <w:vAlign w:val="center"/>
                </w:tcPr>
                <w:p w14:paraId="04BD768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w:t>
                  </w:r>
                </w:p>
                <w:p w14:paraId="78B06E9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涉及开炼、密炼、硫化工艺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36337B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采用煤、油、生物质等非清洁能源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774D1B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再生橡胶制造、橡胶加工、橡胶制品翻新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09972BD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废旧塑料再生现有生产能力允许企业在一定期限内采取措施改造升级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04" w:type="pct"/>
                  <w:noWrap w:val="0"/>
                  <w:vAlign w:val="center"/>
                </w:tcPr>
                <w:p w14:paraId="32728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开炼、密炼、硫化工艺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0C5F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w:t>
                  </w:r>
                  <w:r>
                    <w:rPr>
                      <w:rFonts w:hint="default" w:ascii="Times New Roman" w:hAnsi="Times New Roman" w:eastAsia="宋体" w:cs="Times New Roman"/>
                      <w:color w:val="000000" w:themeColor="text1"/>
                      <w:sz w:val="21"/>
                      <w:szCs w:val="21"/>
                      <w:highlight w:val="none"/>
                      <w14:textFill>
                        <w14:solidFill>
                          <w14:schemeClr w14:val="tx1"/>
                        </w14:solidFill>
                      </w14:textFill>
                    </w:rPr>
                    <w:t>采用煤、油、生物质等非清洁能源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1EAAC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再生橡胶制造、橡胶加工、橡胶制品翻新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C3FD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废旧塑料再生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w:t>
                  </w:r>
                </w:p>
              </w:tc>
              <w:tc>
                <w:tcPr>
                  <w:tcW w:w="638" w:type="pct"/>
                  <w:noWrap w:val="0"/>
                  <w:vAlign w:val="center"/>
                </w:tcPr>
                <w:p w14:paraId="0E888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0DB3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000F8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6" w:type="pct"/>
                  <w:noWrap w:val="0"/>
                  <w:vAlign w:val="center"/>
                </w:tcPr>
                <w:p w14:paraId="2DB3B2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环境风险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防控</w:t>
                  </w:r>
                </w:p>
              </w:tc>
              <w:tc>
                <w:tcPr>
                  <w:tcW w:w="2004" w:type="pct"/>
                  <w:noWrap w:val="0"/>
                  <w:vAlign w:val="center"/>
                </w:tcPr>
                <w:p w14:paraId="75993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6A21A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39554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111E0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6" w:type="pct"/>
                  <w:noWrap w:val="0"/>
                  <w:vAlign w:val="center"/>
                </w:tcPr>
                <w:p w14:paraId="59392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必须规范配套应急池，建设企业、园区和周边水系三级环境风险防控工程，确保有效拦截、降污和倒流；受园区排污影响的周边水系应建设应急闸门，防止泄漏物和消防水等排入外环境。</w:t>
                  </w:r>
                </w:p>
                <w:p w14:paraId="53824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开发区内污水处理设施应采取必要的防渗处理，不得污染地下水环境。</w:t>
                  </w:r>
                </w:p>
              </w:tc>
              <w:tc>
                <w:tcPr>
                  <w:tcW w:w="2004" w:type="pct"/>
                  <w:noWrap w:val="0"/>
                  <w:vAlign w:val="center"/>
                </w:tcPr>
                <w:p w14:paraId="014D0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园区将严格按照要求，统一建设事故应急池，</w:t>
                  </w:r>
                  <w:r>
                    <w:rPr>
                      <w:rFonts w:hint="default" w:ascii="Times New Roman" w:hAnsi="Times New Roman" w:eastAsia="宋体" w:cs="Times New Roman"/>
                      <w:color w:val="000000" w:themeColor="text1"/>
                      <w:sz w:val="21"/>
                      <w:szCs w:val="21"/>
                      <w:highlight w:val="none"/>
                      <w14:textFill>
                        <w14:solidFill>
                          <w14:schemeClr w14:val="tx1"/>
                        </w14:solidFill>
                      </w14:textFill>
                    </w:rPr>
                    <w:t>建设企业、园区和周边水系三级环境风险防控工程，确保有效拦截、降污和</w:t>
                  </w:r>
                  <w:r>
                    <w:rPr>
                      <w:rFonts w:hint="eastAsia" w:cs="Times New Roman"/>
                      <w:color w:val="000000" w:themeColor="text1"/>
                      <w:sz w:val="21"/>
                      <w:szCs w:val="21"/>
                      <w:highlight w:val="none"/>
                      <w:lang w:eastAsia="zh-CN"/>
                      <w14:textFill>
                        <w14:solidFill>
                          <w14:schemeClr w14:val="tx1"/>
                        </w14:solidFill>
                      </w14:textFill>
                    </w:rPr>
                    <w:t>导流</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74AE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noWrap w:val="0"/>
                  <w:vAlign w:val="center"/>
                </w:tcPr>
                <w:p w14:paraId="3B597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0637E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604D6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6F895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污染物排放管</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控</w:t>
                  </w:r>
                </w:p>
              </w:tc>
              <w:tc>
                <w:tcPr>
                  <w:tcW w:w="2004" w:type="pct"/>
                  <w:noWrap w:val="0"/>
                  <w:vAlign w:val="center"/>
                </w:tcPr>
                <w:p w14:paraId="60983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60E17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6E250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4280A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69361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新、改、扩建项目新增大气污染物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现阶段指SO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排放量实行1.5 倍削减替代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不含使用天然气、液化石油气等作为燃料的非火电锅炉和工业炉窑</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05F55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新、改、扩建项目新增VOCs 排放量实行倍量削减替代。</w:t>
                  </w:r>
                </w:p>
                <w:p w14:paraId="3CF0E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工业企业废水全部纳管进入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highlight w:val="none"/>
                      <w14:textFill>
                        <w14:solidFill>
                          <w14:schemeClr w14:val="tx1"/>
                        </w14:solidFill>
                      </w14:textFill>
                    </w:rPr>
                    <w:t>集中处理后达标排放。</w:t>
                  </w:r>
                </w:p>
              </w:tc>
              <w:tc>
                <w:tcPr>
                  <w:tcW w:w="2004" w:type="pct"/>
                  <w:noWrap w:val="0"/>
                  <w:vAlign w:val="center"/>
                </w:tcPr>
                <w:p w14:paraId="2B345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等污染物排放。</w:t>
                  </w:r>
                </w:p>
                <w:p w14:paraId="60700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S</w:t>
                  </w:r>
                  <w:r>
                    <w:rPr>
                      <w:rFonts w:hint="default" w:ascii="Times New Roman" w:hAnsi="Times New Roman" w:eastAsia="宋体" w:cs="Times New Roman"/>
                      <w:color w:val="000000" w:themeColor="text1"/>
                      <w:sz w:val="21"/>
                      <w:szCs w:val="21"/>
                      <w:highlight w:val="none"/>
                      <w14:textFill>
                        <w14:solidFill>
                          <w14:schemeClr w14:val="tx1"/>
                        </w14:solidFill>
                      </w14:textFill>
                    </w:rPr>
                    <w:t>拟实行区域内倍量替代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F467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noWrap w:val="0"/>
                  <w:vAlign w:val="center"/>
                </w:tcPr>
                <w:p w14:paraId="64D18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6D70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noWrap w:val="0"/>
                  <w:vAlign w:val="center"/>
                </w:tcPr>
                <w:p w14:paraId="4996BE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662A6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sz w:val="21"/>
                      <w:szCs w:val="21"/>
                      <w:highlight w:val="none"/>
                      <w:lang w:eastAsia="zh-CN"/>
                      <w14:textFill>
                        <w14:solidFill>
                          <w14:schemeClr w14:val="tx1"/>
                        </w14:solidFill>
                      </w14:textFill>
                    </w:rPr>
                  </w:pPr>
                </w:p>
              </w:tc>
              <w:tc>
                <w:tcPr>
                  <w:tcW w:w="2004" w:type="pct"/>
                  <w:noWrap w:val="0"/>
                  <w:vAlign w:val="center"/>
                </w:tcPr>
                <w:p w14:paraId="519CE7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sz w:val="21"/>
                      <w:szCs w:val="21"/>
                      <w:highlight w:val="none"/>
                      <w:lang w:val="en-US" w:eastAsia="zh-CN"/>
                      <w14:textFill>
                        <w14:solidFill>
                          <w14:schemeClr w14:val="tx1"/>
                        </w14:solidFill>
                      </w14:textFill>
                    </w:rPr>
                  </w:pPr>
                </w:p>
              </w:tc>
              <w:tc>
                <w:tcPr>
                  <w:tcW w:w="638" w:type="pct"/>
                  <w:noWrap w:val="0"/>
                  <w:vAlign w:val="center"/>
                </w:tcPr>
                <w:p w14:paraId="7BE84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0A086C99">
            <w:pPr>
              <w:pStyle w:val="64"/>
              <w:keepNext/>
              <w:keepLines/>
              <w:pageBreakBefore w:val="0"/>
              <w:widowControl w:val="0"/>
              <w:numPr>
                <w:ilvl w:val="7"/>
                <w:numId w:val="2"/>
              </w:numPr>
              <w:tabs>
                <w:tab w:val="left" w:pos="420"/>
                <w:tab w:val="clear" w:pos="4507"/>
              </w:tabs>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本项目与规划环评审查意见的符合性分析</w:t>
            </w:r>
          </w:p>
          <w:tbl>
            <w:tblPr>
              <w:tblStyle w:val="24"/>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3639"/>
              <w:gridCol w:w="2727"/>
              <w:gridCol w:w="951"/>
            </w:tblGrid>
            <w:tr w14:paraId="53AD0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434DE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2251" w:type="pct"/>
                  <w:noWrap w:val="0"/>
                  <w:vAlign w:val="center"/>
                </w:tcPr>
                <w:p w14:paraId="52AC7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规划环评审查意见要求</w:t>
                  </w:r>
                </w:p>
              </w:tc>
              <w:tc>
                <w:tcPr>
                  <w:tcW w:w="1687" w:type="pct"/>
                  <w:noWrap w:val="0"/>
                  <w:vAlign w:val="center"/>
                </w:tcPr>
                <w:p w14:paraId="21859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本项目内容</w:t>
                  </w:r>
                </w:p>
              </w:tc>
              <w:tc>
                <w:tcPr>
                  <w:tcW w:w="588" w:type="pct"/>
                  <w:noWrap w:val="0"/>
                  <w:vAlign w:val="center"/>
                </w:tcPr>
                <w:p w14:paraId="2720A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14:paraId="0C434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0AE70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251" w:type="pct"/>
                  <w:noWrap w:val="0"/>
                  <w:vAlign w:val="center"/>
                </w:tcPr>
                <w:p w14:paraId="03238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坚持绿色发展和协调发展理念，加强《规划》引导。落实国家、区域发展战略，坚持生态优先、高效集约发展，以环境质量改善为核心，进一步优化《规划》范围、布局、发展规模和产业结构等，做好与省市国土空间规划和“三线一单”（生态保护红线、环境质量底线、资源利用上线和生态环境准入清单</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的协调衔接。</w:t>
                  </w:r>
                </w:p>
              </w:tc>
              <w:tc>
                <w:tcPr>
                  <w:tcW w:w="1687" w:type="pct"/>
                  <w:noWrap w:val="0"/>
                  <w:vAlign w:val="center"/>
                </w:tcPr>
                <w:p w14:paraId="4809E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本项目主要从事</w:t>
                  </w:r>
                  <w:r>
                    <w:rPr>
                      <w:rFonts w:hint="eastAsia" w:cs="Times New Roman"/>
                      <w:color w:val="000000" w:themeColor="text1"/>
                      <w:sz w:val="21"/>
                      <w:szCs w:val="21"/>
                      <w:highlight w:val="none"/>
                      <w:lang w:val="en-US" w:eastAsia="zh-CN"/>
                      <w14:textFill>
                        <w14:solidFill>
                          <w14:schemeClr w14:val="tx1"/>
                        </w14:solidFill>
                      </w14:textFill>
                    </w:rPr>
                    <w:t>塑料包装膜和塑料包装袋</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制造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等，属于开发区主导行业，项目</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符合园区产业发展定位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符合国土空间规划和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三线一单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88" w:type="pct"/>
                  <w:noWrap w:val="0"/>
                  <w:vAlign w:val="center"/>
                </w:tcPr>
                <w:p w14:paraId="76186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B4E6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0A0AC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251" w:type="pct"/>
                  <w:noWrap w:val="0"/>
                  <w:vAlign w:val="center"/>
                </w:tcPr>
                <w:p w14:paraId="134C2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着力推动开发区结构调整和转型升级。落实《报告书》提出的现有重污染企业和用地布局不合理企业的搬迁、淘汰进度，强化拟退出污染企业存续期间环境管控和风险防控，合理安排重污染企业腾退及周边土地开发时序，做好腾退企业遗留场地的土壤环境调查和风险评估，确保土地安全利用。促进开发区产业转型升级与生态环境保护、人居环境安全相协调。</w:t>
                  </w:r>
                </w:p>
              </w:tc>
              <w:tc>
                <w:tcPr>
                  <w:tcW w:w="1687" w:type="pct"/>
                  <w:noWrap w:val="0"/>
                  <w:vAlign w:val="center"/>
                </w:tcPr>
                <w:p w14:paraId="53FC3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项目不属于重污染企业，利用均和云谷·福清科技港已建厂房作为生产经营场所，属于工业厂房，符合用地规划。</w:t>
                  </w:r>
                </w:p>
              </w:tc>
              <w:tc>
                <w:tcPr>
                  <w:tcW w:w="588" w:type="pct"/>
                  <w:noWrap w:val="0"/>
                  <w:vAlign w:val="center"/>
                </w:tcPr>
                <w:p w14:paraId="78BF5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6F61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6A9F9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251" w:type="pct"/>
                  <w:noWrap w:val="0"/>
                  <w:vAlign w:val="center"/>
                </w:tcPr>
                <w:p w14:paraId="70938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严格空间管控，优化区内空间布局。做好《规划》控制和生态隔离带建设，加强对开发区内及周边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的保护，严禁不符合管控要求的各类开发建设活动，严禁占用现有自然水体等生态空间。结合福清市国土空间规划最新结果，进一步优化园区范围和空间布局，避让永久基本农田。</w:t>
                  </w:r>
                </w:p>
              </w:tc>
              <w:tc>
                <w:tcPr>
                  <w:tcW w:w="1687" w:type="pct"/>
                  <w:noWrap w:val="0"/>
                  <w:vAlign w:val="center"/>
                </w:tcPr>
                <w:p w14:paraId="1C7CB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项目周边最近的环境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保护目标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西南侧约</w:t>
                  </w:r>
                  <w:r>
                    <w:rPr>
                      <w:rFonts w:hint="eastAsia" w:cs="Times New Roman"/>
                      <w:color w:val="000000" w:themeColor="text1"/>
                      <w:sz w:val="21"/>
                      <w:szCs w:val="21"/>
                      <w:highlight w:val="none"/>
                      <w:lang w:val="en-US" w:eastAsia="zh-CN"/>
                      <w14:textFill>
                        <w14:solidFill>
                          <w14:schemeClr w14:val="tx1"/>
                        </w14:solidFill>
                      </w14:textFill>
                    </w:rPr>
                    <w:t>76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处的下田村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有一定隔离带；项目用地不涉及闽江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，不占用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自然水体等生态空间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永久基本农田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30561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DEFF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9" w:hRule="atLeast"/>
              </w:trPr>
              <w:tc>
                <w:tcPr>
                  <w:tcW w:w="472" w:type="pct"/>
                  <w:noWrap w:val="0"/>
                  <w:vAlign w:val="center"/>
                </w:tcPr>
                <w:p w14:paraId="75043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251" w:type="pct"/>
                  <w:noWrap w:val="0"/>
                  <w:vAlign w:val="center"/>
                </w:tcPr>
                <w:p w14:paraId="34851F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环境质量底线，强化污染物排放总量管控。根据国家和福建省关于大气、水、土壤污染防治相关要求和区域“三线一单”成果，衔接龙江流域水环境综合整治结果，制定开发区污染减排方案及污染物总量管控要求，严格重金属总量管控。采取有效措施减少主要污染物和特征污染物的排放量，确保区域环境质量持续改善，促进产业发展与城市发展、生态环境保护相协调。</w:t>
                  </w:r>
                </w:p>
              </w:tc>
              <w:tc>
                <w:tcPr>
                  <w:tcW w:w="1687" w:type="pct"/>
                  <w:noWrap w:val="0"/>
                  <w:vAlign w:val="center"/>
                </w:tcPr>
                <w:p w14:paraId="5FA4CF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VOCs拟采用1套</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活性炭吸附装置处理后排放，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废气排放源强较低，对周边环境影响较小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项目厂区已实现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雨污分流</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，项目不涉及生产废水排放，生活污水依托厂区内现有的排水管网排入市政污水管网送往</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项目不涉及重金属等污染物，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项目将依法依规做好一般工业固体废物和危险废物的分类收集、利用、处理处置工作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0181D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20B2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0" w:hRule="atLeast"/>
              </w:trPr>
              <w:tc>
                <w:tcPr>
                  <w:tcW w:w="472" w:type="pct"/>
                  <w:noWrap w:val="0"/>
                  <w:vAlign w:val="center"/>
                </w:tcPr>
                <w:p w14:paraId="16C10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251" w:type="pct"/>
                  <w:noWrap w:val="0"/>
                  <w:vAlign w:val="center"/>
                </w:tcPr>
                <w:p w14:paraId="42FBE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入区项目生态环境准入，推动高质量发展。落实《报告书》生态环境准入要求，强化现有及入区企业挥发性有机物排放控制，禁止新增排放涉重金属污染物项目入区，禁止与主导产业不相关且污染物排放量大的项目入区。落实《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》关于禁止大气污染型建设项目入区的要求。执行最严格的行业废水、废气排放控制指标，引进项目的生产工艺、设备，以及单位产品能耗、污染物排放和资源利用效率等均需达到同行业国际先进水平。</w:t>
                  </w:r>
                </w:p>
              </w:tc>
              <w:tc>
                <w:tcPr>
                  <w:tcW w:w="1687" w:type="pct"/>
                  <w:noWrap w:val="0"/>
                  <w:vAlign w:val="center"/>
                </w:tcPr>
                <w:p w14:paraId="03107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拟实行区域内倍量替代；</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项目符合园区产业规划，不属于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项目；项目严格执行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行业废水、废气排放控制指标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项目生产工艺、技术装备、污染治理水平以及单位产品能耗、物耗等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可以</w:t>
                  </w:r>
                  <w:r>
                    <w:rPr>
                      <w:rFonts w:hint="eastAsia" w:cs="Times New Roman"/>
                      <w:color w:val="000000" w:themeColor="text1"/>
                      <w:sz w:val="21"/>
                      <w:szCs w:val="21"/>
                      <w:highlight w:val="none"/>
                      <w:lang w:val="en-US" w:eastAsia="zh-CN"/>
                      <w14:textFill>
                        <w14:solidFill>
                          <w14:schemeClr w14:val="tx1"/>
                        </w14:solidFill>
                      </w14:textFill>
                    </w:rPr>
                    <w:t>达到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同行业国际先进水平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519A9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E200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 w:type="pct"/>
                  <w:noWrap w:val="0"/>
                  <w:vAlign w:val="center"/>
                </w:tcPr>
                <w:p w14:paraId="0625B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251" w:type="pct"/>
                  <w:noWrap w:val="0"/>
                  <w:vAlign w:val="center"/>
                </w:tcPr>
                <w:p w14:paraId="4105B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生态环境保护，统筹考虑区内污染防治、生态恢复与建设、环境风险防范、环境管理等事宜。严格落实《报告书》及重点风险企业突发环境事件应急预案提出的各项要求，从环境风险防控角度，加强京东方一期、二期工程周边用地规划控制。建立健全区域环境风险防范体系，建立应急响应联动机制，提升开发区环境风险防控和应急响应能力，保障区域环境安全。</w:t>
                  </w:r>
                </w:p>
              </w:tc>
              <w:tc>
                <w:tcPr>
                  <w:tcW w:w="1687" w:type="pct"/>
                  <w:noWrap w:val="0"/>
                  <w:vAlign w:val="center"/>
                </w:tcPr>
                <w:p w14:paraId="58787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本项目将严格落实环境风险事故防范措施，并做好与园区的应急联动。</w:t>
                  </w:r>
                </w:p>
              </w:tc>
              <w:tc>
                <w:tcPr>
                  <w:tcW w:w="588" w:type="pct"/>
                  <w:noWrap w:val="0"/>
                  <w:vAlign w:val="center"/>
                </w:tcPr>
                <w:p w14:paraId="6FA29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CA48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 w:type="pct"/>
                  <w:noWrap w:val="0"/>
                  <w:vAlign w:val="center"/>
                </w:tcPr>
                <w:p w14:paraId="53A17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251" w:type="pct"/>
                  <w:noWrap w:val="0"/>
                  <w:vAlign w:val="center"/>
                </w:tcPr>
                <w:p w14:paraId="6B3F0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完善环境监测体系，明确实施时限、责任主体等。根据开发区的功能分区、产业布局、重点企业分布、特征污染物的排放种类和状况、环境敏感目标分布等情况，建立包括环境空气、地表水、地下水、土壤、底泥等环境要素的监控体系，强化阳下污水处理厂排放口附近底泥重金属的定期监测与管理。</w:t>
                  </w:r>
                </w:p>
              </w:tc>
              <w:tc>
                <w:tcPr>
                  <w:tcW w:w="1687" w:type="pct"/>
                  <w:noWrap w:val="0"/>
                  <w:vAlign w:val="center"/>
                </w:tcPr>
                <w:p w14:paraId="7F82D0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项目根据环境监测计划做好厂区内的跟踪监测与管理，并根据监测结果及时采取相应措施。</w:t>
                  </w:r>
                </w:p>
              </w:tc>
              <w:tc>
                <w:tcPr>
                  <w:tcW w:w="588" w:type="pct"/>
                  <w:noWrap w:val="0"/>
                  <w:vAlign w:val="center"/>
                </w:tcPr>
                <w:p w14:paraId="12F87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2F57ED0C">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u w:val="none"/>
                <w:lang w:eastAsia="zh-CN"/>
              </w:rPr>
            </w:pPr>
          </w:p>
        </w:tc>
      </w:tr>
      <w:tr w14:paraId="2ED0D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34" w:type="pct"/>
            <w:noWrap w:val="0"/>
            <w:vAlign w:val="center"/>
          </w:tcPr>
          <w:p w14:paraId="3E19EBB2">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65" w:type="pct"/>
            <w:gridSpan w:val="5"/>
            <w:noWrap w:val="0"/>
            <w:vAlign w:val="center"/>
          </w:tcPr>
          <w:p w14:paraId="6262179C">
            <w:pPr>
              <w:pStyle w:val="33"/>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2"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2"/>
          </w:p>
          <w:p w14:paraId="190B62E9">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w:t>
            </w:r>
            <w:r>
              <w:rPr>
                <w:rFonts w:hint="eastAsia" w:cs="Times New Roman"/>
                <w:color w:val="auto"/>
                <w:spacing w:val="0"/>
                <w:sz w:val="24"/>
                <w:szCs w:val="24"/>
                <w:highlight w:val="none"/>
                <w:u w:val="none"/>
                <w:lang w:val="en-US" w:eastAsia="zh-CN"/>
              </w:rPr>
              <w:t>塑料包装膜和塑料包装袋</w:t>
            </w:r>
            <w:r>
              <w:rPr>
                <w:rFonts w:hint="default" w:ascii="Times New Roman" w:hAnsi="Times New Roman" w:eastAsia="宋体" w:cs="Times New Roman"/>
                <w:color w:val="auto"/>
                <w:spacing w:val="0"/>
                <w:sz w:val="24"/>
                <w:szCs w:val="24"/>
                <w:highlight w:val="none"/>
                <w:u w:val="none"/>
                <w:lang w:eastAsia="zh-CN"/>
              </w:rPr>
              <w:t>加工生产</w:t>
            </w:r>
            <w:r>
              <w:rPr>
                <w:rFonts w:hint="default" w:ascii="Times New Roman" w:hAnsi="Times New Roman" w:eastAsia="宋体" w:cs="Times New Roman"/>
                <w:color w:val="auto"/>
                <w:spacing w:val="0"/>
                <w:sz w:val="24"/>
                <w:szCs w:val="24"/>
                <w:highlight w:val="none"/>
                <w:u w:val="none"/>
              </w:rPr>
              <w:t>，</w:t>
            </w:r>
            <w:r>
              <w:rPr>
                <w:rFonts w:hint="eastAsia" w:cs="Times New Roman"/>
                <w:color w:val="auto"/>
                <w:spacing w:val="0"/>
                <w:sz w:val="24"/>
                <w:szCs w:val="24"/>
                <w:highlight w:val="none"/>
                <w:u w:val="none"/>
                <w:lang w:val="en-US" w:eastAsia="zh-CN"/>
              </w:rPr>
              <w:t>项目所采用的生产工艺、所使用的生产加工设备均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《产业结构调整指导目录（2024年本）》中限制和淘汰类的项目，</w:t>
            </w:r>
            <w:r>
              <w:rPr>
                <w:rFonts w:hint="default" w:ascii="Times New Roman" w:hAnsi="Times New Roman" w:eastAsia="宋体" w:cs="Times New Roman"/>
                <w:color w:val="auto"/>
                <w:spacing w:val="0"/>
                <w:sz w:val="24"/>
                <w:szCs w:val="24"/>
                <w:highlight w:val="none"/>
                <w:u w:val="none"/>
                <w:lang w:eastAsia="zh-CN"/>
              </w:rPr>
              <w:t>属于允许类</w:t>
            </w:r>
            <w:r>
              <w:rPr>
                <w:rFonts w:hint="eastAsia" w:cs="Times New Roman"/>
                <w:color w:val="auto"/>
                <w:spacing w:val="0"/>
                <w:sz w:val="24"/>
                <w:szCs w:val="24"/>
                <w:highlight w:val="none"/>
                <w:u w:val="none"/>
                <w:lang w:eastAsia="zh-CN"/>
              </w:rPr>
              <w:t>且</w:t>
            </w:r>
            <w:r>
              <w:rPr>
                <w:rFonts w:hint="default" w:ascii="Times New Roman" w:hAnsi="Times New Roman" w:eastAsia="宋体" w:cs="Times New Roman"/>
                <w:color w:val="auto"/>
                <w:spacing w:val="0"/>
                <w:sz w:val="24"/>
                <w:szCs w:val="24"/>
                <w:highlight w:val="none"/>
                <w:u w:val="none"/>
              </w:rPr>
              <w:t>该项目于</w:t>
            </w:r>
            <w:r>
              <w:rPr>
                <w:rFonts w:hint="default" w:ascii="Times New Roman" w:hAnsi="Times New Roman" w:eastAsia="宋体" w:cs="Times New Roman"/>
                <w:color w:val="auto"/>
                <w:spacing w:val="0"/>
                <w:sz w:val="24"/>
                <w:szCs w:val="24"/>
                <w:highlight w:val="none"/>
                <w:u w:val="none"/>
                <w:lang w:val="en-US" w:eastAsia="zh-CN"/>
              </w:rPr>
              <w:t>202</w:t>
            </w:r>
            <w:r>
              <w:rPr>
                <w:rFonts w:hint="eastAsia" w:cs="Times New Roman"/>
                <w:color w:val="auto"/>
                <w:spacing w:val="0"/>
                <w:sz w:val="24"/>
                <w:szCs w:val="24"/>
                <w:highlight w:val="none"/>
                <w:u w:val="none"/>
                <w:lang w:val="en-US" w:eastAsia="zh-CN"/>
              </w:rPr>
              <w:t>6</w:t>
            </w:r>
            <w:r>
              <w:rPr>
                <w:rFonts w:hint="default" w:ascii="Times New Roman" w:hAnsi="Times New Roman" w:eastAsia="宋体" w:cs="Times New Roman"/>
                <w:color w:val="auto"/>
                <w:spacing w:val="0"/>
                <w:sz w:val="24"/>
                <w:szCs w:val="24"/>
                <w:highlight w:val="none"/>
                <w:u w:val="none"/>
                <w:lang w:val="en-US" w:eastAsia="zh-CN"/>
              </w:rPr>
              <w:t>年</w:t>
            </w:r>
            <w:r>
              <w:rPr>
                <w:rFonts w:hint="eastAsia" w:cs="Times New Roman"/>
                <w:color w:val="auto"/>
                <w:spacing w:val="0"/>
                <w:sz w:val="24"/>
                <w:szCs w:val="24"/>
                <w:highlight w:val="none"/>
                <w:u w:val="none"/>
                <w:lang w:val="en-US" w:eastAsia="zh-CN"/>
              </w:rPr>
              <w:t>3</w:t>
            </w:r>
            <w:r>
              <w:rPr>
                <w:rFonts w:hint="default" w:ascii="Times New Roman" w:hAnsi="Times New Roman" w:eastAsia="宋体" w:cs="Times New Roman"/>
                <w:color w:val="auto"/>
                <w:spacing w:val="0"/>
                <w:sz w:val="24"/>
                <w:szCs w:val="24"/>
                <w:highlight w:val="none"/>
                <w:u w:val="none"/>
                <w:lang w:val="en-US" w:eastAsia="zh-CN"/>
              </w:rPr>
              <w:t>月</w:t>
            </w:r>
            <w:r>
              <w:rPr>
                <w:rFonts w:hint="eastAsia" w:cs="Times New Roman"/>
                <w:color w:val="auto"/>
                <w:spacing w:val="0"/>
                <w:sz w:val="24"/>
                <w:szCs w:val="24"/>
                <w:highlight w:val="none"/>
                <w:u w:val="none"/>
                <w:lang w:val="en-US" w:eastAsia="zh-CN"/>
              </w:rPr>
              <w:t>10</w:t>
            </w:r>
            <w:r>
              <w:rPr>
                <w:rFonts w:hint="default" w:ascii="Times New Roman" w:hAnsi="Times New Roman" w:eastAsia="宋体" w:cs="Times New Roman"/>
                <w:color w:val="auto"/>
                <w:spacing w:val="0"/>
                <w:sz w:val="24"/>
                <w:szCs w:val="24"/>
                <w:highlight w:val="none"/>
                <w:u w:val="none"/>
                <w:lang w:val="en-US" w:eastAsia="zh-CN"/>
              </w:rPr>
              <w:t>日</w:t>
            </w:r>
            <w:r>
              <w:rPr>
                <w:rFonts w:hint="default" w:ascii="Times New Roman" w:hAnsi="Times New Roman" w:eastAsia="宋体" w:cs="Times New Roman"/>
                <w:color w:val="auto"/>
                <w:spacing w:val="0"/>
                <w:sz w:val="24"/>
                <w:szCs w:val="24"/>
                <w:highlight w:val="none"/>
                <w:u w:val="none"/>
              </w:rPr>
              <w:t>通过了</w:t>
            </w:r>
            <w:r>
              <w:rPr>
                <w:rFonts w:hint="eastAsia" w:cs="Times New Roman"/>
                <w:color w:val="auto"/>
                <w:spacing w:val="0"/>
                <w:sz w:val="24"/>
                <w:szCs w:val="24"/>
                <w:highlight w:val="none"/>
                <w:u w:val="none"/>
                <w:lang w:eastAsia="zh-CN"/>
              </w:rPr>
              <w:t>福清市发展和改革局</w:t>
            </w:r>
            <w:r>
              <w:rPr>
                <w:rFonts w:hint="default" w:ascii="Times New Roman" w:hAnsi="Times New Roman" w:eastAsia="宋体" w:cs="Times New Roman"/>
                <w:color w:val="auto"/>
                <w:spacing w:val="0"/>
                <w:sz w:val="24"/>
                <w:szCs w:val="24"/>
                <w:highlight w:val="none"/>
                <w:u w:val="none"/>
              </w:rPr>
              <w:t>的备案(</w:t>
            </w:r>
            <w:r>
              <w:rPr>
                <w:rFonts w:hint="eastAsia" w:cs="Times New Roman"/>
                <w:color w:val="auto"/>
                <w:sz w:val="24"/>
                <w:szCs w:val="24"/>
                <w:highlight w:val="none"/>
                <w:u w:val="none"/>
                <w:lang w:eastAsia="zh-CN"/>
              </w:rPr>
              <w:t>闽发改备［2026］A060061号</w:t>
            </w:r>
            <w:r>
              <w:rPr>
                <w:rFonts w:hint="default" w:ascii="Times New Roman" w:hAnsi="Times New Roman" w:eastAsia="宋体"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rPr>
              <w:t>详见</w:t>
            </w:r>
            <w:r>
              <w:rPr>
                <w:rFonts w:hint="default" w:ascii="Times New Roman" w:hAnsi="Times New Roman" w:eastAsia="宋体" w:cs="Times New Roman"/>
                <w:b/>
                <w:bCs/>
                <w:color w:val="auto"/>
                <w:spacing w:val="0"/>
                <w:sz w:val="24"/>
                <w:szCs w:val="24"/>
                <w:highlight w:val="none"/>
                <w:u w:val="none"/>
              </w:rPr>
              <w:t>附件</w:t>
            </w:r>
            <w:r>
              <w:rPr>
                <w:rFonts w:hint="eastAsia" w:cs="Times New Roman"/>
                <w:b/>
                <w:bCs/>
                <w:color w:val="auto"/>
                <w:spacing w:val="0"/>
                <w:sz w:val="24"/>
                <w:szCs w:val="24"/>
                <w:highlight w:val="none"/>
                <w:u w:val="none"/>
                <w:lang w:val="en-US" w:eastAsia="zh-CN"/>
              </w:rPr>
              <w:t>四</w:t>
            </w:r>
            <w:r>
              <w:rPr>
                <w:rFonts w:hint="eastAsia" w:cs="Times New Roman"/>
                <w:b w:val="0"/>
                <w:bCs w:val="0"/>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，因此项目的建设内容符合当前国家</w:t>
            </w:r>
            <w:r>
              <w:rPr>
                <w:rFonts w:hint="default" w:ascii="Times New Roman" w:hAnsi="Times New Roman" w:eastAsia="宋体" w:cs="Times New Roman"/>
                <w:color w:val="auto"/>
                <w:spacing w:val="0"/>
                <w:sz w:val="24"/>
                <w:szCs w:val="24"/>
                <w:highlight w:val="none"/>
                <w:u w:val="none"/>
                <w:lang w:eastAsia="zh-CN"/>
              </w:rPr>
              <w:t>和地方</w:t>
            </w:r>
            <w:r>
              <w:rPr>
                <w:rFonts w:hint="default" w:ascii="Times New Roman" w:hAnsi="Times New Roman" w:eastAsia="宋体" w:cs="Times New Roman"/>
                <w:color w:val="auto"/>
                <w:spacing w:val="0"/>
                <w:sz w:val="24"/>
                <w:szCs w:val="24"/>
                <w:highlight w:val="none"/>
                <w:u w:val="none"/>
              </w:rPr>
              <w:t>的产业政策。</w:t>
            </w:r>
          </w:p>
          <w:p w14:paraId="0B009C1B">
            <w:pPr>
              <w:pStyle w:val="33"/>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3" w:name="_Toc26906"/>
            <w:r>
              <w:rPr>
                <w:rFonts w:hint="eastAsia" w:ascii="Times New Roman" w:cs="Times New Roman"/>
                <w:b/>
                <w:color w:val="auto"/>
                <w:sz w:val="24"/>
                <w:szCs w:val="24"/>
                <w:highlight w:val="none"/>
                <w:u w:val="none"/>
                <w:lang w:val="en-US" w:eastAsia="zh-CN"/>
              </w:rPr>
              <w:t>2.国土空间规划</w:t>
            </w:r>
            <w:r>
              <w:rPr>
                <w:rFonts w:hint="default" w:ascii="Times New Roman" w:hAnsi="Times New Roman" w:eastAsia="宋体" w:cs="Times New Roman"/>
                <w:b/>
                <w:color w:val="auto"/>
                <w:sz w:val="24"/>
                <w:szCs w:val="24"/>
                <w:highlight w:val="none"/>
                <w:u w:val="none"/>
                <w:lang w:val="en-US" w:eastAsia="zh-CN"/>
              </w:rPr>
              <w:t>符合性分析</w:t>
            </w:r>
            <w:bookmarkEnd w:id="13"/>
          </w:p>
          <w:p w14:paraId="655B9E2C">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rPr>
            </w:pPr>
            <w:r>
              <w:rPr>
                <w:rFonts w:hint="eastAsia" w:cs="Times New Roman"/>
                <w:color w:val="auto"/>
                <w:spacing w:val="0"/>
                <w:sz w:val="24"/>
                <w:szCs w:val="24"/>
                <w:highlight w:val="none"/>
                <w:u w:val="none"/>
                <w:lang w:eastAsia="zh-CN"/>
              </w:rPr>
              <w:t>根据</w:t>
            </w:r>
            <w:r>
              <w:rPr>
                <w:rFonts w:hint="default" w:cs="Times New Roman"/>
                <w:color w:val="auto"/>
                <w:sz w:val="24"/>
                <w:szCs w:val="24"/>
                <w:highlight w:val="none"/>
                <w:u w:val="none"/>
                <w:lang w:val="en-US" w:eastAsia="zh-CN"/>
              </w:rPr>
              <w:t>《福清市国土空间总体规划（2021—2035年）》</w:t>
            </w:r>
            <w:r>
              <w:rPr>
                <w:rFonts w:hint="default" w:ascii="Times New Roman" w:hAnsi="Times New Roman" w:eastAsia="宋体" w:cs="Times New Roman"/>
                <w:color w:val="auto"/>
                <w:spacing w:val="0"/>
                <w:sz w:val="24"/>
                <w:szCs w:val="24"/>
                <w:highlight w:val="none"/>
                <w:u w:val="none"/>
                <w:lang w:eastAsia="zh-CN"/>
              </w:rPr>
              <w:t>本项目位于</w:t>
            </w:r>
            <w:r>
              <w:rPr>
                <w:rFonts w:hint="eastAsia" w:cs="Times New Roman"/>
                <w:color w:val="auto"/>
                <w:sz w:val="24"/>
                <w:szCs w:val="24"/>
                <w:highlight w:val="none"/>
                <w:u w:val="none"/>
                <w:lang w:val="en-US" w:eastAsia="zh-CN"/>
              </w:rPr>
              <w:t>福清融侨经济技术开发区（租赁福建融永拓新材料有限公司位于均和云谷·福清科技港的28#、36#厂房）</w:t>
            </w:r>
            <w:r>
              <w:rPr>
                <w:rFonts w:hint="default" w:ascii="Times New Roman" w:hAnsi="Times New Roman" w:eastAsia="宋体" w:cs="Times New Roman"/>
                <w:color w:val="auto"/>
                <w:spacing w:val="0"/>
                <w:sz w:val="24"/>
                <w:szCs w:val="24"/>
                <w:highlight w:val="none"/>
                <w:u w:val="none"/>
                <w:lang w:eastAsia="zh-CN"/>
              </w:rPr>
              <w:t>内，根据</w:t>
            </w:r>
            <w:r>
              <w:rPr>
                <w:rFonts w:hint="eastAsia" w:ascii="Times New Roman" w:hAnsi="Times New Roman" w:eastAsia="宋体" w:cs="Times New Roman"/>
                <w:color w:val="auto"/>
                <w:spacing w:val="0"/>
                <w:sz w:val="24"/>
                <w:szCs w:val="24"/>
                <w:highlight w:val="none"/>
                <w:u w:val="none"/>
                <w:lang w:eastAsia="zh-CN"/>
              </w:rPr>
              <w:t>业主</w:t>
            </w:r>
            <w:r>
              <w:rPr>
                <w:rFonts w:hint="default" w:ascii="Times New Roman" w:hAnsi="Times New Roman" w:eastAsia="宋体" w:cs="Times New Roman"/>
                <w:color w:val="auto"/>
                <w:spacing w:val="0"/>
                <w:sz w:val="24"/>
                <w:szCs w:val="24"/>
                <w:highlight w:val="none"/>
                <w:u w:val="none"/>
                <w:lang w:eastAsia="zh-CN"/>
              </w:rPr>
              <w:t>提供的</w:t>
            </w:r>
            <w:r>
              <w:rPr>
                <w:rFonts w:hint="eastAsia" w:ascii="Times New Roman" w:hAnsi="Times New Roman" w:eastAsia="宋体" w:cs="Times New Roman"/>
                <w:color w:val="auto"/>
                <w:spacing w:val="0"/>
                <w:sz w:val="24"/>
                <w:szCs w:val="24"/>
                <w:highlight w:val="none"/>
                <w:u w:val="none"/>
                <w:lang w:val="en-US" w:eastAsia="zh-CN"/>
              </w:rPr>
              <w:t>均和产业发展（福清）有限公司不动产权证（闽（2022）福清市不动产权第0015820号）</w:t>
            </w:r>
            <w:r>
              <w:rPr>
                <w:rFonts w:hint="eastAsia" w:cs="Times New Roman"/>
                <w:color w:val="auto"/>
                <w:spacing w:val="0"/>
                <w:sz w:val="24"/>
                <w:szCs w:val="24"/>
                <w:highlight w:val="none"/>
                <w:u w:val="none"/>
                <w:lang w:val="en-US" w:eastAsia="zh-CN"/>
              </w:rPr>
              <w:t>（厂房租赁合同</w:t>
            </w:r>
            <w:r>
              <w:rPr>
                <w:rFonts w:hint="default" w:ascii="Times New Roman" w:hAnsi="Times New Roman" w:eastAsia="宋体" w:cs="Times New Roman"/>
                <w:color w:val="auto"/>
                <w:spacing w:val="0"/>
                <w:sz w:val="24"/>
                <w:szCs w:val="24"/>
                <w:highlight w:val="none"/>
                <w:u w:val="none"/>
                <w:lang w:val="en-US" w:eastAsia="zh-CN"/>
              </w:rPr>
              <w:t>详见</w:t>
            </w:r>
            <w:r>
              <w:rPr>
                <w:rFonts w:hint="default" w:ascii="Times New Roman" w:hAnsi="Times New Roman" w:eastAsia="宋体" w:cs="Times New Roman"/>
                <w:b/>
                <w:bCs/>
                <w:color w:val="auto"/>
                <w:spacing w:val="0"/>
                <w:sz w:val="24"/>
                <w:szCs w:val="24"/>
                <w:highlight w:val="none"/>
                <w:u w:val="none"/>
                <w:lang w:val="en-US" w:eastAsia="zh-CN"/>
              </w:rPr>
              <w:t>附件</w:t>
            </w:r>
            <w:r>
              <w:rPr>
                <w:rFonts w:hint="eastAsia" w:cs="Times New Roman"/>
                <w:b/>
                <w:bCs/>
                <w:color w:val="auto"/>
                <w:spacing w:val="0"/>
                <w:sz w:val="24"/>
                <w:szCs w:val="24"/>
                <w:highlight w:val="none"/>
                <w:u w:val="none"/>
                <w:lang w:val="en-US" w:eastAsia="zh-CN"/>
              </w:rPr>
              <w:t>五</w:t>
            </w:r>
            <w:r>
              <w:rPr>
                <w:rFonts w:hint="eastAsia" w:cs="Times New Roman"/>
                <w:b w:val="0"/>
                <w:bCs w:val="0"/>
                <w:color w:val="auto"/>
                <w:spacing w:val="0"/>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lang w:val="en-US" w:eastAsia="zh-CN"/>
              </w:rPr>
              <w:t>，该厂区用地为工业用地，厂房为工业厂房</w:t>
            </w:r>
            <w:r>
              <w:rPr>
                <w:rFonts w:hint="default" w:ascii="Times New Roman" w:hAnsi="Times New Roman" w:eastAsia="宋体" w:cs="Times New Roman"/>
                <w:color w:val="auto"/>
                <w:sz w:val="24"/>
                <w:szCs w:val="24"/>
              </w:rPr>
              <w:t>。根据福清市自然资源和规划局审定的均和云谷福清科技港总平面</w:t>
            </w:r>
            <w:r>
              <w:rPr>
                <w:rFonts w:hint="eastAsia" w:cs="Times New Roman"/>
                <w:color w:val="auto"/>
                <w:sz w:val="24"/>
                <w:szCs w:val="24"/>
                <w:lang w:eastAsia="zh-CN"/>
              </w:rPr>
              <w:t>布置</w:t>
            </w:r>
            <w:r>
              <w:rPr>
                <w:rFonts w:hint="default" w:ascii="Times New Roman" w:hAnsi="Times New Roman" w:eastAsia="宋体" w:cs="Times New Roman"/>
                <w:color w:val="auto"/>
                <w:sz w:val="24"/>
                <w:szCs w:val="24"/>
              </w:rPr>
              <w:t>图及均和产业发展（福清）有限公司规划条件核实意见书（</w:t>
            </w:r>
            <w:r>
              <w:rPr>
                <w:rFonts w:hint="eastAsia" w:ascii="Times New Roman" w:hAnsi="Times New Roman" w:eastAsia="宋体" w:cs="Times New Roman"/>
                <w:color w:val="auto"/>
                <w:sz w:val="24"/>
                <w:szCs w:val="24"/>
                <w:lang w:val="en-US" w:eastAsia="zh-CN"/>
              </w:rPr>
              <w:t>整区</w:t>
            </w:r>
            <w:r>
              <w:rPr>
                <w:rFonts w:hint="default" w:ascii="Times New Roman" w:hAnsi="Times New Roman" w:eastAsia="宋体" w:cs="Times New Roman"/>
                <w:color w:val="auto"/>
                <w:sz w:val="24"/>
                <w:szCs w:val="24"/>
              </w:rPr>
              <w:t>）（编号：融规核〔202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112</w:t>
            </w:r>
            <w:r>
              <w:rPr>
                <w:rFonts w:hint="default" w:ascii="Times New Roman" w:hAnsi="Times New Roman" w:eastAsia="宋体" w:cs="Times New Roman"/>
                <w:color w:val="auto"/>
                <w:sz w:val="24"/>
                <w:szCs w:val="24"/>
              </w:rPr>
              <w:t>号）可知，项目位于</w:t>
            </w:r>
            <w:r>
              <w:rPr>
                <w:rFonts w:hint="eastAsia" w:cs="Times New Roman"/>
                <w:color w:val="auto"/>
                <w:sz w:val="24"/>
                <w:szCs w:val="24"/>
                <w:lang w:eastAsia="zh-CN"/>
              </w:rPr>
              <w:t>均和云谷·福清科技港28#、36#厂房</w:t>
            </w:r>
            <w:r>
              <w:rPr>
                <w:rFonts w:hint="default" w:ascii="Times New Roman" w:hAnsi="Times New Roman" w:eastAsia="宋体" w:cs="Times New Roman"/>
                <w:color w:val="auto"/>
                <w:sz w:val="24"/>
                <w:szCs w:val="24"/>
              </w:rPr>
              <w:t>，厂房构筑物主要经济技术指标均通过规划部门审核审定。</w:t>
            </w:r>
            <w:r>
              <w:rPr>
                <w:rFonts w:hint="default" w:ascii="Times New Roman" w:hAnsi="Times New Roman" w:eastAsia="宋体" w:cs="Times New Roman"/>
                <w:color w:val="auto"/>
                <w:spacing w:val="0"/>
                <w:sz w:val="24"/>
                <w:szCs w:val="24"/>
                <w:highlight w:val="none"/>
                <w:u w:val="none"/>
                <w:lang w:eastAsia="zh-CN"/>
              </w:rPr>
              <w:t>本项目从事</w:t>
            </w:r>
            <w:r>
              <w:rPr>
                <w:rFonts w:hint="eastAsia" w:cs="Times New Roman"/>
                <w:color w:val="auto"/>
                <w:spacing w:val="0"/>
                <w:sz w:val="24"/>
                <w:szCs w:val="24"/>
                <w:highlight w:val="none"/>
                <w:u w:val="none"/>
                <w:lang w:eastAsia="zh-CN"/>
              </w:rPr>
              <w:t>塑料包装膜和塑料包装袋</w:t>
            </w:r>
            <w:r>
              <w:rPr>
                <w:rFonts w:hint="default" w:ascii="Times New Roman" w:hAnsi="Times New Roman" w:eastAsia="宋体" w:cs="Times New Roman"/>
                <w:color w:val="auto"/>
                <w:spacing w:val="0"/>
                <w:sz w:val="24"/>
                <w:szCs w:val="24"/>
                <w:highlight w:val="none"/>
                <w:u w:val="none"/>
                <w:lang w:eastAsia="zh-CN"/>
              </w:rPr>
              <w:t>的加工，属于工业企业，因此，项目选址符合</w:t>
            </w:r>
            <w:r>
              <w:rPr>
                <w:rFonts w:hint="eastAsia" w:cs="Times New Roman"/>
                <w:color w:val="auto"/>
                <w:spacing w:val="0"/>
                <w:sz w:val="24"/>
                <w:szCs w:val="24"/>
                <w:highlight w:val="none"/>
                <w:u w:val="none"/>
                <w:lang w:eastAsia="zh-CN"/>
              </w:rPr>
              <w:t>国土空间规划</w:t>
            </w:r>
            <w:r>
              <w:rPr>
                <w:rFonts w:hint="default" w:ascii="Times New Roman" w:hAnsi="Times New Roman" w:eastAsia="宋体" w:cs="Times New Roman"/>
                <w:color w:val="auto"/>
                <w:spacing w:val="0"/>
                <w:sz w:val="24"/>
                <w:szCs w:val="24"/>
                <w:highlight w:val="none"/>
                <w:u w:val="none"/>
                <w:lang w:eastAsia="zh-CN"/>
              </w:rPr>
              <w:t>。</w:t>
            </w:r>
          </w:p>
          <w:p w14:paraId="330FEADD">
            <w:pPr>
              <w:pStyle w:val="33"/>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4" w:name="_Toc12021"/>
            <w:r>
              <w:rPr>
                <w:rFonts w:hint="eastAsia" w:ascii="Times New Roman" w:cs="Times New Roman"/>
                <w:b/>
                <w:color w:val="auto"/>
                <w:sz w:val="24"/>
                <w:szCs w:val="24"/>
                <w:highlight w:val="none"/>
                <w:u w:val="none"/>
                <w:lang w:val="en-US" w:eastAsia="zh-CN"/>
              </w:rPr>
              <w:t>3.</w:t>
            </w:r>
            <w:r>
              <w:rPr>
                <w:rFonts w:hint="eastAsia" w:ascii="Times New Roman" w:hAnsi="Times New Roman" w:eastAsia="宋体" w:cs="Times New Roman"/>
                <w:b/>
                <w:color w:val="auto"/>
                <w:sz w:val="24"/>
                <w:szCs w:val="24"/>
                <w:highlight w:val="none"/>
                <w:u w:val="none"/>
                <w:lang w:val="en-US" w:eastAsia="zh-CN"/>
              </w:rPr>
              <w:t>“</w:t>
            </w:r>
            <w:r>
              <w:rPr>
                <w:rFonts w:hint="default" w:ascii="Times New Roman" w:hAnsi="Times New Roman" w:eastAsia="宋体" w:cs="Times New Roman"/>
                <w:b/>
                <w:color w:val="auto"/>
                <w:sz w:val="24"/>
                <w:szCs w:val="24"/>
                <w:highlight w:val="none"/>
                <w:u w:val="none"/>
                <w:lang w:val="en-US" w:eastAsia="zh-CN"/>
              </w:rPr>
              <w:t>三线一单</w:t>
            </w:r>
            <w:r>
              <w:rPr>
                <w:rFonts w:hint="eastAsia" w:ascii="Times New Roman" w:hAnsi="Times New Roman" w:eastAsia="宋体" w:cs="Times New Roman"/>
                <w:b/>
                <w:color w:val="auto"/>
                <w:sz w:val="24"/>
                <w:szCs w:val="24"/>
                <w:highlight w:val="none"/>
                <w:u w:val="none"/>
                <w:lang w:val="en-US" w:eastAsia="zh-CN"/>
              </w:rPr>
              <w:t>”</w:t>
            </w:r>
            <w:r>
              <w:rPr>
                <w:rFonts w:hint="default" w:ascii="Times New Roman" w:hAnsi="Times New Roman" w:eastAsia="宋体" w:cs="Times New Roman"/>
                <w:b/>
                <w:color w:val="auto"/>
                <w:sz w:val="24"/>
                <w:szCs w:val="24"/>
                <w:highlight w:val="none"/>
                <w:u w:val="none"/>
                <w:lang w:val="en-US" w:eastAsia="zh-CN"/>
              </w:rPr>
              <w:t>控制要求的符合性分析</w:t>
            </w:r>
            <w:bookmarkEnd w:id="14"/>
          </w:p>
          <w:p w14:paraId="46466856">
            <w:pPr>
              <w:pStyle w:val="34"/>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33F2D65E">
            <w:pPr>
              <w:pStyle w:val="34"/>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6E62CDB0">
            <w:pPr>
              <w:pStyle w:val="34"/>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对照《福建省生态保护红线划定方案》及其调整方案</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z w:val="24"/>
                <w:szCs w:val="24"/>
                <w:u w:val="none"/>
                <w:lang w:val="en-GB"/>
              </w:rPr>
              <w:t>《福清市生态功能区划》</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val="en-GB"/>
              </w:rPr>
              <w:t>2003年</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，本项目位于</w:t>
            </w:r>
            <w:r>
              <w:rPr>
                <w:rFonts w:hint="eastAsia" w:ascii="Times New Roman" w:hAnsi="Times New Roman" w:cs="Times New Roman"/>
                <w:color w:val="auto"/>
                <w:sz w:val="24"/>
                <w:szCs w:val="24"/>
                <w:highlight w:val="none"/>
                <w:u w:val="none"/>
                <w:lang w:val="en-US" w:eastAsia="zh-CN"/>
              </w:rPr>
              <w:t>福清融侨经济技术开发区（</w:t>
            </w:r>
            <w:r>
              <w:rPr>
                <w:rFonts w:hint="eastAsia" w:cs="Times New Roman"/>
                <w:color w:val="auto"/>
                <w:sz w:val="24"/>
                <w:szCs w:val="24"/>
                <w:highlight w:val="none"/>
                <w:u w:val="none"/>
                <w:lang w:val="en-US" w:eastAsia="zh-CN"/>
              </w:rPr>
              <w:t>租赁福建融永拓新材料有限公司位于均和云谷·福清科技港的28#、36#厂房</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lang w:eastAsia="zh-CN"/>
              </w:rPr>
              <w:t>内</w:t>
            </w:r>
            <w:r>
              <w:rPr>
                <w:rFonts w:hint="default" w:ascii="Times New Roman" w:hAnsi="Times New Roman" w:eastAsia="宋体" w:cs="Times New Roman"/>
                <w:color w:val="auto"/>
                <w:spacing w:val="0"/>
                <w:w w:val="100"/>
                <w:position w:val="0"/>
                <w:sz w:val="24"/>
                <w:szCs w:val="24"/>
                <w:u w:val="none"/>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C109043">
            <w:pPr>
              <w:pStyle w:val="34"/>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340F55DB">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pacing w:val="0"/>
                <w:sz w:val="24"/>
                <w:szCs w:val="24"/>
                <w:highlight w:val="none"/>
                <w:u w:val="none"/>
                <w:lang w:eastAsia="zh-CN"/>
              </w:rPr>
            </w:pPr>
            <w:r>
              <w:rPr>
                <w:rFonts w:hint="default" w:ascii="Times New Roman" w:hAnsi="Times New Roman" w:eastAsia="宋体" w:cs="Times New Roman"/>
                <w:color w:val="auto"/>
                <w:spacing w:val="0"/>
                <w:sz w:val="24"/>
                <w:szCs w:val="24"/>
                <w:highlight w:val="none"/>
                <w:u w:val="none"/>
                <w:lang w:eastAsia="zh-CN"/>
              </w:rPr>
              <w:t>项目所在区域环境质量底线：环境空气质量目标为《环境空气质量标准》（</w:t>
            </w:r>
            <w:r>
              <w:rPr>
                <w:rFonts w:hint="eastAsia" w:cs="Times New Roman"/>
                <w:color w:val="auto"/>
                <w:spacing w:val="0"/>
                <w:sz w:val="24"/>
                <w:szCs w:val="24"/>
                <w:highlight w:val="none"/>
                <w:u w:val="none"/>
                <w:lang w:eastAsia="zh-CN"/>
              </w:rPr>
              <w:t>GB 3095-2026</w:t>
            </w:r>
            <w:r>
              <w:rPr>
                <w:rFonts w:hint="default" w:ascii="Times New Roman" w:hAnsi="Times New Roman" w:eastAsia="宋体" w:cs="Times New Roman"/>
                <w:color w:val="auto"/>
                <w:spacing w:val="0"/>
                <w:sz w:val="24"/>
                <w:szCs w:val="24"/>
                <w:highlight w:val="none"/>
                <w:u w:val="none"/>
                <w:lang w:eastAsia="zh-CN"/>
              </w:rPr>
              <w:t>）及修改单中的二级</w:t>
            </w:r>
            <w:r>
              <w:rPr>
                <w:rFonts w:hint="eastAsia" w:ascii="Times New Roman" w:hAnsi="Times New Roman" w:eastAsia="宋体" w:cs="Times New Roman"/>
                <w:color w:val="auto"/>
                <w:spacing w:val="0"/>
                <w:sz w:val="24"/>
                <w:szCs w:val="24"/>
                <w:highlight w:val="none"/>
                <w:u w:val="none"/>
                <w:lang w:eastAsia="zh-CN"/>
              </w:rPr>
              <w:t>标准</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周边罗汉溪地表水环境质量目标为《地表水环境质量标准》（</w:t>
            </w:r>
            <w:r>
              <w:rPr>
                <w:rFonts w:hint="default" w:ascii="Times New Roman" w:hAnsi="Times New Roman" w:eastAsia="宋体" w:cs="Times New Roman"/>
                <w:color w:val="auto"/>
                <w:spacing w:val="0"/>
                <w:sz w:val="24"/>
                <w:szCs w:val="24"/>
                <w:highlight w:val="none"/>
                <w:u w:val="none"/>
                <w:lang w:eastAsia="zh-CN"/>
              </w:rPr>
              <w:t>GB3838-2002</w:t>
            </w:r>
            <w:r>
              <w:rPr>
                <w:rFonts w:hint="eastAsia" w:ascii="Times New Roman" w:hAnsi="Times New Roman" w:eastAsia="宋体" w:cs="Times New Roman"/>
                <w:color w:val="auto"/>
                <w:spacing w:val="0"/>
                <w:sz w:val="24"/>
                <w:szCs w:val="24"/>
                <w:highlight w:val="none"/>
                <w:u w:val="none"/>
                <w:lang w:eastAsia="zh-CN"/>
              </w:rPr>
              <w:t>）中</w:t>
            </w:r>
            <w:r>
              <w:rPr>
                <w:rFonts w:hint="default" w:ascii="Times New Roman" w:hAnsi="Times New Roman" w:eastAsia="宋体" w:cs="Times New Roman"/>
                <w:color w:val="auto"/>
                <w:spacing w:val="0"/>
                <w:sz w:val="24"/>
                <w:szCs w:val="24"/>
                <w:highlight w:val="none"/>
                <w:u w:val="none"/>
                <w:lang w:eastAsia="zh-CN"/>
              </w:rPr>
              <w:t>Ⅳ</w:t>
            </w:r>
            <w:r>
              <w:rPr>
                <w:rFonts w:hint="eastAsia" w:ascii="Times New Roman" w:hAnsi="Times New Roman" w:eastAsia="宋体" w:cs="Times New Roman"/>
                <w:color w:val="auto"/>
                <w:spacing w:val="0"/>
                <w:sz w:val="24"/>
                <w:szCs w:val="24"/>
                <w:highlight w:val="none"/>
                <w:u w:val="none"/>
                <w:lang w:eastAsia="zh-CN"/>
              </w:rPr>
              <w:t>类水质标准</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3010BDB1">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本项目生产过程不产生生产废水；生活污水经化粪池预处理后，排入市政污水管网纳入福清市融元污水处理厂</w:t>
            </w:r>
            <w:r>
              <w:rPr>
                <w:rFonts w:hint="eastAsia" w:ascii="Times New Roman" w:hAnsi="Times New Roman" w:eastAsia="宋体" w:cs="Times New Roman"/>
                <w:color w:val="auto"/>
                <w:spacing w:val="0"/>
                <w:sz w:val="24"/>
                <w:szCs w:val="24"/>
                <w:highlight w:val="none"/>
                <w:u w:val="none"/>
                <w:lang w:eastAsia="zh-CN"/>
              </w:rPr>
              <w:t>进行集中</w:t>
            </w:r>
            <w:r>
              <w:rPr>
                <w:rFonts w:hint="default" w:ascii="Times New Roman" w:hAnsi="Times New Roman" w:eastAsia="宋体" w:cs="Times New Roman"/>
                <w:color w:val="auto"/>
                <w:spacing w:val="0"/>
                <w:sz w:val="24"/>
                <w:szCs w:val="24"/>
                <w:highlight w:val="none"/>
                <w:u w:val="none"/>
                <w:lang w:eastAsia="zh-CN"/>
              </w:rPr>
              <w:t>处理</w:t>
            </w:r>
            <w:r>
              <w:rPr>
                <w:rFonts w:hint="eastAsia" w:ascii="Times New Roman" w:hAnsi="Times New Roman" w:eastAsia="宋体" w:cs="Times New Roman"/>
                <w:color w:val="auto"/>
                <w:spacing w:val="0"/>
                <w:sz w:val="24"/>
                <w:szCs w:val="24"/>
                <w:highlight w:val="none"/>
                <w:u w:val="none"/>
                <w:lang w:eastAsia="zh-CN"/>
              </w:rPr>
              <w:t>。产生的废水均不直接进入水体，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6711E3D9">
            <w:pPr>
              <w:pStyle w:val="34"/>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3</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资源利用上线：项目用电为区域集中供应，项目的水、气等资源利用不会突破区域的资源利用上线。本项目使用电能作为主要消耗能源，电能属于清洁能源。</w:t>
            </w:r>
            <w:r>
              <w:rPr>
                <w:rFonts w:hint="eastAsia"/>
                <w:color w:val="000000"/>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000000"/>
                <w:szCs w:val="21"/>
                <w:lang w:eastAsia="zh-CN"/>
              </w:rPr>
              <w:t>上限</w:t>
            </w:r>
          </w:p>
          <w:p w14:paraId="0BC2C29F">
            <w:pPr>
              <w:pStyle w:val="34"/>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446B924E">
            <w:pPr>
              <w:pStyle w:val="34"/>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lang w:eastAsia="zh-CN"/>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；项目无行业准入条件；不属于《福建省人民政府关于加强重点流域水环境</w:t>
            </w:r>
            <w:r>
              <w:rPr>
                <w:rFonts w:hint="default" w:ascii="Times New Roman" w:hAnsi="Times New Roman" w:eastAsia="宋体" w:cs="Times New Roman"/>
                <w:color w:val="auto"/>
                <w:spacing w:val="0"/>
                <w:w w:val="100"/>
                <w:position w:val="0"/>
                <w:sz w:val="24"/>
                <w:szCs w:val="24"/>
                <w:u w:val="none"/>
                <w:lang w:eastAsia="zh-CN"/>
              </w:rPr>
              <w:t>综合</w:t>
            </w:r>
            <w:r>
              <w:rPr>
                <w:rFonts w:hint="default" w:ascii="Times New Roman" w:hAnsi="Times New Roman" w:eastAsia="宋体" w:cs="Times New Roman"/>
                <w:color w:val="auto"/>
                <w:spacing w:val="0"/>
                <w:w w:val="100"/>
                <w:position w:val="0"/>
                <w:sz w:val="24"/>
                <w:szCs w:val="24"/>
                <w:u w:val="none"/>
              </w:rPr>
              <w:t>整治的意见》中禁止的产业；满足《福建省工业建设项目投资强度控制指标》相关要求；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项目符合国家产业政策，符合《福建省人民政府关于实施</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三线一单</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生态环境分区管控的通知</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闽政〔2020〕12号</w:t>
            </w:r>
            <w:r>
              <w:rPr>
                <w:rFonts w:hint="eastAsia" w:ascii="Times New Roman" w:hAnsi="Times New Roman" w:cs="Times New Roman"/>
                <w:color w:val="auto"/>
                <w:sz w:val="24"/>
                <w:szCs w:val="24"/>
                <w:u w:val="none"/>
                <w:lang w:eastAsia="zh-CN"/>
              </w:rPr>
              <w:t>）》和</w:t>
            </w:r>
            <w:r>
              <w:rPr>
                <w:rFonts w:hint="default" w:ascii="Times New Roman" w:hAnsi="Times New Roman" w:eastAsia="宋体" w:cs="Times New Roman"/>
                <w:color w:val="auto"/>
                <w:sz w:val="24"/>
                <w:szCs w:val="24"/>
                <w:u w:val="none"/>
                <w:lang w:eastAsia="zh-CN"/>
              </w:rPr>
              <w:t>全省生态环境总体准入要求及</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GB" w:eastAsia="zh-CN"/>
              </w:rPr>
              <w:t>福州市人民政府关于实施“</w:t>
            </w:r>
            <w:r>
              <w:rPr>
                <w:rFonts w:hint="default" w:ascii="Times New Roman" w:hAnsi="Times New Roman" w:eastAsia="宋体" w:cs="Times New Roman"/>
                <w:color w:val="auto"/>
                <w:spacing w:val="0"/>
                <w:w w:val="100"/>
                <w:position w:val="0"/>
                <w:sz w:val="24"/>
                <w:szCs w:val="24"/>
                <w:u w:val="none"/>
                <w:lang w:val="en-GB" w:eastAsia="zh-CN"/>
              </w:rPr>
              <w:t>三线一单”生态分区管控的通知</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榕政综〔2021〕178号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福州市生态环境局关于发布福州市2024年生产环境分区管控动态更新成果的通知</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（榕环保综</w:t>
            </w:r>
            <w:r>
              <w:rPr>
                <w:rFonts w:hint="default" w:ascii="Times New Roman" w:hAnsi="Times New Roman" w:eastAsia="宋体" w:cs="Times New Roman"/>
                <w:color w:val="auto"/>
                <w:spacing w:val="0"/>
                <w:w w:val="100"/>
                <w:position w:val="0"/>
                <w:sz w:val="24"/>
                <w:szCs w:val="24"/>
                <w:u w:val="none"/>
              </w:rPr>
              <w:t>〔202</w:t>
            </w:r>
            <w:r>
              <w:rPr>
                <w:rFonts w:hint="eastAsia" w:ascii="Times New Roman" w:hAnsi="Times New Roman" w:cs="Times New Roman"/>
                <w:color w:val="auto"/>
                <w:spacing w:val="0"/>
                <w:w w:val="100"/>
                <w:position w:val="0"/>
                <w:sz w:val="24"/>
                <w:szCs w:val="24"/>
                <w:u w:val="none"/>
                <w:lang w:val="en-US" w:eastAsia="zh-CN"/>
              </w:rPr>
              <w:t>5</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val="en-US" w:eastAsia="zh-CN"/>
              </w:rPr>
              <w:t>1号）</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2020年版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中禁止准入类的项目。</w:t>
            </w:r>
          </w:p>
          <w:p w14:paraId="7D0D9B12">
            <w:pPr>
              <w:pStyle w:val="33"/>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5" w:name="_Toc24656"/>
            <w:r>
              <w:rPr>
                <w:rFonts w:hint="eastAsia" w:ascii="Times New Roman" w:cs="Times New Roman"/>
                <w:b/>
                <w:color w:val="auto"/>
                <w:sz w:val="24"/>
                <w:szCs w:val="24"/>
                <w:highlight w:val="none"/>
                <w:u w:val="none"/>
                <w:lang w:val="en-US" w:eastAsia="zh-CN"/>
              </w:rPr>
              <w:t>4.</w:t>
            </w:r>
            <w:bookmarkEnd w:id="15"/>
            <w:r>
              <w:rPr>
                <w:rFonts w:hint="default" w:ascii="Times New Roman" w:hAnsi="Times New Roman" w:eastAsia="宋体" w:cs="Times New Roman"/>
                <w:b/>
                <w:color w:val="auto"/>
                <w:sz w:val="24"/>
                <w:szCs w:val="24"/>
                <w:highlight w:val="none"/>
                <w:u w:val="none"/>
                <w:lang w:val="en-US" w:eastAsia="zh-CN"/>
              </w:rPr>
              <w:t>与省、市生态环境分区管控的要求的符合性分析</w:t>
            </w:r>
          </w:p>
          <w:p w14:paraId="6ACDE8FD">
            <w:pPr>
              <w:pStyle w:val="34"/>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sz w:val="24"/>
                <w:szCs w:val="24"/>
                <w:lang w:val="en-US" w:eastAsia="zh-CN"/>
              </w:rPr>
              <w:t>根据《福建省人民政府关于实施“三线一单”生态环境分区管控的通知》（闽政〔2020〕12号）《中共福建省委办公厅 福建省人民政府办公厅关于加强生态环境分区管控的实施意见》（2024年11月10日）和《福州市生态环境局关于发布福州市2024年生态环境分区管控动态更新成果的通知》（榕环保综〔2025〕1号）以及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w:t>
            </w:r>
            <w:r>
              <w:rPr>
                <w:rFonts w:hint="default" w:ascii="Times New Roman" w:hAnsi="Times New Roman"/>
                <w:sz w:val="24"/>
                <w:szCs w:val="24"/>
                <w:lang w:val="en-US" w:eastAsia="zh-CN"/>
              </w:rPr>
              <w:t>号：FQGK1766735304092。</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ascii="Times New Roman" w:hAnsi="Times New Roman" w:cs="Times New Roman"/>
                <w:color w:val="auto"/>
                <w:sz w:val="24"/>
                <w:szCs w:val="24"/>
                <w:highlight w:val="none"/>
                <w:u w:val="none"/>
                <w:lang w:val="en-US" w:eastAsia="zh-CN"/>
              </w:rPr>
              <w:t>福清融侨经济技术开发区（</w:t>
            </w:r>
            <w:r>
              <w:rPr>
                <w:rFonts w:hint="eastAsia" w:cs="Times New Roman"/>
                <w:color w:val="auto"/>
                <w:sz w:val="24"/>
                <w:szCs w:val="24"/>
                <w:highlight w:val="none"/>
                <w:u w:val="none"/>
                <w:lang w:val="en-US" w:eastAsia="zh-CN"/>
              </w:rPr>
              <w:t>租赁福建融永拓新材料有限公司位于均和云谷·福清科技港的28#、36#厂房</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cs="Times New Roman"/>
                <w:color w:val="auto"/>
                <w:sz w:val="24"/>
                <w:szCs w:val="24"/>
                <w:highlight w:val="none"/>
                <w:lang w:val="en-US" w:eastAsia="zh-CN"/>
              </w:rPr>
              <w:t>福清融侨经济开发区（工业园区）内且</w:t>
            </w:r>
            <w:r>
              <w:rPr>
                <w:rFonts w:hint="default" w:ascii="Times New Roman" w:hAnsi="Times New Roman" w:eastAsia="宋体" w:cs="Times New Roman"/>
                <w:color w:val="auto"/>
                <w:sz w:val="24"/>
                <w:szCs w:val="24"/>
                <w:highlight w:val="none"/>
                <w:lang w:val="en-US" w:eastAsia="zh-CN"/>
              </w:rPr>
              <w:t>项目属于</w:t>
            </w:r>
            <w:r>
              <w:rPr>
                <w:rFonts w:hint="default" w:ascii="Times New Roman" w:hAnsi="Times New Roman" w:eastAsia="宋体" w:cs="Times New Roman"/>
                <w:color w:val="000000"/>
                <w:sz w:val="24"/>
                <w:szCs w:val="24"/>
                <w:lang w:val="en-US" w:eastAsia="zh-CN"/>
              </w:rPr>
              <w:t>塑料</w:t>
            </w:r>
            <w:r>
              <w:rPr>
                <w:rFonts w:hint="eastAsia" w:ascii="Times New Roman" w:hAnsi="Times New Roman" w:eastAsia="宋体" w:cs="Times New Roman"/>
                <w:color w:val="000000"/>
                <w:sz w:val="24"/>
                <w:szCs w:val="24"/>
                <w:lang w:val="en-US" w:eastAsia="zh-CN"/>
              </w:rPr>
              <w:t>薄膜</w:t>
            </w:r>
            <w:r>
              <w:rPr>
                <w:rFonts w:hint="default" w:ascii="Times New Roman" w:hAnsi="Times New Roman" w:eastAsia="宋体" w:cs="Times New Roman"/>
                <w:color w:val="000000"/>
                <w:sz w:val="24"/>
                <w:szCs w:val="24"/>
                <w:lang w:val="en-US" w:eastAsia="zh-CN"/>
              </w:rPr>
              <w:t>制造</w:t>
            </w:r>
            <w:r>
              <w:rPr>
                <w:rFonts w:hint="default" w:ascii="Times New Roman" w:hAnsi="Times New Roman" w:eastAsia="宋体"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福州市生态环境总体准入要求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z w:val="24"/>
                <w:szCs w:val="24"/>
              </w:rPr>
              <w:t>与重点管控单元（环境管控单元编码</w:t>
            </w:r>
            <w:r>
              <w:rPr>
                <w:rFonts w:hint="eastAsia" w:ascii="Times New Roman" w:hAnsi="Times New Roman"/>
                <w:sz w:val="24"/>
                <w:szCs w:val="24"/>
                <w:lang w:val="en-US" w:eastAsia="zh-CN"/>
              </w:rPr>
              <w:t>：ZH35018120008</w:t>
            </w:r>
            <w:r>
              <w:rPr>
                <w:rFonts w:hint="default" w:ascii="Times New Roman" w:hAnsi="Times New Roman"/>
                <w:sz w:val="24"/>
                <w:szCs w:val="24"/>
                <w:lang w:val="en-US" w:eastAsia="zh-CN"/>
              </w:rPr>
              <w:t>）</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4。福建省生态环境分区管控数据应用平台查询结果详见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color w:val="auto"/>
                <w:spacing w:val="0"/>
                <w:w w:val="100"/>
                <w:position w:val="0"/>
                <w:sz w:val="24"/>
                <w:szCs w:val="24"/>
                <w:u w:val="none"/>
              </w:rPr>
              <w:t>。</w:t>
            </w:r>
          </w:p>
        </w:tc>
      </w:tr>
    </w:tbl>
    <w:p w14:paraId="7CFDD7CA">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2D6B8896">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4"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p>
    <w:tbl>
      <w:tblPr>
        <w:tblStyle w:val="24"/>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2839"/>
      </w:tblGrid>
      <w:tr w14:paraId="7B4E2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272" w:type="pct"/>
            <w:noWrap w:val="0"/>
            <w:vAlign w:val="center"/>
          </w:tcPr>
          <w:p w14:paraId="388D30E6">
            <w:pPr>
              <w:rPr>
                <w:rFonts w:hint="default"/>
              </w:rPr>
            </w:pPr>
          </w:p>
        </w:tc>
        <w:tc>
          <w:tcPr>
            <w:tcW w:w="4727" w:type="pct"/>
            <w:noWrap w:val="0"/>
            <w:vAlign w:val="center"/>
          </w:tcPr>
          <w:p w14:paraId="6F8EFC0A">
            <w:pPr>
              <w:pStyle w:val="64"/>
              <w:keepNext/>
              <w:keepLines/>
              <w:pageBreakBefore w:val="0"/>
              <w:widowControl w:val="0"/>
              <w:numPr>
                <w:ilvl w:val="7"/>
                <w:numId w:val="2"/>
              </w:numPr>
              <w:tabs>
                <w:tab w:val="left" w:pos="420"/>
                <w:tab w:val="clear" w:pos="4507"/>
              </w:tabs>
              <w:kinsoku/>
              <w:wordWrap/>
              <w:overflowPunct/>
              <w:topLinePunct w:val="0"/>
              <w:autoSpaceDE/>
              <w:autoSpaceDN/>
              <w:bidi w:val="0"/>
              <w:adjustRightInd/>
              <w:snapToGrid/>
              <w:spacing w:before="157" w:beforeLines="50" w:after="0"/>
              <w:ind w:left="630" w:leftChars="0" w:firstLine="0" w:firstLineChars="0"/>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与</w:t>
            </w:r>
            <w:r>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全省生态环境总体准入要求的符合性分析</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624"/>
              <w:gridCol w:w="6970"/>
              <w:gridCol w:w="2941"/>
              <w:gridCol w:w="884"/>
            </w:tblGrid>
            <w:tr w14:paraId="33196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5" w:type="pct"/>
                  <w:tcBorders>
                    <w:tl2br w:val="nil"/>
                    <w:tr2bl w:val="nil"/>
                  </w:tcBorders>
                  <w:noWrap w:val="0"/>
                  <w:vAlign w:val="center"/>
                </w:tcPr>
                <w:p w14:paraId="3ED9D4F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3008" w:type="pct"/>
                  <w:gridSpan w:val="2"/>
                  <w:tcBorders>
                    <w:tl2br w:val="nil"/>
                    <w:tr2bl w:val="nil"/>
                  </w:tcBorders>
                  <w:noWrap w:val="0"/>
                  <w:vAlign w:val="center"/>
                </w:tcPr>
                <w:p w14:paraId="5C2A032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165" w:type="pct"/>
                  <w:tcBorders>
                    <w:tl2br w:val="nil"/>
                    <w:tr2bl w:val="nil"/>
                  </w:tcBorders>
                  <w:noWrap w:val="0"/>
                  <w:vAlign w:val="center"/>
                </w:tcPr>
                <w:p w14:paraId="18E18D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50" w:type="pct"/>
                  <w:tcBorders>
                    <w:tl2br w:val="nil"/>
                    <w:tr2bl w:val="nil"/>
                  </w:tcBorders>
                  <w:noWrap w:val="0"/>
                  <w:vAlign w:val="center"/>
                </w:tcPr>
                <w:p w14:paraId="690D250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70AAA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75" w:type="pct"/>
                  <w:vMerge w:val="restart"/>
                  <w:tcBorders>
                    <w:tl2br w:val="nil"/>
                    <w:tr2bl w:val="nil"/>
                  </w:tcBorders>
                  <w:noWrap w:val="0"/>
                  <w:vAlign w:val="center"/>
                </w:tcPr>
                <w:p w14:paraId="7EB4F41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7" w:type="pct"/>
                  <w:vMerge w:val="restart"/>
                  <w:tcBorders>
                    <w:tl2br w:val="nil"/>
                    <w:tr2bl w:val="nil"/>
                  </w:tcBorders>
                  <w:noWrap w:val="0"/>
                  <w:vAlign w:val="center"/>
                </w:tcPr>
                <w:p w14:paraId="5F68B17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61" w:type="pct"/>
                  <w:tcBorders>
                    <w:tl2br w:val="nil"/>
                    <w:tr2bl w:val="nil"/>
                  </w:tcBorders>
                  <w:noWrap w:val="0"/>
                  <w:vAlign w:val="center"/>
                </w:tcPr>
                <w:p w14:paraId="3BA0E3B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1.石化、汽车、船舶、冶金、水泥、制浆造纸、印染等重点产业，要符合全省规划布局要求。</w:t>
                  </w:r>
                </w:p>
              </w:tc>
              <w:tc>
                <w:tcPr>
                  <w:tcW w:w="1165" w:type="pct"/>
                  <w:vMerge w:val="restart"/>
                  <w:tcBorders>
                    <w:tl2br w:val="nil"/>
                    <w:tr2bl w:val="nil"/>
                  </w:tcBorders>
                  <w:noWrap w:val="0"/>
                  <w:vAlign w:val="center"/>
                </w:tcPr>
                <w:p w14:paraId="7F59139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主要从事</w:t>
                  </w:r>
                  <w:r>
                    <w:rPr>
                      <w:rFonts w:hint="eastAsia" w:cs="Times New Roman"/>
                      <w:color w:val="auto"/>
                      <w:sz w:val="21"/>
                      <w:szCs w:val="21"/>
                      <w:u w:val="none"/>
                      <w:lang w:val="en-US" w:eastAsia="zh-CN"/>
                    </w:rPr>
                    <w:t>塑料包装膜和塑料包装袋</w:t>
                  </w:r>
                  <w:r>
                    <w:rPr>
                      <w:rFonts w:hint="default" w:ascii="Times New Roman" w:hAnsi="Times New Roman" w:eastAsia="宋体" w:cs="Times New Roman"/>
                      <w:color w:val="auto"/>
                      <w:sz w:val="21"/>
                      <w:szCs w:val="21"/>
                      <w:u w:val="none"/>
                      <w:lang w:val="en-US" w:eastAsia="zh-CN"/>
                    </w:rPr>
                    <w:t>加工</w:t>
                  </w:r>
                  <w:r>
                    <w:rPr>
                      <w:rFonts w:hint="default" w:ascii="Times New Roman" w:hAnsi="Times New Roman" w:eastAsia="宋体" w:cs="Times New Roman"/>
                      <w:color w:val="auto"/>
                      <w:sz w:val="21"/>
                      <w:szCs w:val="21"/>
                      <w:u w:val="none"/>
                    </w:rPr>
                    <w:t>，不在空间布局约束范围中</w:t>
                  </w:r>
                  <w:r>
                    <w:rPr>
                      <w:rFonts w:hint="eastAsia"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项目周边水环境质量达标。生活污水经化粪池处理后接入市政管网汇入</w:t>
                  </w:r>
                  <w:r>
                    <w:rPr>
                      <w:rFonts w:hint="default" w:ascii="Times New Roman" w:hAnsi="Times New Roman" w:eastAsia="宋体" w:cs="Times New Roman"/>
                      <w:color w:val="auto"/>
                      <w:sz w:val="21"/>
                      <w:szCs w:val="21"/>
                      <w:u w:val="none"/>
                      <w:lang w:val="en-US" w:eastAsia="zh-CN"/>
                    </w:rPr>
                    <w:t>污水处理</w:t>
                  </w:r>
                  <w:r>
                    <w:rPr>
                      <w:rFonts w:hint="default" w:ascii="Times New Roman" w:hAnsi="Times New Roman" w:eastAsia="宋体" w:cs="Times New Roman"/>
                      <w:color w:val="auto"/>
                      <w:sz w:val="21"/>
                      <w:szCs w:val="21"/>
                      <w:u w:val="none"/>
                      <w:lang w:eastAsia="zh-CN"/>
                    </w:rPr>
                    <w:t>厂</w:t>
                  </w:r>
                  <w:r>
                    <w:rPr>
                      <w:rFonts w:hint="eastAsia" w:cs="Times New Roman"/>
                      <w:color w:val="auto"/>
                      <w:sz w:val="21"/>
                      <w:szCs w:val="21"/>
                      <w:u w:val="none"/>
                      <w:lang w:eastAsia="zh-CN"/>
                    </w:rPr>
                    <w:t>。</w:t>
                  </w:r>
                  <w:r>
                    <w:rPr>
                      <w:rFonts w:hint="eastAsia" w:cs="Times New Roman"/>
                      <w:color w:val="auto"/>
                      <w:sz w:val="21"/>
                      <w:szCs w:val="21"/>
                      <w:u w:val="none"/>
                      <w:lang w:val="en-US" w:eastAsia="zh-CN"/>
                    </w:rPr>
                    <w:t>与空间布局约束不冲突。</w:t>
                  </w:r>
                </w:p>
              </w:tc>
              <w:tc>
                <w:tcPr>
                  <w:tcW w:w="350" w:type="pct"/>
                  <w:vMerge w:val="restart"/>
                  <w:tcBorders>
                    <w:tl2br w:val="nil"/>
                    <w:tr2bl w:val="nil"/>
                  </w:tcBorders>
                  <w:noWrap w:val="0"/>
                  <w:vAlign w:val="center"/>
                </w:tcPr>
                <w:p w14:paraId="0F6C998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25533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5" w:type="pct"/>
                  <w:vMerge w:val="continue"/>
                  <w:tcBorders>
                    <w:tl2br w:val="nil"/>
                    <w:tr2bl w:val="nil"/>
                  </w:tcBorders>
                  <w:noWrap w:val="0"/>
                  <w:vAlign w:val="center"/>
                </w:tcPr>
                <w:p w14:paraId="3D794CF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841D48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4048EF2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2.严控钢铁、水泥、平板玻璃等产能过剩行业新增产能，新增产能应实施产能等量或减量置换。</w:t>
                  </w:r>
                </w:p>
              </w:tc>
              <w:tc>
                <w:tcPr>
                  <w:tcW w:w="1165" w:type="pct"/>
                  <w:vMerge w:val="continue"/>
                  <w:tcBorders>
                    <w:tl2br w:val="nil"/>
                    <w:tr2bl w:val="nil"/>
                  </w:tcBorders>
                  <w:noWrap w:val="0"/>
                  <w:vAlign w:val="center"/>
                </w:tcPr>
                <w:p w14:paraId="6121EE7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3EAFBC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3B8A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6E57D99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4130BC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09A740A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1165" w:type="pct"/>
                  <w:vMerge w:val="continue"/>
                  <w:tcBorders>
                    <w:tl2br w:val="nil"/>
                    <w:tr2bl w:val="nil"/>
                  </w:tcBorders>
                  <w:noWrap w:val="0"/>
                  <w:vAlign w:val="center"/>
                </w:tcPr>
                <w:p w14:paraId="7F837A3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0AABD39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B6B7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75" w:type="pct"/>
                  <w:vMerge w:val="continue"/>
                  <w:tcBorders>
                    <w:tl2br w:val="nil"/>
                    <w:tr2bl w:val="nil"/>
                  </w:tcBorders>
                  <w:noWrap w:val="0"/>
                  <w:vAlign w:val="center"/>
                </w:tcPr>
                <w:p w14:paraId="237086B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212C42F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28148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165" w:type="pct"/>
                  <w:vMerge w:val="continue"/>
                  <w:tcBorders>
                    <w:tl2br w:val="nil"/>
                    <w:tr2bl w:val="nil"/>
                  </w:tcBorders>
                  <w:noWrap w:val="0"/>
                  <w:vAlign w:val="center"/>
                </w:tcPr>
                <w:p w14:paraId="2C63CDB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55E899D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8A0A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75" w:type="pct"/>
                  <w:vMerge w:val="continue"/>
                  <w:tcBorders>
                    <w:tl2br w:val="nil"/>
                    <w:tr2bl w:val="nil"/>
                  </w:tcBorders>
                  <w:noWrap w:val="0"/>
                  <w:vAlign w:val="center"/>
                </w:tcPr>
                <w:p w14:paraId="4D11A74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11A2A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B8E2A5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1165" w:type="pct"/>
                  <w:vMerge w:val="continue"/>
                  <w:tcBorders>
                    <w:tl2br w:val="nil"/>
                    <w:tr2bl w:val="nil"/>
                  </w:tcBorders>
                  <w:noWrap w:val="0"/>
                  <w:vAlign w:val="center"/>
                </w:tcPr>
                <w:p w14:paraId="613E1DD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0260A69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140B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75" w:type="pct"/>
                  <w:vMerge w:val="continue"/>
                  <w:tcBorders>
                    <w:tl2br w:val="nil"/>
                    <w:tr2bl w:val="nil"/>
                  </w:tcBorders>
                  <w:noWrap w:val="0"/>
                  <w:vAlign w:val="center"/>
                </w:tcPr>
                <w:p w14:paraId="0F073E1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5D5CB6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3D90BE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1165" w:type="pct"/>
                  <w:vMerge w:val="continue"/>
                  <w:tcBorders>
                    <w:tl2br w:val="nil"/>
                    <w:tr2bl w:val="nil"/>
                  </w:tcBorders>
                  <w:noWrap w:val="0"/>
                  <w:vAlign w:val="center"/>
                </w:tcPr>
                <w:p w14:paraId="583195B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78A148C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758A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475" w:type="pct"/>
                  <w:vMerge w:val="continue"/>
                  <w:tcBorders>
                    <w:tl2br w:val="nil"/>
                    <w:tr2bl w:val="nil"/>
                  </w:tcBorders>
                  <w:noWrap w:val="0"/>
                  <w:vAlign w:val="center"/>
                </w:tcPr>
                <w:p w14:paraId="6BE2602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E665E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0D1599B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165" w:type="pct"/>
                  <w:vMerge w:val="continue"/>
                  <w:tcBorders>
                    <w:tl2br w:val="nil"/>
                    <w:tr2bl w:val="nil"/>
                  </w:tcBorders>
                  <w:noWrap w:val="0"/>
                  <w:vAlign w:val="center"/>
                </w:tcPr>
                <w:p w14:paraId="5A47BE73">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8501DC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0695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475" w:type="pct"/>
                  <w:vMerge w:val="continue"/>
                  <w:tcBorders>
                    <w:tl2br w:val="nil"/>
                    <w:tr2bl w:val="nil"/>
                  </w:tcBorders>
                  <w:noWrap w:val="0"/>
                  <w:vAlign w:val="center"/>
                </w:tcPr>
                <w:p w14:paraId="3342F06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3752E2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61" w:type="pct"/>
                  <w:tcBorders>
                    <w:tl2br w:val="nil"/>
                    <w:tr2bl w:val="nil"/>
                  </w:tcBorders>
                  <w:noWrap w:val="0"/>
                  <w:vAlign w:val="center"/>
                </w:tcPr>
                <w:p w14:paraId="2D444A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vertAlign w:val="baseline"/>
                      <w:lang w:val="en-US" w:eastAsia="zh-CN"/>
                    </w:rPr>
                    <w:t>1.建设项目新增的主要污染物（含VOCs）排放量应按要求实行等量或倍量替代。重点行业建设项目新增的主要污染物排放量应同时</w:t>
                  </w:r>
                  <w:r>
                    <w:rPr>
                      <w:rFonts w:hint="eastAsia"/>
                      <w:vertAlign w:val="baseline"/>
                      <w:lang w:val="en-US" w:eastAsia="zh-CN"/>
                    </w:rPr>
                    <w:t>满足《关于加强重点行业建设项目区域削减措施监督管理的通知》（环办环评〔2020〕36号）的要求。涉及新增总磷排放的建设项目应符合相关削减替代要求。新、改、扩建重点行业［2］建设项目要符合“闽环保固体〔2022〕17号”文件要求</w:t>
                  </w:r>
                  <w:r>
                    <w:rPr>
                      <w:rFonts w:hint="default" w:ascii="Times New Roman" w:hAnsi="Times New Roman" w:eastAsia="宋体" w:cs="Times New Roman"/>
                      <w:color w:val="auto"/>
                      <w:sz w:val="21"/>
                      <w:szCs w:val="21"/>
                      <w:u w:val="none"/>
                    </w:rPr>
                    <w:t>。涉新增VOCs排放项目，VOCs排放实行区域内等量替代，福州、厦门、漳州、泉州、莆田、宁德等6个重点控制区可实施倍量替代。</w:t>
                  </w:r>
                </w:p>
              </w:tc>
              <w:tc>
                <w:tcPr>
                  <w:tcW w:w="1165" w:type="pct"/>
                  <w:tcBorders>
                    <w:tl2br w:val="nil"/>
                    <w:tr2bl w:val="nil"/>
                  </w:tcBorders>
                  <w:noWrap w:val="0"/>
                  <w:vAlign w:val="center"/>
                </w:tcPr>
                <w:p w14:paraId="2BFAA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w:t>
                  </w:r>
                  <w:r>
                    <w:rPr>
                      <w:rFonts w:hint="default" w:ascii="Times New Roman" w:hAnsi="Times New Roman" w:eastAsia="宋体" w:cs="Times New Roman"/>
                      <w:color w:val="auto"/>
                      <w:kern w:val="0"/>
                      <w:sz w:val="21"/>
                      <w:szCs w:val="21"/>
                      <w:u w:val="none"/>
                      <w:vertAlign w:val="baseline"/>
                      <w:lang w:val="en-US" w:eastAsia="zh-CN"/>
                    </w:rPr>
                    <w:t>1.2</w:t>
                  </w:r>
                  <w:r>
                    <w:rPr>
                      <w:rFonts w:hint="default" w:ascii="Times New Roman" w:hAnsi="Times New Roman" w:eastAsia="宋体" w:cs="Times New Roman"/>
                      <w:color w:val="auto"/>
                      <w:kern w:val="0"/>
                      <w:sz w:val="21"/>
                      <w:szCs w:val="21"/>
                      <w:u w:val="none"/>
                      <w:vertAlign w:val="baseline"/>
                    </w:rPr>
                    <w:t>倍量替代</w:t>
                  </w:r>
                </w:p>
              </w:tc>
              <w:tc>
                <w:tcPr>
                  <w:tcW w:w="350" w:type="pct"/>
                  <w:vMerge w:val="restart"/>
                  <w:tcBorders>
                    <w:tl2br w:val="nil"/>
                    <w:tr2bl w:val="nil"/>
                  </w:tcBorders>
                  <w:noWrap w:val="0"/>
                  <w:vAlign w:val="center"/>
                </w:tcPr>
                <w:p w14:paraId="1F6A79C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135C7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75" w:type="pct"/>
                  <w:vMerge w:val="continue"/>
                  <w:tcBorders>
                    <w:tl2br w:val="nil"/>
                    <w:tr2bl w:val="nil"/>
                  </w:tcBorders>
                  <w:noWrap w:val="0"/>
                  <w:vAlign w:val="center"/>
                </w:tcPr>
                <w:p w14:paraId="266AD45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D8BADA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5A585C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w:t>
                  </w:r>
                  <w:r>
                    <w:rPr>
                      <w:rFonts w:hint="eastAsia"/>
                      <w:vertAlign w:val="superscript"/>
                      <w:lang w:val="en-US" w:eastAsia="zh-CN"/>
                    </w:rPr>
                    <w:t>［2］［4］</w:t>
                  </w:r>
                  <w:r>
                    <w:rPr>
                      <w:rFonts w:hint="eastAsia"/>
                      <w:vertAlign w:val="baseline"/>
                      <w:lang w:val="en-US" w:eastAsia="zh-CN"/>
                    </w:rPr>
                    <w:t>。</w:t>
                  </w:r>
                </w:p>
              </w:tc>
              <w:tc>
                <w:tcPr>
                  <w:tcW w:w="1165" w:type="pct"/>
                  <w:tcBorders>
                    <w:tl2br w:val="nil"/>
                    <w:tr2bl w:val="nil"/>
                  </w:tcBorders>
                  <w:noWrap w:val="0"/>
                  <w:vAlign w:val="center"/>
                </w:tcPr>
                <w:p w14:paraId="1AB4FB3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50" w:type="pct"/>
                  <w:vMerge w:val="continue"/>
                  <w:tcBorders>
                    <w:tl2br w:val="nil"/>
                    <w:tr2bl w:val="nil"/>
                  </w:tcBorders>
                  <w:noWrap w:val="0"/>
                  <w:vAlign w:val="center"/>
                </w:tcPr>
                <w:p w14:paraId="49BC787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2F53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 w:type="pct"/>
                  <w:vMerge w:val="continue"/>
                  <w:tcBorders>
                    <w:tl2br w:val="nil"/>
                    <w:tr2bl w:val="nil"/>
                  </w:tcBorders>
                  <w:noWrap w:val="0"/>
                  <w:vAlign w:val="center"/>
                </w:tcPr>
                <w:p w14:paraId="1785F6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7BC14A4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0427B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1165" w:type="pct"/>
                  <w:tcBorders>
                    <w:tl2br w:val="nil"/>
                    <w:tr2bl w:val="nil"/>
                  </w:tcBorders>
                  <w:noWrap w:val="0"/>
                  <w:vAlign w:val="center"/>
                </w:tcPr>
                <w:p w14:paraId="7902A3F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本项目</w:t>
                  </w:r>
                  <w:r>
                    <w:rPr>
                      <w:rFonts w:hint="eastAsia" w:cs="Times New Roman"/>
                      <w:color w:val="auto"/>
                      <w:sz w:val="21"/>
                      <w:szCs w:val="21"/>
                      <w:u w:val="none"/>
                      <w:lang w:val="en-US" w:eastAsia="zh-CN"/>
                    </w:rPr>
                    <w:t>不产生生产废水</w:t>
                  </w:r>
                  <w:r>
                    <w:rPr>
                      <w:rFonts w:hint="eastAsia" w:ascii="Times New Roman" w:hAnsi="Times New Roman" w:eastAsia="宋体" w:cs="Times New Roman"/>
                      <w:color w:val="auto"/>
                      <w:sz w:val="21"/>
                      <w:szCs w:val="21"/>
                      <w:u w:val="none"/>
                      <w:lang w:val="en-US" w:eastAsia="zh-CN"/>
                    </w:rPr>
                    <w:t>；生活污水经化粪池预处理后，排入市政污水管网纳入福清市融元污水处理厂进行集中</w:t>
                  </w:r>
                  <w:r>
                    <w:rPr>
                      <w:rFonts w:hint="default" w:ascii="Times New Roman" w:hAnsi="Times New Roman" w:eastAsia="宋体" w:cs="Times New Roman"/>
                      <w:color w:val="auto"/>
                      <w:sz w:val="21"/>
                      <w:szCs w:val="21"/>
                      <w:u w:val="none"/>
                      <w:lang w:val="en-US" w:eastAsia="zh-CN"/>
                    </w:rPr>
                    <w:t>处理</w:t>
                  </w:r>
                  <w:r>
                    <w:rPr>
                      <w:rFonts w:hint="eastAsia" w:ascii="Times New Roman" w:hAnsi="Times New Roman" w:eastAsia="宋体" w:cs="Times New Roman"/>
                      <w:color w:val="auto"/>
                      <w:sz w:val="21"/>
                      <w:szCs w:val="21"/>
                      <w:u w:val="none"/>
                      <w:lang w:val="en-US" w:eastAsia="zh-CN"/>
                    </w:rPr>
                    <w:t>。</w:t>
                  </w:r>
                </w:p>
              </w:tc>
              <w:tc>
                <w:tcPr>
                  <w:tcW w:w="350" w:type="pct"/>
                  <w:vMerge w:val="continue"/>
                  <w:tcBorders>
                    <w:tl2br w:val="nil"/>
                    <w:tr2bl w:val="nil"/>
                  </w:tcBorders>
                  <w:noWrap w:val="0"/>
                  <w:vAlign w:val="center"/>
                </w:tcPr>
                <w:p w14:paraId="1E31652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1871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452B377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37A7A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5E220F2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4.优化调整货物运输方式，提升铁路货运比例，推进钢铁、电力、电解铝、焦化等重点工业企业和工业园区货物由公路运输转向铁路运输。</w:t>
                  </w:r>
                </w:p>
              </w:tc>
              <w:tc>
                <w:tcPr>
                  <w:tcW w:w="1165" w:type="pct"/>
                  <w:vMerge w:val="restart"/>
                  <w:tcBorders>
                    <w:tl2br w:val="nil"/>
                    <w:tr2bl w:val="nil"/>
                  </w:tcBorders>
                  <w:noWrap w:val="0"/>
                  <w:vAlign w:val="center"/>
                </w:tcPr>
                <w:p w14:paraId="1F9E986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350" w:type="pct"/>
                  <w:vMerge w:val="continue"/>
                  <w:tcBorders>
                    <w:tl2br w:val="nil"/>
                    <w:tr2bl w:val="nil"/>
                  </w:tcBorders>
                  <w:noWrap w:val="0"/>
                  <w:vAlign w:val="center"/>
                </w:tcPr>
                <w:p w14:paraId="76BCC8B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0A202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543866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28E2F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9AD1EB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1165" w:type="pct"/>
                  <w:vMerge w:val="continue"/>
                  <w:tcBorders>
                    <w:tl2br w:val="nil"/>
                    <w:tr2bl w:val="nil"/>
                  </w:tcBorders>
                  <w:noWrap w:val="0"/>
                  <w:vAlign w:val="center"/>
                </w:tcPr>
                <w:p w14:paraId="5E84F4D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715DB53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442B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3C3EB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5344AE6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5D955C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B4501A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1165" w:type="pct"/>
                  <w:vMerge w:val="restart"/>
                  <w:tcBorders>
                    <w:tl2br w:val="nil"/>
                    <w:tr2bl w:val="nil"/>
                  </w:tcBorders>
                  <w:noWrap w:val="0"/>
                  <w:vAlign w:val="center"/>
                </w:tcPr>
                <w:p w14:paraId="36BB9CB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default" w:ascii="Times New Roman" w:hAnsi="Times New Roman" w:cs="Times New Roman"/>
                      <w:color w:val="auto"/>
                      <w:kern w:val="0"/>
                      <w:sz w:val="21"/>
                      <w:szCs w:val="21"/>
                      <w:highlight w:val="none"/>
                      <w:vertAlign w:val="baseline"/>
                      <w:lang w:val="en-US" w:eastAsia="zh-CN"/>
                    </w:rPr>
                    <w:t>，</w:t>
                  </w:r>
                  <w:r>
                    <w:rPr>
                      <w:rFonts w:hint="eastAsia" w:cs="Times New Roman"/>
                      <w:color w:val="auto"/>
                      <w:kern w:val="0"/>
                      <w:sz w:val="21"/>
                      <w:szCs w:val="21"/>
                      <w:highlight w:val="none"/>
                      <w:vertAlign w:val="baseline"/>
                      <w:lang w:val="en-US" w:eastAsia="zh-CN"/>
                    </w:rPr>
                    <w:t>属于清洁能源，</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eastAsia="宋体" w:cs="Times New Roman"/>
                      <w:b w:val="0"/>
                      <w:bCs w:val="0"/>
                      <w:color w:val="auto"/>
                      <w:sz w:val="21"/>
                      <w:szCs w:val="21"/>
                      <w:highlight w:val="none"/>
                      <w:lang w:eastAsia="zh-CN"/>
                    </w:rPr>
                    <w:t>；</w:t>
                  </w:r>
                </w:p>
              </w:tc>
              <w:tc>
                <w:tcPr>
                  <w:tcW w:w="350" w:type="pct"/>
                  <w:vMerge w:val="restart"/>
                  <w:tcBorders>
                    <w:tl2br w:val="nil"/>
                    <w:tr2bl w:val="nil"/>
                  </w:tcBorders>
                  <w:noWrap w:val="0"/>
                  <w:vAlign w:val="center"/>
                </w:tcPr>
                <w:p w14:paraId="4F5605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17C7F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4C4A315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59FAE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91A04B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1165" w:type="pct"/>
                  <w:vMerge w:val="continue"/>
                  <w:tcBorders>
                    <w:tl2br w:val="nil"/>
                    <w:tr2bl w:val="nil"/>
                  </w:tcBorders>
                  <w:noWrap w:val="0"/>
                  <w:vAlign w:val="center"/>
                </w:tcPr>
                <w:p w14:paraId="22F42DA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F3F4B5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40CD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75" w:type="pct"/>
                  <w:vMerge w:val="continue"/>
                  <w:tcBorders>
                    <w:tl2br w:val="nil"/>
                    <w:tr2bl w:val="nil"/>
                  </w:tcBorders>
                  <w:noWrap w:val="0"/>
                  <w:vAlign w:val="center"/>
                </w:tcPr>
                <w:p w14:paraId="3485B49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6BBBA1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347DFC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165" w:type="pct"/>
                  <w:vMerge w:val="continue"/>
                  <w:tcBorders>
                    <w:tl2br w:val="nil"/>
                    <w:tr2bl w:val="nil"/>
                  </w:tcBorders>
                  <w:noWrap w:val="0"/>
                  <w:vAlign w:val="center"/>
                </w:tcPr>
                <w:p w14:paraId="14EE692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3A90DF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B800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544648F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375CC8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7FEAE4B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165" w:type="pct"/>
                  <w:vMerge w:val="continue"/>
                  <w:tcBorders>
                    <w:tl2br w:val="nil"/>
                    <w:tr2bl w:val="nil"/>
                  </w:tcBorders>
                  <w:noWrap w:val="0"/>
                  <w:vAlign w:val="center"/>
                </w:tcPr>
                <w:p w14:paraId="45A9F73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7B390FD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C4F5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2F50DBE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7A3E2C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2446205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1165" w:type="pct"/>
                  <w:vMerge w:val="continue"/>
                  <w:tcBorders>
                    <w:tl2br w:val="nil"/>
                    <w:tr2bl w:val="nil"/>
                  </w:tcBorders>
                  <w:noWrap w:val="0"/>
                  <w:vAlign w:val="center"/>
                </w:tcPr>
                <w:p w14:paraId="7263F0D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1AFD715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485E1B1D">
            <w:pPr>
              <w:pStyle w:val="64"/>
              <w:keepNext/>
              <w:keepLines/>
              <w:pageBreakBefore w:val="0"/>
              <w:widowControl w:val="0"/>
              <w:numPr>
                <w:ilvl w:val="7"/>
                <w:numId w:val="2"/>
              </w:numPr>
              <w:tabs>
                <w:tab w:val="left" w:pos="420"/>
                <w:tab w:val="clear" w:pos="4507"/>
              </w:tabs>
              <w:kinsoku/>
              <w:wordWrap/>
              <w:overflowPunct/>
              <w:topLinePunct w:val="0"/>
              <w:autoSpaceDE/>
              <w:autoSpaceDN/>
              <w:bidi w:val="0"/>
              <w:adjustRightInd/>
              <w:snapToGrid/>
              <w:spacing w:before="157" w:beforeLines="50" w:after="0"/>
              <w:ind w:left="630" w:leftChars="0" w:firstLine="0" w:firstLineChars="0"/>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福州市</w:t>
            </w: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生态环境总体准入要求的符合性分析</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01"/>
              <w:gridCol w:w="7390"/>
              <w:gridCol w:w="2716"/>
              <w:gridCol w:w="891"/>
            </w:tblGrid>
            <w:tr w14:paraId="5931C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85" w:type="pct"/>
                  <w:tcBorders>
                    <w:tl2br w:val="nil"/>
                    <w:tr2bl w:val="nil"/>
                  </w:tcBorders>
                  <w:vAlign w:val="center"/>
                </w:tcPr>
                <w:p w14:paraId="3223401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3284" w:type="pct"/>
                  <w:gridSpan w:val="2"/>
                  <w:tcBorders>
                    <w:tl2br w:val="nil"/>
                    <w:tr2bl w:val="nil"/>
                  </w:tcBorders>
                  <w:vAlign w:val="center"/>
                </w:tcPr>
                <w:p w14:paraId="41300C5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076" w:type="pct"/>
                  <w:tcBorders>
                    <w:tl2br w:val="nil"/>
                    <w:tr2bl w:val="nil"/>
                  </w:tcBorders>
                  <w:vAlign w:val="center"/>
                </w:tcPr>
                <w:p w14:paraId="1375B47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353" w:type="pct"/>
                  <w:tcBorders>
                    <w:tl2br w:val="nil"/>
                    <w:tr2bl w:val="nil"/>
                  </w:tcBorders>
                  <w:vAlign w:val="center"/>
                </w:tcPr>
                <w:p w14:paraId="0D28D6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0BB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1E9983C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7" w:type="pct"/>
                  <w:tcBorders>
                    <w:tl2br w:val="nil"/>
                    <w:tr2bl w:val="nil"/>
                  </w:tcBorders>
                  <w:vAlign w:val="center"/>
                </w:tcPr>
                <w:p w14:paraId="13A6746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359E02A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076" w:type="pct"/>
                  <w:tcBorders>
                    <w:tl2br w:val="nil"/>
                    <w:tr2bl w:val="nil"/>
                  </w:tcBorders>
                  <w:vAlign w:val="center"/>
                </w:tcPr>
                <w:p w14:paraId="10D371B5">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u w:val="none"/>
                      <w:vertAlign w:val="baseline"/>
                      <w:lang w:val="en-US"/>
                    </w:rPr>
                  </w:pPr>
                  <w:r>
                    <w:rPr>
                      <w:rFonts w:hint="eastAsia"/>
                      <w:color w:val="auto"/>
                      <w:u w:val="none"/>
                      <w:vertAlign w:val="baseline"/>
                      <w:lang w:val="en-US" w:eastAsia="zh-CN"/>
                    </w:rPr>
                    <w:t>本项目不属于危险化学品生产企业，不属于有色金属、印染、原料药制造、化工等企业；本项目位于</w:t>
                  </w:r>
                  <w:r>
                    <w:rPr>
                      <w:rFonts w:hint="eastAsia"/>
                      <w:color w:val="auto"/>
                      <w:sz w:val="21"/>
                      <w:szCs w:val="21"/>
                      <w:u w:val="none"/>
                      <w:lang w:eastAsia="zh-CN"/>
                    </w:rPr>
                    <w:t>福清融侨经济技术开发区内。</w:t>
                  </w:r>
                </w:p>
              </w:tc>
              <w:tc>
                <w:tcPr>
                  <w:tcW w:w="353" w:type="pct"/>
                  <w:tcBorders>
                    <w:tl2br w:val="nil"/>
                    <w:tr2bl w:val="nil"/>
                  </w:tcBorders>
                  <w:vAlign w:val="center"/>
                </w:tcPr>
                <w:p w14:paraId="3A0614B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145E1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23E69FA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7" w:type="pct"/>
                  <w:tcBorders>
                    <w:tl2br w:val="nil"/>
                    <w:tr2bl w:val="nil"/>
                  </w:tcBorders>
                  <w:vAlign w:val="center"/>
                </w:tcPr>
                <w:p w14:paraId="46AFB48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927" w:type="pct"/>
                  <w:tcBorders>
                    <w:tl2br w:val="nil"/>
                    <w:tr2bl w:val="nil"/>
                  </w:tcBorders>
                  <w:vAlign w:val="center"/>
                </w:tcPr>
                <w:p w14:paraId="2D83ADA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在城市建成区新建大气污染型项目，二氧化硫、氮氧化物排放量应实行倍量削减替代。</w:t>
                  </w:r>
                </w:p>
              </w:tc>
              <w:tc>
                <w:tcPr>
                  <w:tcW w:w="1076" w:type="pct"/>
                  <w:tcBorders>
                    <w:tl2br w:val="nil"/>
                    <w:tr2bl w:val="nil"/>
                  </w:tcBorders>
                  <w:vAlign w:val="center"/>
                </w:tcPr>
                <w:p w14:paraId="7D94A08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kern w:val="0"/>
                      <w:sz w:val="21"/>
                      <w:szCs w:val="21"/>
                      <w:u w:val="none"/>
                      <w:lang w:val="en-US" w:eastAsia="zh-CN" w:bidi="ar"/>
                    </w:rPr>
                    <w:t>本项目不涉及</w:t>
                  </w:r>
                  <w:r>
                    <w:rPr>
                      <w:rFonts w:hint="eastAsia"/>
                      <w:color w:val="auto"/>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w:t>
                  </w:r>
                  <w:r>
                    <w:rPr>
                      <w:rFonts w:hint="eastAsia" w:ascii="Times New Roman" w:hAnsi="Times New Roman" w:eastAsia="宋体" w:cs="Times New Roman"/>
                      <w:color w:val="auto"/>
                      <w:kern w:val="0"/>
                      <w:sz w:val="21"/>
                      <w:szCs w:val="21"/>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eastAsia" w:ascii="Times New Roman" w:hAnsi="Times New Roman" w:cs="Times New Roman"/>
                      <w:color w:val="auto"/>
                      <w:sz w:val="21"/>
                      <w:szCs w:val="21"/>
                      <w:u w:val="none"/>
                      <w:lang w:eastAsia="zh-CN"/>
                    </w:rPr>
                    <w:t>。</w:t>
                  </w:r>
                </w:p>
              </w:tc>
              <w:tc>
                <w:tcPr>
                  <w:tcW w:w="353" w:type="pct"/>
                  <w:tcBorders>
                    <w:tl2br w:val="nil"/>
                    <w:tr2bl w:val="nil"/>
                  </w:tcBorders>
                  <w:vAlign w:val="center"/>
                </w:tcPr>
                <w:p w14:paraId="597E47D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6D20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08255D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7" w:type="pct"/>
                  <w:vMerge w:val="restart"/>
                  <w:tcBorders>
                    <w:tl2br w:val="nil"/>
                    <w:tr2bl w:val="nil"/>
                  </w:tcBorders>
                  <w:vAlign w:val="center"/>
                </w:tcPr>
                <w:p w14:paraId="47E3DE3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3D17BE7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一、优先保护单元中的生态保护红线</w:t>
                  </w:r>
                </w:p>
                <w:p w14:paraId="7A8C2D1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56C9E4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宋体" w:hAnsi="宋体" w:eastAsia="宋体" w:cs="宋体"/>
                      <w:vertAlign w:val="baseline"/>
                      <w:lang w:val="en-US" w:eastAsia="zh-CN"/>
                    </w:rPr>
                    <w:t>（</w:t>
                  </w:r>
                  <w:r>
                    <w:rPr>
                      <w:rFonts w:hint="default" w:ascii="Times New Roman" w:hAnsi="Times New Roman" w:eastAsia="宋体" w:cs="Times New Roman"/>
                      <w:vertAlign w:val="baseline"/>
                      <w:lang w:val="en-US" w:eastAsia="zh-CN"/>
                    </w:rPr>
                    <w:t>1</w:t>
                  </w:r>
                  <w:r>
                    <w:rPr>
                      <w:rFonts w:hint="eastAsia" w:ascii="宋体" w:hAnsi="宋体" w:eastAsia="宋体" w:cs="宋体"/>
                      <w:vertAlign w:val="baseline"/>
                      <w:lang w:val="en-US" w:eastAsia="zh-CN"/>
                    </w:rPr>
                    <w:t>）</w:t>
                  </w:r>
                  <w:r>
                    <w:rPr>
                      <w:rFonts w:hint="eastAsia" w:ascii="Times New Roman" w:hAnsi="Times New Roman" w:eastAsia="宋体" w:cs="Times New Roman"/>
                      <w:vertAlign w:val="baseline"/>
                      <w:lang w:val="en-US" w:eastAsia="zh-CN"/>
                    </w:rPr>
                    <w:t>管护巡护、保护执法、科学研究、调查监测、测绘导航、防灾减灾救灾、军事国防、疫情防控等活动及相关的必要设施</w:t>
                  </w:r>
                  <w:r>
                    <w:rPr>
                      <w:rFonts w:hint="eastAsia" w:cs="Times New Roman"/>
                      <w:vertAlign w:val="baseline"/>
                      <w:lang w:val="en-US" w:eastAsia="zh-CN"/>
                    </w:rPr>
                    <w:t>修缮</w:t>
                  </w:r>
                  <w:r>
                    <w:rPr>
                      <w:rFonts w:hint="eastAsia" w:ascii="Times New Roman" w:hAnsi="Times New Roman" w:eastAsia="宋体" w:cs="Times New Roman"/>
                      <w:vertAlign w:val="baseline"/>
                      <w:lang w:val="en-US" w:eastAsia="zh-CN"/>
                    </w:rPr>
                    <w:t>。</w:t>
                  </w:r>
                </w:p>
                <w:p w14:paraId="2F38FC3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2C1F1D7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r>
                    <w:rPr>
                      <w:rFonts w:hint="eastAsia" w:ascii="Times New Roman" w:hAnsi="Times New Roman" w:eastAsia="宋体" w:cs="Times New Roman"/>
                      <w:vertAlign w:val="baseline"/>
                      <w:lang w:val="en-US" w:eastAsia="zh-CN"/>
                    </w:rPr>
                    <w:t>经依法批准的考古调查发掘、古生物化石调查发掘、标本采集和文物保护活动。</w:t>
                  </w:r>
                </w:p>
                <w:p w14:paraId="6A69C8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（4）按规定对人工商品林进行抚育采伐，或以提升森林质量、优化栖息地、建设生物防火隔离带等为目的的树种更新，依法开展的竹林采伐经营。</w:t>
                  </w:r>
                </w:p>
                <w:p w14:paraId="61FDE5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（5）不破坏生态功能的适度参观旅游、科普宣教及符合相关规划的配套性服务设施和相关的必要公共设施建设及维护。</w:t>
                  </w:r>
                </w:p>
                <w:p w14:paraId="3237C9F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55B96C4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2B17C15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（8）依据县级以上国土空间规划和生态保护修复专项规划开展的生态修复。</w:t>
                  </w:r>
                </w:p>
                <w:p w14:paraId="62E8DC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（9）法律法规规定允许的其他人为活动。</w:t>
                  </w:r>
                </w:p>
                <w:p w14:paraId="278A25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60BDF7A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（1）党中央、国务院发布文件或批准规划中明确具体名称的项目和国务院批准的项目。</w:t>
                  </w:r>
                </w:p>
                <w:p w14:paraId="0DDBC4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（2）中央军委及其有关部门批准的军事国防项目。</w:t>
                  </w:r>
                </w:p>
                <w:p w14:paraId="5D2C537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（3）国家级规划（指国务院及其有关部门正式颁布）明确的交通、水利项目。</w:t>
                  </w:r>
                </w:p>
                <w:p w14:paraId="18536F2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（4）国家级规划明确的电网项目，国家级规划明确的且符合国家产业政策的能源矿产勘查开采、油气管线、水电、核电项目。</w:t>
                  </w:r>
                </w:p>
                <w:p w14:paraId="1D78858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（5）为贯彻落实党中央、国务院重大决策部署</w:t>
                  </w:r>
                  <w:r>
                    <w:rPr>
                      <w:rFonts w:hint="eastAsia" w:cs="Times New Roman"/>
                      <w:vertAlign w:val="baseline"/>
                      <w:lang w:val="en-US" w:eastAsia="zh-CN"/>
                    </w:rPr>
                    <w:t>，由</w:t>
                  </w:r>
                  <w:r>
                    <w:rPr>
                      <w:rFonts w:hint="eastAsia" w:ascii="Times New Roman" w:hAnsi="Times New Roman" w:eastAsia="宋体" w:cs="Times New Roman"/>
                      <w:vertAlign w:val="baseline"/>
                      <w:lang w:val="en-US" w:eastAsia="zh-CN"/>
                    </w:rPr>
                    <w:t>国务院投资主管部门或国务院投资主管部门会同有关部门确认的交通、能源、水利等基础设施项目。</w:t>
                  </w:r>
                </w:p>
                <w:p w14:paraId="1F5840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（6）按照国家重大项目用地保障工作机制要求，国家发展改革委会同有关部门确认的需中央加大建设用地保障力度，确实难以避让的国家重大项目。</w:t>
                  </w:r>
                </w:p>
              </w:tc>
              <w:tc>
                <w:tcPr>
                  <w:tcW w:w="1076" w:type="pct"/>
                  <w:tcBorders>
                    <w:tl2br w:val="nil"/>
                    <w:tr2bl w:val="nil"/>
                  </w:tcBorders>
                  <w:vAlign w:val="center"/>
                </w:tcPr>
                <w:p w14:paraId="7FE719D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374B5FA6">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D35E57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3" w:type="pct"/>
                  <w:tcBorders>
                    <w:tl2br w:val="nil"/>
                    <w:tr2bl w:val="nil"/>
                  </w:tcBorders>
                  <w:vAlign w:val="center"/>
                </w:tcPr>
                <w:p w14:paraId="6A40166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2019D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069FEC0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3EFAD49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766DF5B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二、优先保护单元中的一般生态空间</w:t>
                  </w:r>
                </w:p>
                <w:p w14:paraId="43DF2CF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一般生态空间以保护和修复生态环境、提供生态产品和服务为首要任务，因地制宜地发展不影响主体功能定位的适宜产业。</w:t>
                  </w:r>
                </w:p>
                <w:p w14:paraId="3A26F8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一般生态空间内未纳入生态保护红线的饮用水水源保护区等各类法定保护地，其管控要求依照相关法律法规执行。</w:t>
                  </w:r>
                </w:p>
                <w:p w14:paraId="5628C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076" w:type="pct"/>
                  <w:tcBorders>
                    <w:tl2br w:val="nil"/>
                    <w:tr2bl w:val="nil"/>
                  </w:tcBorders>
                  <w:vAlign w:val="center"/>
                </w:tcPr>
                <w:p w14:paraId="266D053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本项目位于福清市重点管控单元1</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1A074B28">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6EF68CB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水泥厂、矿山开发等生产性设施项目</w:t>
                  </w:r>
                </w:p>
              </w:tc>
              <w:tc>
                <w:tcPr>
                  <w:tcW w:w="353" w:type="pct"/>
                  <w:tcBorders>
                    <w:tl2br w:val="nil"/>
                    <w:tr2bl w:val="nil"/>
                  </w:tcBorders>
                  <w:vAlign w:val="center"/>
                </w:tcPr>
                <w:p w14:paraId="005FFD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3023D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0E9FBEA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68FA84D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041FD0A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b/>
                      <w:bCs/>
                      <w:vertAlign w:val="baseline"/>
                      <w:lang w:val="en-US" w:eastAsia="zh-CN"/>
                    </w:rPr>
                    <w:t>三、其它要求</w:t>
                  </w:r>
                </w:p>
                <w:p w14:paraId="5145879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福州市石化中上游项目重点在福州江阴港城经济区、可门港经济区化工新材料产业园布局。</w:t>
                  </w:r>
                </w:p>
                <w:p w14:paraId="7E719A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禁止在闽江马尾罗星塔以上流域范围新、扩建制革项目，严控新（扩）建植物制浆、印染、合成革及人造革、电镀项目。</w:t>
                  </w:r>
                </w:p>
                <w:p w14:paraId="7BCE79D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禁止在通风廊道和主导风向的上风向布局大气重污染企业，推进建成区大气重污染企业搬迁或升级改造、环境风险企业搬迁或关闭退出。</w:t>
                  </w:r>
                </w:p>
                <w:p w14:paraId="567BC77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4.</w:t>
                  </w:r>
                  <w:r>
                    <w:rPr>
                      <w:rFonts w:hint="eastAsia" w:ascii="Times New Roman" w:hAnsi="Times New Roman" w:eastAsia="宋体" w:cs="Times New Roman"/>
                      <w:vertAlign w:val="baseline"/>
                      <w:lang w:val="en-US" w:eastAsia="zh-CN"/>
                    </w:rPr>
                    <w:t>禁止新、改、扩建生产高VOCs含量有机溶剂型涂料、油墨和胶黏剂的项目。</w:t>
                  </w:r>
                </w:p>
                <w:p w14:paraId="3BC457C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5.</w:t>
                  </w:r>
                  <w:r>
                    <w:rPr>
                      <w:rFonts w:hint="eastAsia" w:ascii="Times New Roman" w:hAnsi="Times New Roman" w:eastAsia="宋体" w:cs="Times New Roman"/>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2E7083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6.</w:t>
                  </w:r>
                  <w:r>
                    <w:rPr>
                      <w:rFonts w:hint="eastAsia" w:ascii="Times New Roman" w:hAnsi="Times New Roman" w:eastAsia="宋体" w:cs="Times New Roman"/>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5A504F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7.</w:t>
                  </w:r>
                  <w:r>
                    <w:rPr>
                      <w:rFonts w:hint="eastAsia" w:ascii="Times New Roman" w:hAnsi="Times New Roman" w:eastAsia="宋体" w:cs="Times New Roman"/>
                      <w:vertAlign w:val="baseline"/>
                      <w:lang w:val="en-US" w:eastAsia="zh-CN"/>
                    </w:rPr>
                    <w:t>禁止在流域上游新建、扩建重污染企业和项目。</w:t>
                  </w:r>
                </w:p>
                <w:p w14:paraId="151E145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8.</w:t>
                  </w:r>
                  <w:r>
                    <w:rPr>
                      <w:rFonts w:hint="eastAsia" w:ascii="Times New Roman" w:hAnsi="Times New Roman" w:eastAsia="宋体" w:cs="Times New Roman"/>
                      <w:vertAlign w:val="baseline"/>
                      <w:lang w:val="en-US" w:eastAsia="zh-CN"/>
                    </w:rPr>
                    <w:t>重要敏感水体及富营养化湖库生态缓冲带除相关政府部门批准的科学研究活动外，禁止其它可能对保护区构成危害或不良影响的大规模生产、建设活动。</w:t>
                  </w:r>
                </w:p>
                <w:p w14:paraId="1849465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9.</w:t>
                  </w:r>
                  <w:r>
                    <w:rPr>
                      <w:rFonts w:hint="eastAsia" w:ascii="Times New Roman" w:hAnsi="Times New Roman" w:eastAsia="宋体" w:cs="Times New Roman"/>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2A4F28E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10.</w:t>
                  </w:r>
                  <w:r>
                    <w:rPr>
                      <w:rFonts w:hint="eastAsia" w:ascii="Times New Roman" w:hAnsi="Times New Roman" w:eastAsia="宋体" w:cs="Times New Roman"/>
                      <w:vertAlign w:val="baseline"/>
                      <w:lang w:val="en-US" w:eastAsia="zh-CN"/>
                    </w:rPr>
                    <w:t>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vertAlign w:val="baseline"/>
                      <w:lang w:val="en-US" w:eastAsia="zh-CN"/>
                    </w:rPr>
                    <w:t>行严</w:t>
                  </w:r>
                  <w:r>
                    <w:rPr>
                      <w:rFonts w:hint="eastAsia" w:ascii="Times New Roman" w:hAnsi="Times New Roman" w:eastAsia="宋体" w:cs="Times New Roman"/>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76" w:type="pct"/>
                  <w:tcBorders>
                    <w:tl2br w:val="nil"/>
                    <w:tr2bl w:val="nil"/>
                  </w:tcBorders>
                  <w:vAlign w:val="center"/>
                </w:tcPr>
                <w:p w14:paraId="28B695F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本项目不属于石化植物制浆、印染、合成革及人造革、电镀项目，不涉及油墨、涂料、胶</w:t>
                  </w:r>
                  <w:r>
                    <w:rPr>
                      <w:rFonts w:hint="eastAsia" w:cs="Times New Roman"/>
                      <w:color w:val="auto"/>
                      <w:sz w:val="21"/>
                      <w:szCs w:val="21"/>
                      <w:u w:val="none"/>
                      <w:lang w:val="en-US" w:eastAsia="zh-CN"/>
                    </w:rPr>
                    <w:t>黏</w:t>
                  </w:r>
                  <w:r>
                    <w:rPr>
                      <w:rFonts w:hint="eastAsia" w:ascii="Times New Roman" w:hAnsi="Times New Roman" w:eastAsia="宋体" w:cs="Times New Roman"/>
                      <w:color w:val="auto"/>
                      <w:sz w:val="21"/>
                      <w:szCs w:val="21"/>
                      <w:u w:val="none"/>
                      <w:lang w:val="en-US" w:eastAsia="zh-CN"/>
                    </w:rPr>
                    <w:t>剂的使用，不属于陶瓷企业。不属于煤电、钢铁、建材、石化、化工等“两高”项目；</w:t>
                  </w:r>
                </w:p>
                <w:p w14:paraId="73A0168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高VOCs含量有机溶剂型涂料、油墨和胶黏剂的项目；</w:t>
                  </w:r>
                </w:p>
                <w:p w14:paraId="5F012DF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353" w:type="pct"/>
                  <w:tcBorders>
                    <w:tl2br w:val="nil"/>
                    <w:tr2bl w:val="nil"/>
                  </w:tcBorders>
                  <w:vAlign w:val="center"/>
                </w:tcPr>
                <w:p w14:paraId="7B37AE2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74D2B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5419CA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382B8D5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vertAlign w:val="baseline"/>
                      <w:lang w:val="en-US" w:eastAsia="zh-CN"/>
                    </w:rPr>
                    <w:t>污染物排放管控</w:t>
                  </w:r>
                </w:p>
              </w:tc>
              <w:tc>
                <w:tcPr>
                  <w:tcW w:w="2927" w:type="pct"/>
                  <w:tcBorders>
                    <w:tl2br w:val="nil"/>
                    <w:tr2bl w:val="nil"/>
                  </w:tcBorders>
                  <w:vAlign w:val="center"/>
                </w:tcPr>
                <w:p w14:paraId="55AC3CA4">
                  <w:pPr>
                    <w:keepNext w:val="0"/>
                    <w:keepLines w:val="0"/>
                    <w:pageBreakBefore w:val="0"/>
                    <w:widowControl w:val="0"/>
                    <w:numPr>
                      <w:ilvl w:val="0"/>
                      <w:numId w:val="4"/>
                    </w:numPr>
                    <w:kinsoku/>
                    <w:wordWrap/>
                    <w:overflowPunct/>
                    <w:topLinePunct w:val="0"/>
                    <w:autoSpaceDE/>
                    <w:autoSpaceDN/>
                    <w:bidi w:val="0"/>
                    <w:adjustRightInd/>
                    <w:snapToGrid/>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以新带老</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、削减存量，努力实现区域、企业自身总量平衡。总量指标来源、审核和监督管理按照“榕环保综〔2017〕90号</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等相关文件执行。</w:t>
                  </w:r>
                </w:p>
                <w:p w14:paraId="7ADC2657">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30DADCA6">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2FB83B5D">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氟化工、印染、电镀等行业企业实行水污染物特别排放限值。</w:t>
                  </w:r>
                </w:p>
                <w:p w14:paraId="4E34CE47">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7CE3D29">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每小时35（含）—65蒸吨燃煤锅炉和位于县级及以上城市建成区内保留的燃煤、燃油、燃生物质锅炉，原则上2024年底前必须全面实现超低排放。</w:t>
                  </w:r>
                </w:p>
                <w:p w14:paraId="7B045073">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水泥行业新改扩建项目严格对照超低排放、能效标杆水平建设实施；现有项目超低排放改造应按文件（闽环规〔2023〕2号）的时限要求分步推进，2025年底前全面完成［3］［4］。</w:t>
                  </w:r>
                </w:p>
                <w:p w14:paraId="7218591F">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76" w:type="pct"/>
                  <w:tcBorders>
                    <w:tl2br w:val="nil"/>
                    <w:tr2bl w:val="nil"/>
                  </w:tcBorders>
                  <w:vAlign w:val="center"/>
                </w:tcPr>
                <w:p w14:paraId="0D6F1C6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37D78996">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2.本项目新增VOCs排放，区域内实行倍量替代；</w:t>
                  </w:r>
                </w:p>
                <w:p w14:paraId="3069433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644B858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23EAC476">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222E853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6.本项目不设置锅炉，不燃煤、燃油、生物质和其他使用高污染燃料的锅炉；</w:t>
                  </w:r>
                </w:p>
                <w:p w14:paraId="5FB08D0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3FA0617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353" w:type="pct"/>
                  <w:tcBorders>
                    <w:tl2br w:val="nil"/>
                    <w:tr2bl w:val="nil"/>
                  </w:tcBorders>
                  <w:vAlign w:val="center"/>
                </w:tcPr>
                <w:p w14:paraId="12A4F24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3B4B3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441AC07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672893E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资源开发效率要求</w:t>
                  </w:r>
                </w:p>
              </w:tc>
              <w:tc>
                <w:tcPr>
                  <w:tcW w:w="2927" w:type="pct"/>
                  <w:tcBorders>
                    <w:tl2br w:val="nil"/>
                    <w:tr2bl w:val="nil"/>
                  </w:tcBorders>
                  <w:vAlign w:val="center"/>
                </w:tcPr>
                <w:p w14:paraId="3DD595C9">
                  <w:pPr>
                    <w:keepNext w:val="0"/>
                    <w:keepLines w:val="0"/>
                    <w:pageBreakBefore w:val="0"/>
                    <w:widowControl w:val="0"/>
                    <w:numPr>
                      <w:ilvl w:val="0"/>
                      <w:numId w:val="5"/>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B8B9C95">
                  <w:pPr>
                    <w:keepNext w:val="0"/>
                    <w:keepLines w:val="0"/>
                    <w:pageBreakBefore w:val="0"/>
                    <w:widowControl w:val="0"/>
                    <w:numPr>
                      <w:ilvl w:val="0"/>
                      <w:numId w:val="5"/>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按照</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提气、转电、控煤</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的发展思路，推动陶瓷行业进一步优化用能结构，实现能源消费清洁低碳化。</w:t>
                  </w:r>
                </w:p>
              </w:tc>
              <w:tc>
                <w:tcPr>
                  <w:tcW w:w="1076" w:type="pct"/>
                  <w:tcBorders>
                    <w:tl2br w:val="nil"/>
                    <w:tr2bl w:val="nil"/>
                  </w:tcBorders>
                  <w:vAlign w:val="center"/>
                </w:tcPr>
                <w:p w14:paraId="59EEF79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本项目不设置锅炉，不燃煤、燃油、生物质和其他使用高污染燃料的锅炉；</w:t>
                  </w:r>
                </w:p>
                <w:p w14:paraId="45E48FF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353" w:type="pct"/>
                  <w:tcBorders>
                    <w:tl2br w:val="nil"/>
                    <w:tr2bl w:val="nil"/>
                  </w:tcBorders>
                  <w:vAlign w:val="center"/>
                </w:tcPr>
                <w:p w14:paraId="667A011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6A5689AF">
            <w:pPr>
              <w:pStyle w:val="64"/>
              <w:keepNext/>
              <w:keepLines/>
              <w:pageBreakBefore w:val="0"/>
              <w:widowControl w:val="0"/>
              <w:numPr>
                <w:ilvl w:val="7"/>
                <w:numId w:val="2"/>
              </w:numPr>
              <w:tabs>
                <w:tab w:val="left" w:pos="420"/>
                <w:tab w:val="clear" w:pos="4507"/>
              </w:tabs>
              <w:kinsoku/>
              <w:wordWrap/>
              <w:overflowPunct/>
              <w:topLinePunct w:val="0"/>
              <w:autoSpaceDE/>
              <w:autoSpaceDN/>
              <w:bidi w:val="0"/>
              <w:adjustRightInd/>
              <w:snapToGrid/>
              <w:spacing w:before="157" w:beforeLines="50" w:after="0"/>
              <w:ind w:left="630" w:leftChars="0" w:firstLine="0" w:firstLineChars="0"/>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本项目与</w:t>
            </w:r>
            <w:r>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福清市</w:t>
            </w: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重点管控单元</w:t>
            </w:r>
            <w:r>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环境管控单元准入要求</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085"/>
              <w:gridCol w:w="758"/>
              <w:gridCol w:w="692"/>
              <w:gridCol w:w="5611"/>
              <w:gridCol w:w="2071"/>
              <w:gridCol w:w="725"/>
            </w:tblGrid>
            <w:tr w14:paraId="50531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1C7966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30" w:type="pct"/>
                  <w:tcBorders>
                    <w:tl2br w:val="nil"/>
                    <w:tr2bl w:val="nil"/>
                  </w:tcBorders>
                  <w:vAlign w:val="center"/>
                </w:tcPr>
                <w:p w14:paraId="025F7BF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300" w:type="pct"/>
                  <w:tcBorders>
                    <w:tl2br w:val="nil"/>
                    <w:tr2bl w:val="nil"/>
                  </w:tcBorders>
                  <w:vAlign w:val="center"/>
                </w:tcPr>
                <w:p w14:paraId="616E0CF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496" w:type="pct"/>
                  <w:gridSpan w:val="2"/>
                  <w:tcBorders>
                    <w:tl2br w:val="nil"/>
                    <w:tr2bl w:val="nil"/>
                  </w:tcBorders>
                  <w:vAlign w:val="center"/>
                </w:tcPr>
                <w:p w14:paraId="49A70DB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820" w:type="pct"/>
                  <w:tcBorders>
                    <w:tl2br w:val="nil"/>
                    <w:tr2bl w:val="nil"/>
                  </w:tcBorders>
                  <w:vAlign w:val="center"/>
                </w:tcPr>
                <w:p w14:paraId="3B1A335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07DEB05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7DE9A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5F51BE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sz w:val="21"/>
                      <w:szCs w:val="21"/>
                      <w:vertAlign w:val="baseline"/>
                      <w:lang w:val="en-US" w:eastAsia="zh-CN"/>
                    </w:rPr>
                    <w:t>ZH35018120008</w:t>
                  </w:r>
                </w:p>
              </w:tc>
              <w:tc>
                <w:tcPr>
                  <w:tcW w:w="430" w:type="pct"/>
                  <w:vMerge w:val="restart"/>
                  <w:tcBorders>
                    <w:tl2br w:val="nil"/>
                    <w:tr2bl w:val="nil"/>
                  </w:tcBorders>
                  <w:vAlign w:val="center"/>
                </w:tcPr>
                <w:p w14:paraId="14F7078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福清市重点管控单元1</w:t>
                  </w:r>
                </w:p>
              </w:tc>
              <w:tc>
                <w:tcPr>
                  <w:tcW w:w="300" w:type="pct"/>
                  <w:vMerge w:val="restart"/>
                  <w:tcBorders>
                    <w:tl2br w:val="nil"/>
                    <w:tr2bl w:val="nil"/>
                  </w:tcBorders>
                  <w:vAlign w:val="center"/>
                </w:tcPr>
                <w:p w14:paraId="78E6EA0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66980AE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221" w:type="pct"/>
                  <w:tcBorders>
                    <w:tl2br w:val="nil"/>
                    <w:tr2bl w:val="nil"/>
                  </w:tcBorders>
                  <w:vAlign w:val="center"/>
                </w:tcPr>
                <w:p w14:paraId="31AF72B3">
                  <w:pPr>
                    <w:keepNext w:val="0"/>
                    <w:keepLines w:val="0"/>
                    <w:pageBreakBefore w:val="0"/>
                    <w:widowControl w:val="0"/>
                    <w:numPr>
                      <w:ilvl w:val="0"/>
                      <w:numId w:val="6"/>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71876145">
                  <w:pPr>
                    <w:keepNext w:val="0"/>
                    <w:keepLines w:val="0"/>
                    <w:pageBreakBefore w:val="0"/>
                    <w:widowControl w:val="0"/>
                    <w:numPr>
                      <w:ilvl w:val="0"/>
                      <w:numId w:val="6"/>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严格控制包装印刷、工业涂装、制鞋等高VOCs排放的项目建设，相关新建项目必须进入工业园区。</w:t>
                  </w:r>
                </w:p>
                <w:p w14:paraId="3917B65D">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eastAsia="宋体" w:cs="Times New Roman"/>
                      <w:b w:val="0"/>
                      <w:bCs w:val="0"/>
                      <w:sz w:val="21"/>
                      <w:szCs w:val="21"/>
                      <w:vertAlign w:val="baseline"/>
                      <w:lang w:val="en-US" w:eastAsia="zh-CN"/>
                    </w:rPr>
                    <w:t>禁止开发利用未经评估和无害化处理的列入建设用地污染地块名录及开发利用负面清单的土地。</w:t>
                  </w:r>
                </w:p>
              </w:tc>
              <w:tc>
                <w:tcPr>
                  <w:tcW w:w="820" w:type="pct"/>
                  <w:tcBorders>
                    <w:tl2br w:val="nil"/>
                    <w:tr2bl w:val="nil"/>
                  </w:tcBorders>
                  <w:vAlign w:val="center"/>
                </w:tcPr>
                <w:p w14:paraId="6D1F45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val="en-US" w:eastAsia="zh-CN"/>
                    </w:rPr>
                    <w:t>本项目不属于危险化学品生产企业，不属于有色金属、印染、原料药制造、化工等企业；本项目位于</w:t>
                  </w:r>
                  <w:r>
                    <w:rPr>
                      <w:rFonts w:hint="default" w:ascii="Times New Roman" w:hAnsi="Times New Roman" w:eastAsia="宋体" w:cs="Times New Roman"/>
                      <w:color w:val="auto"/>
                      <w:sz w:val="21"/>
                      <w:szCs w:val="21"/>
                      <w:u w:val="none"/>
                      <w:lang w:eastAsia="zh-CN"/>
                    </w:rPr>
                    <w:t>福清融侨经济技术开发区内。</w:t>
                  </w:r>
                </w:p>
              </w:tc>
              <w:tc>
                <w:tcPr>
                  <w:tcW w:w="287" w:type="pct"/>
                  <w:tcBorders>
                    <w:tl2br w:val="nil"/>
                    <w:tr2bl w:val="nil"/>
                  </w:tcBorders>
                  <w:vAlign w:val="center"/>
                </w:tcPr>
                <w:p w14:paraId="20326DB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38BDF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76B1CBC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3E552B3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51FBE82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D0CE6D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221" w:type="pct"/>
                  <w:tcBorders>
                    <w:tl2br w:val="nil"/>
                    <w:tr2bl w:val="nil"/>
                  </w:tcBorders>
                  <w:vAlign w:val="center"/>
                </w:tcPr>
                <w:p w14:paraId="24D477B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落实新增二氧化硫、氮氧化物和VOCs排放总量控制要求。</w:t>
                  </w:r>
                </w:p>
              </w:tc>
              <w:tc>
                <w:tcPr>
                  <w:tcW w:w="820" w:type="pct"/>
                  <w:tcBorders>
                    <w:tl2br w:val="nil"/>
                    <w:tr2bl w:val="nil"/>
                  </w:tcBorders>
                  <w:vAlign w:val="center"/>
                </w:tcPr>
                <w:p w14:paraId="04B0849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66DCB17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253A4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3086E1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45B5045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5778E0B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29800BE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221" w:type="pct"/>
                  <w:tcBorders>
                    <w:tl2br w:val="nil"/>
                    <w:tr2bl w:val="nil"/>
                  </w:tcBorders>
                  <w:vAlign w:val="center"/>
                </w:tcPr>
                <w:p w14:paraId="726B0D75">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820" w:type="pct"/>
                  <w:tcBorders>
                    <w:tl2br w:val="nil"/>
                    <w:tr2bl w:val="nil"/>
                  </w:tcBorders>
                  <w:vAlign w:val="center"/>
                </w:tcPr>
                <w:p w14:paraId="2ED55BA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rPr>
                    <w:t>不涉及</w:t>
                  </w:r>
                </w:p>
              </w:tc>
              <w:tc>
                <w:tcPr>
                  <w:tcW w:w="287" w:type="pct"/>
                  <w:tcBorders>
                    <w:tl2br w:val="nil"/>
                    <w:tr2bl w:val="nil"/>
                  </w:tcBorders>
                  <w:vAlign w:val="center"/>
                </w:tcPr>
                <w:p w14:paraId="2B33632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60A44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2AC50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23C8C9B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677754C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3C2D6E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221" w:type="pct"/>
                  <w:tcBorders>
                    <w:tl2br w:val="nil"/>
                    <w:tr2bl w:val="nil"/>
                  </w:tcBorders>
                  <w:vAlign w:val="center"/>
                </w:tcPr>
                <w:p w14:paraId="4889C75F">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820" w:type="pct"/>
                  <w:tcBorders>
                    <w:tl2br w:val="nil"/>
                    <w:tr2bl w:val="nil"/>
                  </w:tcBorders>
                  <w:vAlign w:val="center"/>
                </w:tcPr>
                <w:p w14:paraId="0817751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kern w:val="0"/>
                      <w:sz w:val="21"/>
                      <w:szCs w:val="21"/>
                      <w:u w:val="none"/>
                      <w:lang w:val="en-US" w:eastAsia="zh-CN" w:bidi="ar"/>
                    </w:rPr>
                  </w:pPr>
                  <w:r>
                    <w:t>项目用电作为能源，未使用高污染燃料</w:t>
                  </w:r>
                  <w:r>
                    <w:rPr>
                      <w:rFonts w:hint="eastAsia"/>
                      <w:lang w:eastAsia="zh-CN"/>
                    </w:rPr>
                    <w:t>。</w:t>
                  </w:r>
                </w:p>
              </w:tc>
              <w:tc>
                <w:tcPr>
                  <w:tcW w:w="287" w:type="pct"/>
                  <w:tcBorders>
                    <w:tl2br w:val="nil"/>
                    <w:tr2bl w:val="nil"/>
                  </w:tcBorders>
                  <w:vAlign w:val="center"/>
                </w:tcPr>
                <w:p w14:paraId="175B904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64B7E231">
            <w:pPr>
              <w:pStyle w:val="14"/>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400276F2">
      <w:pPr>
        <w:jc w:val="both"/>
        <w:rPr>
          <w:rFonts w:hint="eastAsia" w:eastAsia="楷体_GB2312" w:cs="Times New Roman"/>
          <w:color w:val="auto"/>
          <w:sz w:val="36"/>
          <w:szCs w:val="36"/>
          <w:u w:val="none"/>
          <w:lang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646"/>
      </w:tblGrid>
      <w:tr w14:paraId="2E80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657FFD95">
            <w:pPr>
              <w:pStyle w:val="11"/>
              <w:rPr>
                <w:rFonts w:hint="eastAsia"/>
                <w:vertAlign w:val="baseline"/>
                <w:lang w:eastAsia="zh-CN"/>
              </w:rPr>
            </w:pPr>
          </w:p>
        </w:tc>
        <w:tc>
          <w:tcPr>
            <w:tcW w:w="4653" w:type="pct"/>
          </w:tcPr>
          <w:p w14:paraId="7D7B2EB1">
            <w:pPr>
              <w:pStyle w:val="36"/>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根据上述分析，本项目与《福建省人民政府关于实施“三线一单”生态环境分区管控的通知》（闽政〔2020〕12号）、《中共福建省委办公厅 福建省人民政府办公厅关于加强生态环境分区管控的实施意见》（2024年11月10日）、《福州市生态环境局关于发布福州市2024年生态环境分区管控动态更新成果的通知》（榕环保综〔2025〕1号）中的相关规定是符合的。</w:t>
            </w:r>
          </w:p>
          <w:p w14:paraId="1F982FA9">
            <w:pPr>
              <w:pStyle w:val="36"/>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平面布局合理性分析</w:t>
            </w:r>
          </w:p>
          <w:p w14:paraId="20F0DF21">
            <w:pPr>
              <w:pStyle w:val="37"/>
              <w:keepNext w:val="0"/>
              <w:keepLines w:val="0"/>
              <w:pageBreakBefore w:val="0"/>
              <w:kinsoku/>
              <w:wordWrap/>
              <w:overflowPunct/>
              <w:topLinePunct w:val="0"/>
              <w:bidi w:val="0"/>
              <w:spacing w:line="360" w:lineRule="auto"/>
              <w:ind w:firstLine="480"/>
              <w:jc w:val="both"/>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租赁</w:t>
            </w:r>
            <w:r>
              <w:rPr>
                <w:rFonts w:hint="eastAsia" w:cs="Times New Roman"/>
                <w:color w:val="auto"/>
                <w:sz w:val="24"/>
                <w:szCs w:val="24"/>
                <w:u w:val="none"/>
                <w:lang w:val="en-US" w:eastAsia="zh-CN"/>
              </w:rPr>
              <w:t>福清市阳下街道均和云谷·福清科技港</w:t>
            </w:r>
            <w:r>
              <w:rPr>
                <w:rFonts w:hint="eastAsia" w:cs="Times New Roman"/>
                <w:color w:val="auto"/>
                <w:sz w:val="24"/>
                <w:szCs w:val="24"/>
                <w:highlight w:val="none"/>
                <w:u w:val="none"/>
                <w:lang w:val="en-US" w:eastAsia="zh-CN"/>
              </w:rPr>
              <w:t>28#、36#</w:t>
            </w:r>
            <w:r>
              <w:rPr>
                <w:rFonts w:hint="eastAsia" w:cs="Times New Roman"/>
                <w:color w:val="auto"/>
                <w:sz w:val="24"/>
                <w:szCs w:val="24"/>
                <w:u w:val="none"/>
                <w:lang w:val="en-US" w:eastAsia="zh-CN"/>
              </w:rPr>
              <w:t>厂房</w:t>
            </w:r>
            <w:r>
              <w:rPr>
                <w:rFonts w:hint="eastAsia" w:ascii="宋体" w:hAnsi="宋体" w:eastAsia="宋体" w:cs="宋体"/>
                <w:color w:val="auto"/>
                <w:sz w:val="24"/>
                <w:szCs w:val="24"/>
                <w:u w:val="none"/>
                <w:lang w:val="en-US" w:eastAsia="zh-CN"/>
              </w:rPr>
              <w:t>作为生产场所，合计面积</w:t>
            </w:r>
            <w:r>
              <w:rPr>
                <w:rFonts w:hint="eastAsia" w:cs="宋体"/>
                <w:color w:val="auto"/>
                <w:sz w:val="24"/>
                <w:szCs w:val="24"/>
                <w:u w:val="none"/>
                <w:lang w:val="en-US" w:eastAsia="zh-CN"/>
              </w:rPr>
              <w:t>10602.44</w:t>
            </w:r>
            <w:r>
              <w:rPr>
                <w:rFonts w:hint="eastAsia" w:ascii="Times New Roman" w:hAnsi="Times New Roman" w:eastAsia="宋体" w:cs="宋体"/>
                <w:color w:val="auto"/>
                <w:sz w:val="24"/>
                <w:szCs w:val="24"/>
                <w:u w:val="none"/>
                <w:lang w:val="en-US" w:eastAsia="zh-CN"/>
              </w:rPr>
              <w:t>m</w:t>
            </w:r>
            <w:r>
              <w:rPr>
                <w:rFonts w:hint="eastAsia" w:ascii="Times New Roman" w:hAnsi="Times New Roman" w:eastAsia="宋体" w:cs="宋体"/>
                <w:color w:val="auto"/>
                <w:sz w:val="24"/>
                <w:szCs w:val="24"/>
                <w:u w:val="none"/>
                <w:vertAlign w:val="superscript"/>
                <w:lang w:val="en-US" w:eastAsia="zh-CN"/>
              </w:rPr>
              <w:t>2</w:t>
            </w:r>
            <w:r>
              <w:rPr>
                <w:rFonts w:hint="eastAsia" w:ascii="宋体" w:hAnsi="宋体" w:eastAsia="宋体" w:cs="宋体"/>
                <w:color w:val="auto"/>
                <w:sz w:val="24"/>
                <w:szCs w:val="24"/>
                <w:highlight w:val="none"/>
                <w:u w:val="none"/>
                <w:lang w:val="en-US" w:eastAsia="zh-CN"/>
              </w:rPr>
              <w:t>（</w:t>
            </w:r>
            <w:r>
              <w:rPr>
                <w:rFonts w:hint="eastAsia" w:ascii="宋体" w:hAnsi="宋体" w:cs="宋体"/>
                <w:color w:val="auto"/>
                <w:sz w:val="24"/>
                <w:szCs w:val="24"/>
                <w:highlight w:val="none"/>
                <w:u w:val="none"/>
                <w:lang w:val="en-US" w:eastAsia="zh-CN"/>
              </w:rPr>
              <w:t>厂房租赁</w:t>
            </w:r>
            <w:r>
              <w:rPr>
                <w:rFonts w:hint="eastAsia" w:ascii="宋体" w:hAnsi="宋体" w:eastAsia="宋体" w:cs="宋体"/>
                <w:color w:val="auto"/>
                <w:sz w:val="24"/>
                <w:szCs w:val="24"/>
                <w:highlight w:val="none"/>
                <w:u w:val="none"/>
                <w:lang w:val="en-US" w:eastAsia="zh-CN"/>
              </w:rPr>
              <w:t>合同详见</w:t>
            </w:r>
            <w:r>
              <w:rPr>
                <w:rFonts w:hint="eastAsia" w:ascii="宋体" w:hAnsi="宋体" w:eastAsia="宋体" w:cs="宋体"/>
                <w:b/>
                <w:bCs/>
                <w:color w:val="auto"/>
                <w:sz w:val="24"/>
                <w:szCs w:val="24"/>
                <w:highlight w:val="none"/>
                <w:u w:val="none"/>
                <w:lang w:val="en-US" w:eastAsia="zh-CN"/>
              </w:rPr>
              <w:t>附件</w:t>
            </w:r>
            <w:r>
              <w:rPr>
                <w:rFonts w:hint="eastAsia" w:ascii="宋体" w:hAnsi="宋体" w:cs="宋体"/>
                <w:b/>
                <w:bCs/>
                <w:color w:val="auto"/>
                <w:sz w:val="24"/>
                <w:szCs w:val="24"/>
                <w:highlight w:val="none"/>
                <w:u w:val="none"/>
                <w:lang w:val="en-US" w:eastAsia="zh-CN"/>
              </w:rPr>
              <w:t>五</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rPr>
              <w:t>厂区内厂房布置简单，</w:t>
            </w:r>
            <w:r>
              <w:rPr>
                <w:rFonts w:hint="eastAsia" w:cs="Times New Roman"/>
                <w:color w:val="auto"/>
                <w:sz w:val="24"/>
                <w:szCs w:val="24"/>
                <w:highlight w:val="none"/>
                <w:lang w:val="en-US" w:eastAsia="zh-CN"/>
              </w:rPr>
              <w:t>一层为印刷、质检等，二层为制袋、熟化等。</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auto"/>
                <w:sz w:val="24"/>
                <w:szCs w:val="24"/>
                <w:highlight w:val="none"/>
                <w:lang w:val="en-US" w:eastAsia="zh-CN"/>
              </w:rPr>
              <w:t>本合理</w:t>
            </w:r>
            <w:r>
              <w:rPr>
                <w:rFonts w:hint="default" w:ascii="Times New Roman" w:hAnsi="Times New Roman" w:eastAsia="宋体" w:cs="Times New Roman"/>
                <w:color w:val="auto"/>
                <w:sz w:val="24"/>
                <w:szCs w:val="24"/>
                <w:highlight w:val="none"/>
              </w:rPr>
              <w:t>。</w:t>
            </w:r>
          </w:p>
          <w:p w14:paraId="528A92B9">
            <w:pPr>
              <w:pStyle w:val="36"/>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与周边相容性分析</w:t>
            </w:r>
          </w:p>
          <w:p w14:paraId="2FBE4674">
            <w:pPr>
              <w:widowControl/>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u w:val="none"/>
                <w:lang w:eastAsia="zh-CN"/>
              </w:rPr>
              <w:t>本项目位于</w:t>
            </w:r>
            <w:r>
              <w:rPr>
                <w:rFonts w:hint="eastAsia" w:cs="Times New Roman"/>
                <w:color w:val="auto"/>
                <w:sz w:val="24"/>
                <w:szCs w:val="24"/>
                <w:highlight w:val="none"/>
                <w:u w:val="none"/>
                <w:lang w:val="en-US" w:eastAsia="zh-CN"/>
              </w:rPr>
              <w:t>福清融侨经济技术开发区（租赁福建融永拓新材料有限公司位于均和云谷·福清科技港的28#、36#厂房），</w:t>
            </w:r>
            <w:r>
              <w:rPr>
                <w:rFonts w:hint="eastAsia" w:ascii="Times New Roman" w:hAnsi="Times New Roman" w:eastAsia="宋体" w:cs="Times New Roman"/>
                <w:color w:val="auto"/>
                <w:sz w:val="24"/>
                <w:lang w:val="en-US" w:eastAsia="zh-CN"/>
              </w:rPr>
              <w:t>根据调查项目厂址不位于自然保护区、风景名胜区、饮用水水源保护区和其他需要特别保护等法律法规禁止开发建设的区域，用地为工业用地，与区域内土地利用规划不冲突。</w:t>
            </w:r>
            <w:r>
              <w:rPr>
                <w:rFonts w:hint="default" w:ascii="Times New Roman" w:hAnsi="Times New Roman" w:eastAsia="宋体" w:cs="Times New Roman"/>
                <w:color w:val="auto"/>
                <w:sz w:val="24"/>
                <w:lang w:val="en-US" w:eastAsia="zh-CN"/>
              </w:rPr>
              <w:t>根据现场勘查，</w:t>
            </w:r>
            <w:r>
              <w:rPr>
                <w:rFonts w:hint="eastAsia" w:ascii="Times New Roman" w:hAnsi="Times New Roman" w:eastAsia="宋体" w:cs="Times New Roman"/>
                <w:color w:val="auto"/>
                <w:sz w:val="24"/>
                <w:lang w:val="en-US" w:eastAsia="zh-CN"/>
              </w:rPr>
              <w:t>项目</w:t>
            </w:r>
            <w:r>
              <w:rPr>
                <w:rFonts w:hint="eastAsia"/>
                <w:color w:val="auto"/>
                <w:sz w:val="24"/>
                <w:lang w:val="en-US" w:eastAsia="zh-CN"/>
              </w:rPr>
              <w:t>厂界外50米范围内不存在声环境保护目标，厂界</w:t>
            </w:r>
            <w:r>
              <w:rPr>
                <w:rFonts w:hint="eastAsia" w:ascii="Times New Roman" w:hAnsi="Times New Roman" w:eastAsia="宋体" w:cs="Times New Roman"/>
                <w:color w:val="auto"/>
                <w:sz w:val="24"/>
                <w:lang w:val="en-US" w:eastAsia="zh-CN"/>
              </w:rPr>
              <w:t>外500米范围内距离项目最近的西南侧约</w:t>
            </w:r>
            <w:r>
              <w:rPr>
                <w:rFonts w:hint="eastAsia" w:cs="Times New Roman"/>
                <w:color w:val="auto"/>
                <w:sz w:val="24"/>
                <w:lang w:val="en-US" w:eastAsia="zh-CN"/>
              </w:rPr>
              <w:t>76</w:t>
            </w:r>
            <w:r>
              <w:rPr>
                <w:rFonts w:hint="eastAsia" w:ascii="Times New Roman" w:hAnsi="Times New Roman" w:eastAsia="宋体" w:cs="Times New Roman"/>
                <w:color w:val="auto"/>
                <w:sz w:val="24"/>
                <w:lang w:val="en-US" w:eastAsia="zh-CN"/>
              </w:rPr>
              <w:t>m的下田村居民点，</w:t>
            </w:r>
            <w:r>
              <w:rPr>
                <w:rFonts w:hint="default" w:ascii="Times New Roman" w:hAnsi="Times New Roman" w:eastAsia="宋体" w:cs="Times New Roman"/>
                <w:color w:val="auto"/>
                <w:sz w:val="24"/>
                <w:lang w:eastAsia="zh-CN"/>
              </w:rPr>
              <w:t>周边</w:t>
            </w:r>
            <w:r>
              <w:rPr>
                <w:rFonts w:hint="eastAsia" w:cs="Times New Roman"/>
                <w:color w:val="auto"/>
                <w:sz w:val="24"/>
                <w:lang w:eastAsia="zh-CN"/>
              </w:rPr>
              <w:t>分布以工业企业为主</w:t>
            </w:r>
            <w:r>
              <w:rPr>
                <w:rFonts w:hint="eastAsia" w:ascii="Times New Roman" w:hAnsi="Times New Roman" w:eastAsia="宋体" w:cs="Times New Roman"/>
                <w:color w:val="auto"/>
                <w:sz w:val="24"/>
                <w:lang w:val="en-US" w:eastAsia="zh-CN"/>
              </w:rPr>
              <w:t>等</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highlight w:val="none"/>
                <w:lang w:eastAsia="zh-CN"/>
              </w:rPr>
              <w:t>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Fonts w:hint="eastAsia"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二</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Fonts w:hint="default"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lang w:eastAsia="zh-CN"/>
              </w:rPr>
              <w:t>建设单位在</w:t>
            </w:r>
            <w:r>
              <w:rPr>
                <w:rFonts w:hint="eastAsia" w:cs="Times New Roman"/>
                <w:color w:val="auto"/>
                <w:sz w:val="24"/>
                <w:lang w:eastAsia="zh-CN"/>
              </w:rPr>
              <w:t>切实落实</w:t>
            </w:r>
            <w:r>
              <w:rPr>
                <w:rFonts w:hint="default" w:ascii="Times New Roman" w:hAnsi="Times New Roman" w:eastAsia="宋体" w:cs="Times New Roman"/>
                <w:color w:val="auto"/>
                <w:sz w:val="24"/>
                <w:lang w:eastAsia="zh-CN"/>
              </w:rPr>
              <w:t>本评价提出的各项污染治理措施的前提下，可实现污染物达标排放</w:t>
            </w:r>
            <w:r>
              <w:rPr>
                <w:rFonts w:hint="eastAsia" w:cs="Times New Roman"/>
                <w:color w:val="auto"/>
                <w:sz w:val="24"/>
                <w:lang w:eastAsia="zh-CN"/>
              </w:rPr>
              <w:t>且</w:t>
            </w:r>
            <w:r>
              <w:rPr>
                <w:rFonts w:hint="default" w:ascii="Times New Roman" w:hAnsi="Times New Roman" w:eastAsia="宋体" w:cs="Times New Roman"/>
                <w:color w:val="auto"/>
                <w:sz w:val="24"/>
                <w:lang w:eastAsia="zh-CN"/>
              </w:rPr>
              <w:t>各污染物排放源强较低，运营期产生的</w:t>
            </w:r>
            <w:r>
              <w:rPr>
                <w:rFonts w:hint="eastAsia" w:cs="Times New Roman"/>
                <w:color w:val="auto"/>
                <w:sz w:val="24"/>
                <w:lang w:eastAsia="zh-CN"/>
              </w:rPr>
              <w:t>“</w:t>
            </w:r>
            <w:r>
              <w:rPr>
                <w:rFonts w:hint="default" w:ascii="Times New Roman" w:hAnsi="Times New Roman" w:eastAsia="宋体" w:cs="Times New Roman"/>
                <w:color w:val="auto"/>
                <w:sz w:val="24"/>
                <w:lang w:eastAsia="zh-CN"/>
              </w:rPr>
              <w:t>三废</w:t>
            </w:r>
            <w:r>
              <w:rPr>
                <w:rFonts w:hint="eastAsia" w:cs="Times New Roman"/>
                <w:color w:val="auto"/>
                <w:sz w:val="24"/>
                <w:lang w:eastAsia="zh-CN"/>
              </w:rPr>
              <w:t>”</w:t>
            </w:r>
            <w:r>
              <w:rPr>
                <w:rFonts w:hint="default" w:ascii="Times New Roman" w:hAnsi="Times New Roman" w:eastAsia="宋体" w:cs="Times New Roman"/>
                <w:color w:val="auto"/>
                <w:sz w:val="24"/>
                <w:lang w:eastAsia="zh-CN"/>
              </w:rPr>
              <w:t>及噪声对周边环境影响不明显，因此，项目建设与周边环境基本相容。</w:t>
            </w:r>
          </w:p>
          <w:p w14:paraId="765B522C">
            <w:pPr>
              <w:widowControl/>
              <w:numPr>
                <w:ilvl w:val="0"/>
                <w:numId w:val="0"/>
              </w:numPr>
              <w:spacing w:line="360" w:lineRule="auto"/>
              <w:ind w:firstLine="482" w:firstLineChars="200"/>
              <w:jc w:val="left"/>
              <w:rPr>
                <w:b/>
                <w:bCs/>
                <w:color w:val="auto"/>
                <w:sz w:val="24"/>
              </w:rPr>
            </w:pPr>
            <w:r>
              <w:rPr>
                <w:rFonts w:hint="eastAsia"/>
                <w:b/>
                <w:bCs/>
                <w:color w:val="auto"/>
                <w:sz w:val="24"/>
                <w:lang w:val="en-US" w:eastAsia="zh-CN"/>
              </w:rPr>
              <w:t>7.</w:t>
            </w:r>
            <w:r>
              <w:rPr>
                <w:b/>
                <w:bCs/>
                <w:color w:val="auto"/>
                <w:sz w:val="24"/>
              </w:rPr>
              <w:t>与挥发性有机物污染防治相关政策符合性分析</w:t>
            </w:r>
          </w:p>
          <w:p w14:paraId="2CD9E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auto"/>
                <w:sz w:val="24"/>
                <w:szCs w:val="24"/>
                <w:highlight w:val="none"/>
                <w:u w:val="none"/>
                <w:lang w:val="en-US" w:eastAsia="zh-CN" w:bidi="ar"/>
              </w:rPr>
            </w:pPr>
            <w:r>
              <w:rPr>
                <w:rFonts w:hint="eastAsia" w:cs="宋体"/>
                <w:color w:val="auto"/>
                <w:sz w:val="24"/>
                <w:szCs w:val="24"/>
                <w:highlight w:val="none"/>
                <w:u w:val="none"/>
                <w:lang w:bidi="ar"/>
              </w:rPr>
              <w:t>本项目与挥发性有机物污染防治政策相关内容符合性分析，符合性分析详见表</w:t>
            </w:r>
            <w:r>
              <w:rPr>
                <w:rFonts w:hint="eastAsia" w:cs="宋体"/>
                <w:color w:val="auto"/>
                <w:sz w:val="24"/>
                <w:szCs w:val="24"/>
                <w:highlight w:val="none"/>
                <w:u w:val="none"/>
                <w:lang w:val="en-US" w:eastAsia="zh-CN" w:bidi="ar"/>
              </w:rPr>
              <w:t>1.1-7</w:t>
            </w:r>
            <w:r>
              <w:rPr>
                <w:rFonts w:hint="eastAsia" w:cs="宋体"/>
                <w:color w:val="auto"/>
                <w:sz w:val="24"/>
                <w:szCs w:val="24"/>
                <w:highlight w:val="none"/>
                <w:u w:val="none"/>
                <w:lang w:bidi="ar"/>
              </w:rPr>
              <w:t>。</w:t>
            </w:r>
            <w:r>
              <w:rPr>
                <w:rFonts w:hint="eastAsia" w:cs="宋体"/>
                <w:color w:val="auto"/>
                <w:sz w:val="24"/>
                <w:szCs w:val="24"/>
                <w:highlight w:val="none"/>
                <w:u w:val="none"/>
                <w:lang w:eastAsia="zh-CN" w:bidi="ar"/>
              </w:rPr>
              <w:t>根据表</w:t>
            </w:r>
            <w:r>
              <w:rPr>
                <w:rFonts w:hint="eastAsia" w:cs="宋体"/>
                <w:color w:val="auto"/>
                <w:sz w:val="24"/>
                <w:szCs w:val="24"/>
                <w:highlight w:val="none"/>
                <w:u w:val="none"/>
                <w:lang w:val="en-US" w:eastAsia="zh-CN" w:bidi="ar"/>
              </w:rPr>
              <w:t>1.1-7的分析可知，本项目建设符合国家及地方的</w:t>
            </w:r>
            <w:r>
              <w:rPr>
                <w:rFonts w:hint="eastAsia" w:cs="宋体"/>
                <w:color w:val="auto"/>
                <w:sz w:val="24"/>
                <w:szCs w:val="24"/>
                <w:highlight w:val="none"/>
                <w:u w:val="none"/>
                <w:lang w:bidi="ar"/>
              </w:rPr>
              <w:t>挥发性有机物污染防治政策相关内容</w:t>
            </w:r>
            <w:r>
              <w:rPr>
                <w:rFonts w:hint="eastAsia" w:cs="宋体"/>
                <w:color w:val="auto"/>
                <w:sz w:val="24"/>
                <w:szCs w:val="24"/>
                <w:highlight w:val="none"/>
                <w:u w:val="none"/>
                <w:lang w:eastAsia="zh-CN" w:bidi="ar"/>
              </w:rPr>
              <w:t>的要求。</w:t>
            </w:r>
          </w:p>
          <w:p w14:paraId="0605C47A">
            <w:pPr>
              <w:pStyle w:val="64"/>
              <w:keepNext/>
              <w:keepLines/>
              <w:pageBreakBefore w:val="0"/>
              <w:widowControl w:val="0"/>
              <w:numPr>
                <w:ilvl w:val="7"/>
                <w:numId w:val="2"/>
              </w:numPr>
              <w:tabs>
                <w:tab w:val="left" w:pos="420"/>
                <w:tab w:val="clear" w:pos="4507"/>
              </w:tabs>
              <w:kinsoku/>
              <w:wordWrap/>
              <w:overflowPunct/>
              <w:topLinePunct w:val="0"/>
              <w:autoSpaceDE/>
              <w:autoSpaceDN/>
              <w:bidi w:val="0"/>
              <w:adjustRightInd/>
              <w:snapToGrid/>
              <w:spacing w:before="157" w:beforeLines="50" w:after="0"/>
              <w:ind w:left="630" w:leftChars="0" w:firstLine="0" w:firstLineChars="0"/>
              <w:textAlignment w:val="auto"/>
              <w:rPr>
                <w:rFonts w:hint="default" w:ascii="Times New Roman" w:hAnsi="Times New Roman" w:eastAsia="宋体" w:cs="Times New Roman"/>
                <w:b/>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Cs w:val="21"/>
                <w:highlight w:val="none"/>
                <w:lang w:val="en-US" w:eastAsia="zh-CN"/>
                <w14:textFill>
                  <w14:solidFill>
                    <w14:schemeClr w14:val="tx1"/>
                  </w14:solidFill>
                </w14:textFill>
              </w:rPr>
              <w:t>挥发性有机物污染防治政策相关内容</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4088"/>
              <w:gridCol w:w="2648"/>
              <w:gridCol w:w="423"/>
            </w:tblGrid>
            <w:tr w14:paraId="04B19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52" w:type="pct"/>
                  <w:tcBorders>
                    <w:tl2br w:val="nil"/>
                    <w:tr2bl w:val="nil"/>
                  </w:tcBorders>
                  <w:vAlign w:val="center"/>
                </w:tcPr>
                <w:p w14:paraId="029C8AA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相关文件名称</w:t>
                  </w:r>
                </w:p>
              </w:tc>
              <w:tc>
                <w:tcPr>
                  <w:tcW w:w="2425" w:type="pct"/>
                  <w:tcBorders>
                    <w:tl2br w:val="nil"/>
                    <w:tr2bl w:val="nil"/>
                  </w:tcBorders>
                  <w:vAlign w:val="center"/>
                </w:tcPr>
                <w:p w14:paraId="752A422E">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相关内容</w:t>
                  </w:r>
                </w:p>
              </w:tc>
              <w:tc>
                <w:tcPr>
                  <w:tcW w:w="1571" w:type="pct"/>
                  <w:tcBorders>
                    <w:tl2br w:val="nil"/>
                    <w:tr2bl w:val="nil"/>
                  </w:tcBorders>
                  <w:vAlign w:val="center"/>
                </w:tcPr>
                <w:p w14:paraId="369F465E">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本项目内容</w:t>
                  </w:r>
                </w:p>
              </w:tc>
              <w:tc>
                <w:tcPr>
                  <w:tcW w:w="250" w:type="pct"/>
                  <w:tcBorders>
                    <w:tl2br w:val="nil"/>
                    <w:tr2bl w:val="nil"/>
                  </w:tcBorders>
                  <w:vAlign w:val="center"/>
                </w:tcPr>
                <w:p w14:paraId="5D5B2CE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符合性</w:t>
                  </w:r>
                </w:p>
              </w:tc>
            </w:tr>
            <w:tr w14:paraId="243CB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2C40EDA1">
                  <w:pPr>
                    <w:pStyle w:val="38"/>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福建省“十四五”空气质量改善规划</w:t>
                  </w:r>
                  <w:r>
                    <w:rPr>
                      <w:rFonts w:hint="eastAsia" w:ascii="Times New Roman" w:hAnsi="Times New Roman" w:eastAsia="宋体" w:cs="Times New Roman"/>
                      <w:color w:val="auto"/>
                      <w:sz w:val="21"/>
                      <w:szCs w:val="21"/>
                      <w:lang w:eastAsia="zh-CN"/>
                    </w:rPr>
                    <w:t>》</w:t>
                  </w:r>
                </w:p>
                <w:p w14:paraId="4812D95C">
                  <w:pPr>
                    <w:pStyle w:val="38"/>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2022年1月</w:t>
                  </w:r>
                  <w:r>
                    <w:rPr>
                      <w:rFonts w:hint="eastAsia" w:cs="Times New Roman"/>
                      <w:color w:val="auto"/>
                      <w:sz w:val="21"/>
                      <w:szCs w:val="21"/>
                      <w:lang w:val="en-US" w:eastAsia="zh-CN"/>
                    </w:rPr>
                    <w:t>）</w:t>
                  </w:r>
                </w:p>
              </w:tc>
              <w:tc>
                <w:tcPr>
                  <w:tcW w:w="2425" w:type="pct"/>
                  <w:tcBorders>
                    <w:tl2br w:val="nil"/>
                    <w:tr2bl w:val="nil"/>
                  </w:tcBorders>
                  <w:shd w:val="clear" w:color="auto" w:fill="auto"/>
                  <w:vAlign w:val="center"/>
                </w:tcPr>
                <w:p w14:paraId="0C394461">
                  <w:pPr>
                    <w:pStyle w:val="38"/>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rPr>
                    <w:t>推广使用水性、高固体分、无溶剂、粉末等低VOCs含量涂料，</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电缆桥架</w:t>
                  </w:r>
                  <w:r>
                    <w:rPr>
                      <w:rFonts w:hint="eastAsia" w:ascii="Times New Roman" w:hAnsi="Times New Roman" w:eastAsia="宋体" w:cs="Times New Roman"/>
                      <w:color w:val="auto"/>
                      <w:sz w:val="21"/>
                      <w:szCs w:val="21"/>
                    </w:rPr>
                    <w:t>制造、</w:t>
                  </w:r>
                  <w:r>
                    <w:rPr>
                      <w:rFonts w:hint="eastAsia" w:ascii="Times New Roman" w:hAnsi="Times New Roman" w:eastAsia="宋体" w:cs="Times New Roman"/>
                      <w:b w:val="0"/>
                      <w:bCs w:val="0"/>
                      <w:color w:val="auto"/>
                      <w:sz w:val="21"/>
                      <w:szCs w:val="21"/>
                    </w:rPr>
                    <w:t>汽车零部件</w:t>
                  </w:r>
                  <w:r>
                    <w:rPr>
                      <w:rFonts w:hint="eastAsia" w:ascii="Times New Roman" w:hAnsi="Times New Roman" w:eastAsia="宋体" w:cs="Times New Roman"/>
                      <w:color w:val="auto"/>
                      <w:sz w:val="21"/>
                      <w:szCs w:val="21"/>
                    </w:rPr>
                    <w:t>、工程机械使用比例达到50%以上；</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严格执行涂料、油墨、胶</w:t>
                  </w:r>
                  <w:r>
                    <w:rPr>
                      <w:rFonts w:hint="eastAsia" w:cs="Times New Roman"/>
                      <w:color w:val="auto"/>
                      <w:sz w:val="21"/>
                      <w:szCs w:val="21"/>
                      <w:lang w:eastAsia="zh-CN"/>
                    </w:rPr>
                    <w:t>黏</w:t>
                  </w:r>
                  <w:r>
                    <w:rPr>
                      <w:rFonts w:hint="eastAsia" w:ascii="Times New Roman" w:hAnsi="Times New Roman" w:eastAsia="宋体" w:cs="Times New Roman"/>
                      <w:color w:val="auto"/>
                      <w:sz w:val="21"/>
                      <w:szCs w:val="21"/>
                    </w:rPr>
                    <w:t>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auto"/>
                      <w:sz w:val="21"/>
                      <w:szCs w:val="21"/>
                    </w:rPr>
                    <w:t>福州</w:t>
                  </w:r>
                  <w:r>
                    <w:rPr>
                      <w:rFonts w:hint="eastAsia" w:ascii="Times New Roman" w:hAnsi="Times New Roman" w:eastAsia="宋体" w:cs="Times New Roman"/>
                      <w:color w:val="auto"/>
                      <w:sz w:val="21"/>
                      <w:szCs w:val="21"/>
                    </w:rPr>
                    <w:t>、厦门、漳州、泉州、莆田、宁德实施VOCs倍量替代。</w:t>
                  </w:r>
                </w:p>
              </w:tc>
              <w:tc>
                <w:tcPr>
                  <w:tcW w:w="1571" w:type="pct"/>
                  <w:vMerge w:val="restart"/>
                  <w:tcBorders>
                    <w:tl2br w:val="nil"/>
                    <w:tr2bl w:val="nil"/>
                  </w:tcBorders>
                  <w:vAlign w:val="center"/>
                </w:tcPr>
                <w:p w14:paraId="1633BE4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sz w:val="21"/>
                      <w:szCs w:val="21"/>
                      <w:vertAlign w:val="baseline"/>
                      <w:lang w:val="en-US" w:eastAsia="zh-CN"/>
                    </w:rPr>
                    <w:t>本项目属于</w:t>
                  </w:r>
                  <w:r>
                    <w:rPr>
                      <w:rFonts w:hint="eastAsia" w:cs="Times New Roman"/>
                      <w:b w:val="0"/>
                      <w:bCs w:val="0"/>
                      <w:sz w:val="21"/>
                      <w:szCs w:val="21"/>
                      <w:vertAlign w:val="baseline"/>
                      <w:lang w:val="en-US" w:eastAsia="zh-CN"/>
                    </w:rPr>
                    <w:t>塑料包装膜和塑料包装袋</w:t>
                  </w:r>
                  <w:r>
                    <w:rPr>
                      <w:rFonts w:hint="eastAsia" w:ascii="Times New Roman" w:hAnsi="Times New Roman" w:cs="Times New Roman"/>
                      <w:b w:val="0"/>
                      <w:bCs w:val="0"/>
                      <w:sz w:val="21"/>
                      <w:szCs w:val="21"/>
                      <w:vertAlign w:val="baseline"/>
                      <w:lang w:val="en-US" w:eastAsia="zh-CN"/>
                    </w:rPr>
                    <w:t>制造。生产过程中</w:t>
                  </w:r>
                  <w:r>
                    <w:rPr>
                      <w:rFonts w:hint="eastAsia" w:cs="Times New Roman"/>
                      <w:b w:val="0"/>
                      <w:bCs w:val="0"/>
                      <w:sz w:val="21"/>
                      <w:szCs w:val="21"/>
                      <w:vertAlign w:val="baseline"/>
                      <w:lang w:val="en-US" w:eastAsia="zh-CN"/>
                    </w:rPr>
                    <w:t>使用的凹版印刷油墨和</w:t>
                  </w:r>
                  <w:r>
                    <w:rPr>
                      <w:rFonts w:hint="eastAsia" w:cs="Times New Roman"/>
                      <w:b w:val="0"/>
                      <w:bCs w:val="0"/>
                      <w:color w:val="auto"/>
                      <w:sz w:val="21"/>
                      <w:szCs w:val="21"/>
                      <w:vertAlign w:val="baseline"/>
                      <w:lang w:val="en-US" w:eastAsia="zh-CN"/>
                    </w:rPr>
                    <w:t>溶剂型黏合剂为低VOCs涂料</w:t>
                  </w:r>
                  <w:r>
                    <w:rPr>
                      <w:rFonts w:hint="eastAsia" w:ascii="Times New Roman" w:hAnsi="Times New Roman"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印刷、复合/熟化、制袋等工序</w:t>
                  </w:r>
                  <w:r>
                    <w:rPr>
                      <w:rFonts w:hint="eastAsia" w:ascii="Times New Roman" w:hAnsi="Times New Roman" w:cs="Times New Roman"/>
                      <w:b w:val="0"/>
                      <w:bCs w:val="0"/>
                      <w:color w:val="auto"/>
                      <w:sz w:val="21"/>
                      <w:szCs w:val="21"/>
                      <w:vertAlign w:val="baseline"/>
                      <w:lang w:val="en-US" w:eastAsia="zh-CN"/>
                    </w:rPr>
                    <w:t>所产生VOCs的排放量较小，</w:t>
                  </w:r>
                  <w:r>
                    <w:rPr>
                      <w:rFonts w:hint="eastAsia" w:cs="Times New Roman"/>
                      <w:color w:val="auto"/>
                      <w:kern w:val="2"/>
                      <w:sz w:val="21"/>
                      <w:szCs w:val="21"/>
                      <w:lang w:val="en-US" w:eastAsia="zh-CN" w:bidi="ar-SA"/>
                    </w:rPr>
                    <w:t>无</w:t>
                  </w:r>
                  <w:r>
                    <w:rPr>
                      <w:rFonts w:hint="default" w:ascii="Times New Roman" w:hAnsi="Times New Roman" w:cs="Times New Roman"/>
                      <w:color w:val="auto"/>
                      <w:kern w:val="2"/>
                      <w:sz w:val="21"/>
                      <w:szCs w:val="21"/>
                      <w:lang w:val="en-US" w:eastAsia="zh-CN" w:bidi="ar-SA"/>
                    </w:rPr>
                    <w:t>需</w:t>
                  </w:r>
                  <w:r>
                    <w:rPr>
                      <w:rFonts w:hint="default" w:ascii="Times New Roman" w:hAnsi="Times New Roman" w:cs="Times New Roman"/>
                      <w:b w:val="0"/>
                      <w:bCs w:val="0"/>
                      <w:color w:val="auto"/>
                      <w:sz w:val="21"/>
                      <w:szCs w:val="21"/>
                    </w:rPr>
                    <w:t>安装VOCs在线监控设备</w:t>
                  </w:r>
                  <w:r>
                    <w:rPr>
                      <w:rFonts w:hint="eastAsia" w:ascii="Times New Roman" w:hAnsi="Times New Roman" w:cs="Times New Roman"/>
                      <w:b w:val="0"/>
                      <w:bCs w:val="0"/>
                      <w:color w:val="auto"/>
                      <w:sz w:val="21"/>
                      <w:szCs w:val="21"/>
                      <w:lang w:eastAsia="zh-CN"/>
                    </w:rPr>
                    <w:t>；</w:t>
                  </w:r>
                </w:p>
                <w:p w14:paraId="6BBCCEC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color w:val="auto"/>
                      <w:sz w:val="21"/>
                      <w:szCs w:val="21"/>
                      <w:lang w:val="en-US" w:eastAsia="zh-CN"/>
                    </w:rPr>
                    <w:t>项目建设位置位于</w:t>
                  </w:r>
                  <w:r>
                    <w:rPr>
                      <w:rFonts w:hint="eastAsia" w:cs="Times New Roman"/>
                      <w:b w:val="0"/>
                      <w:bCs w:val="0"/>
                      <w:color w:val="auto"/>
                      <w:sz w:val="21"/>
                      <w:szCs w:val="21"/>
                      <w:lang w:val="en-US" w:eastAsia="zh-CN"/>
                    </w:rPr>
                    <w:t>福清融侨经济技术开发区租赁福建融永拓新材料有限公司位于均和云谷·福清科技港的28#、36#厂房）</w:t>
                  </w:r>
                  <w:r>
                    <w:rPr>
                      <w:rFonts w:hint="eastAsia" w:ascii="Times New Roman" w:hAnsi="Times New Roman" w:eastAsia="宋体" w:cs="Times New Roman"/>
                      <w:b w:val="0"/>
                      <w:bCs w:val="0"/>
                      <w:color w:val="auto"/>
                      <w:sz w:val="21"/>
                      <w:szCs w:val="21"/>
                      <w:lang w:val="en-US" w:eastAsia="zh-CN"/>
                    </w:rPr>
                    <w:t>，生产过</w:t>
                  </w:r>
                  <w:r>
                    <w:rPr>
                      <w:rFonts w:hint="eastAsia" w:cs="Times New Roman"/>
                      <w:b w:val="0"/>
                      <w:bCs w:val="0"/>
                      <w:color w:val="auto"/>
                      <w:sz w:val="21"/>
                      <w:szCs w:val="21"/>
                      <w:lang w:val="en-US" w:eastAsia="zh-CN"/>
                    </w:rPr>
                    <w:t>程中</w:t>
                  </w:r>
                  <w:r>
                    <w:rPr>
                      <w:rFonts w:hint="default" w:ascii="Times New Roman" w:hAnsi="Times New Roman" w:cs="Times New Roman"/>
                      <w:color w:val="auto"/>
                      <w:sz w:val="21"/>
                      <w:szCs w:val="21"/>
                    </w:rPr>
                    <w:t>排放的VOC</w:t>
                  </w:r>
                  <w:r>
                    <w:rPr>
                      <w:rFonts w:hint="eastAsia" w:ascii="Times New Roman" w:hAnsi="Times New Roman" w:cs="Times New Roman"/>
                      <w:color w:val="auto"/>
                      <w:sz w:val="21"/>
                      <w:szCs w:val="21"/>
                      <w:vertAlign w:val="subscript"/>
                      <w:lang w:val="en-US" w:eastAsia="zh-CN"/>
                    </w:rPr>
                    <w:t>s</w:t>
                  </w:r>
                  <w:r>
                    <w:rPr>
                      <w:rFonts w:hint="default" w:ascii="Times New Roman" w:hAnsi="Times New Roman" w:cs="Times New Roman"/>
                      <w:color w:val="auto"/>
                      <w:sz w:val="21"/>
                      <w:szCs w:val="21"/>
                    </w:rPr>
                    <w:t>由建设单位向生态环境主管部门申请倍量削减替代</w:t>
                  </w:r>
                </w:p>
              </w:tc>
              <w:tc>
                <w:tcPr>
                  <w:tcW w:w="250" w:type="pct"/>
                  <w:vMerge w:val="restart"/>
                  <w:tcBorders>
                    <w:tl2br w:val="nil"/>
                    <w:tr2bl w:val="nil"/>
                  </w:tcBorders>
                  <w:vAlign w:val="center"/>
                </w:tcPr>
                <w:p w14:paraId="5B05A0F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34EC0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6E32594D">
                  <w:pPr>
                    <w:pStyle w:val="38"/>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2022年度福州市蓝天碧海净土保卫战行动计划通知</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榕环委办</w:t>
                  </w:r>
                  <w:r>
                    <w:rPr>
                      <w:rFonts w:hint="eastAsia" w:ascii="Times New Roman" w:hAnsi="Times New Roman" w:cs="Times New Roman"/>
                      <w:color w:val="auto"/>
                      <w:sz w:val="21"/>
                      <w:szCs w:val="21"/>
                      <w:lang w:eastAsia="zh-CN"/>
                    </w:rPr>
                    <w:t>〔2022〕49号</w:t>
                  </w:r>
                  <w:r>
                    <w:rPr>
                      <w:rFonts w:hint="eastAsia" w:cs="Times New Roman"/>
                      <w:color w:val="auto"/>
                      <w:sz w:val="21"/>
                      <w:szCs w:val="21"/>
                      <w:lang w:eastAsia="zh-CN"/>
                    </w:rPr>
                    <w:t>）</w:t>
                  </w:r>
                </w:p>
              </w:tc>
              <w:tc>
                <w:tcPr>
                  <w:tcW w:w="2425" w:type="pct"/>
                  <w:tcBorders>
                    <w:tl2br w:val="nil"/>
                    <w:tr2bl w:val="nil"/>
                  </w:tcBorders>
                  <w:shd w:val="clear" w:color="auto" w:fill="auto"/>
                  <w:vAlign w:val="center"/>
                </w:tcPr>
                <w:p w14:paraId="637BCD35">
                  <w:pPr>
                    <w:pStyle w:val="38"/>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四是严格涉VOCs建设项目环境影响评价审批。新、改、扩建涉VOCs排放项目，应使用低</w:t>
                  </w:r>
                  <w:r>
                    <w:rPr>
                      <w:rFonts w:hint="eastAsia" w:cs="Times New Roman"/>
                      <w:color w:val="auto"/>
                      <w:sz w:val="21"/>
                      <w:szCs w:val="21"/>
                      <w:lang w:eastAsia="zh-CN"/>
                    </w:rPr>
                    <w:t>（</w:t>
                  </w:r>
                  <w:r>
                    <w:rPr>
                      <w:rFonts w:hint="default" w:ascii="Times New Roman" w:hAnsi="Times New Roman" w:cs="Times New Roman"/>
                      <w:color w:val="auto"/>
                      <w:sz w:val="21"/>
                      <w:szCs w:val="21"/>
                    </w:rPr>
                    <w:t>无</w:t>
                  </w:r>
                  <w:r>
                    <w:rPr>
                      <w:rFonts w:hint="eastAsia" w:cs="Times New Roman"/>
                      <w:color w:val="auto"/>
                      <w:sz w:val="21"/>
                      <w:szCs w:val="21"/>
                      <w:lang w:eastAsia="zh-CN"/>
                    </w:rPr>
                    <w:t>）</w:t>
                  </w:r>
                  <w:r>
                    <w:rPr>
                      <w:rFonts w:hint="default" w:ascii="Times New Roman" w:hAnsi="Times New Roman" w:cs="Times New Roman"/>
                      <w:color w:val="auto"/>
                      <w:sz w:val="21"/>
                      <w:szCs w:val="21"/>
                    </w:rPr>
                    <w:t>VOCs涂料、</w:t>
                  </w:r>
                  <w:r>
                    <w:rPr>
                      <w:rFonts w:hint="eastAsia" w:cs="Times New Roman"/>
                      <w:color w:val="auto"/>
                      <w:sz w:val="21"/>
                      <w:szCs w:val="21"/>
                      <w:lang w:eastAsia="zh-CN"/>
                    </w:rPr>
                    <w:t>黏</w:t>
                  </w:r>
                  <w:r>
                    <w:rPr>
                      <w:rFonts w:hint="default" w:ascii="Times New Roman" w:hAnsi="Times New Roman" w:cs="Times New Roman"/>
                      <w:color w:val="auto"/>
                      <w:sz w:val="21"/>
                      <w:szCs w:val="21"/>
                    </w:rPr>
                    <w:t>胶剂等，实施新建项目VOCs排放区域内1.2及以上倍量替代。VOCs年排放量大于5吨的新建项目投运前应安装VOCs在线监控设备，并接入市生态云平台。</w:t>
                  </w:r>
                </w:p>
              </w:tc>
              <w:tc>
                <w:tcPr>
                  <w:tcW w:w="1571" w:type="pct"/>
                  <w:vMerge w:val="continue"/>
                  <w:tcBorders>
                    <w:tl2br w:val="nil"/>
                    <w:tr2bl w:val="nil"/>
                  </w:tcBorders>
                  <w:vAlign w:val="center"/>
                </w:tcPr>
                <w:p w14:paraId="40193E96">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p>
              </w:tc>
              <w:tc>
                <w:tcPr>
                  <w:tcW w:w="250" w:type="pct"/>
                  <w:vMerge w:val="continue"/>
                  <w:tcBorders>
                    <w:tl2br w:val="nil"/>
                    <w:tr2bl w:val="nil"/>
                  </w:tcBorders>
                  <w:vAlign w:val="center"/>
                </w:tcPr>
                <w:p w14:paraId="2A9EC98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3A985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50931ECA">
                  <w:pPr>
                    <w:pStyle w:val="38"/>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福州市“十四五”生态环境保护规划</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榕政办〔2021〕123 号</w:t>
                  </w:r>
                  <w:r>
                    <w:rPr>
                      <w:rFonts w:hint="eastAsia" w:cs="Times New Roman"/>
                      <w:color w:val="auto"/>
                      <w:sz w:val="21"/>
                      <w:szCs w:val="21"/>
                      <w:lang w:eastAsia="zh-CN"/>
                    </w:rPr>
                    <w:t>）</w:t>
                  </w:r>
                </w:p>
              </w:tc>
              <w:tc>
                <w:tcPr>
                  <w:tcW w:w="2425" w:type="pct"/>
                  <w:tcBorders>
                    <w:tl2br w:val="nil"/>
                    <w:tr2bl w:val="nil"/>
                  </w:tcBorders>
                  <w:shd w:val="clear" w:color="auto" w:fill="auto"/>
                  <w:vAlign w:val="center"/>
                </w:tcPr>
                <w:p w14:paraId="13369EDE">
                  <w:pPr>
                    <w:pStyle w:val="38"/>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强化挥发性有机物整治。</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rPr>
                    <w:t>实行挥发性有机物排放倍量替代。加大涉VOCs企业源头替代力度，推广使用低</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VOCs原辅材料替代，禁止生产高VOCs含量有机溶剂型涂料、油墨和胶黏剂的新、改、扩建项目，推进重点企业“油改水”治理，提高有机溶剂回收率。”</w:t>
                  </w:r>
                </w:p>
              </w:tc>
              <w:tc>
                <w:tcPr>
                  <w:tcW w:w="1571" w:type="pct"/>
                  <w:vMerge w:val="continue"/>
                  <w:tcBorders>
                    <w:tl2br w:val="nil"/>
                    <w:tr2bl w:val="nil"/>
                  </w:tcBorders>
                  <w:vAlign w:val="center"/>
                </w:tcPr>
                <w:p w14:paraId="1A30F1E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p>
              </w:tc>
              <w:tc>
                <w:tcPr>
                  <w:tcW w:w="250" w:type="pct"/>
                  <w:vMerge w:val="continue"/>
                  <w:tcBorders>
                    <w:tl2br w:val="nil"/>
                    <w:tr2bl w:val="nil"/>
                  </w:tcBorders>
                  <w:vAlign w:val="center"/>
                </w:tcPr>
                <w:p w14:paraId="60381A2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7541B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10DC34DA">
                  <w:pPr>
                    <w:pStyle w:val="38"/>
                    <w:adjustRightInd w:val="0"/>
                    <w:snapToGrid w:val="0"/>
                    <w:spacing w:line="340" w:lineRule="exact"/>
                    <w:jc w:val="center"/>
                    <w:rPr>
                      <w:rFonts w:hint="eastAsia" w:ascii="Times New Roman" w:hAnsi="Times New Roman" w:eastAsia="宋体" w:cs="Times New Roman"/>
                      <w:kern w:val="2"/>
                      <w:sz w:val="21"/>
                      <w:szCs w:val="24"/>
                      <w:lang w:val="en-US" w:eastAsia="zh-CN" w:bidi="ar-SA"/>
                    </w:rPr>
                  </w:pPr>
                  <w:r>
                    <w:rPr>
                      <w:rFonts w:hint="eastAsia"/>
                    </w:rPr>
                    <w:t>榕环保综</w:t>
                  </w:r>
                  <w:r>
                    <w:rPr>
                      <w:rFonts w:hint="eastAsia"/>
                      <w:lang w:eastAsia="zh-CN"/>
                    </w:rPr>
                    <w:t>〔2021〕100号</w:t>
                  </w:r>
                  <w:r>
                    <w:rPr>
                      <w:rFonts w:hint="eastAsia"/>
                    </w:rPr>
                    <w:t>《关于开展福州市重点行业挥发性有机物综合治理工作（VOCs2.0）》</w:t>
                  </w:r>
                </w:p>
              </w:tc>
              <w:tc>
                <w:tcPr>
                  <w:tcW w:w="2425" w:type="pct"/>
                  <w:tcBorders>
                    <w:tl2br w:val="nil"/>
                    <w:tr2bl w:val="nil"/>
                  </w:tcBorders>
                  <w:shd w:val="clear" w:color="auto" w:fill="auto"/>
                  <w:vAlign w:val="center"/>
                </w:tcPr>
                <w:p w14:paraId="6A0AA2B4">
                  <w:pPr>
                    <w:pStyle w:val="39"/>
                    <w:jc w:val="both"/>
                    <w:rPr>
                      <w:color w:val="auto"/>
                      <w:highlight w:val="none"/>
                    </w:rPr>
                  </w:pPr>
                  <w:r>
                    <w:rPr>
                      <w:rFonts w:hint="eastAsia"/>
                      <w:color w:val="auto"/>
                      <w:highlight w:val="none"/>
                    </w:rPr>
                    <w:t>（三）严格审批，加强管控</w:t>
                  </w:r>
                </w:p>
                <w:p w14:paraId="62F7FC1C">
                  <w:pPr>
                    <w:pStyle w:val="38"/>
                    <w:adjustRightInd w:val="0"/>
                    <w:snapToGrid w:val="0"/>
                    <w:spacing w:line="340" w:lineRule="exact"/>
                    <w:jc w:val="both"/>
                    <w:rPr>
                      <w:rFonts w:hint="eastAsia" w:ascii="Times New Roman" w:hAnsi="Times New Roman" w:eastAsia="宋体" w:cs="Times New Roman"/>
                      <w:kern w:val="2"/>
                      <w:sz w:val="21"/>
                      <w:szCs w:val="24"/>
                      <w:lang w:val="en-US" w:eastAsia="zh-CN" w:bidi="ar-SA"/>
                    </w:rPr>
                  </w:pPr>
                  <w:r>
                    <w:rPr>
                      <w:rFonts w:hint="eastAsia"/>
                      <w:color w:val="auto"/>
                      <w:highlight w:val="none"/>
                    </w:rPr>
                    <w:t>1.严格涉挥发性有机物建设项目环境影响评价审批。新、改、扩建排放挥发性有机物的建设项目实行</w:t>
                  </w:r>
                  <w:r>
                    <w:rPr>
                      <w:rFonts w:hint="eastAsia"/>
                      <w:color w:val="auto"/>
                      <w:highlight w:val="none"/>
                      <w:shd w:val="clear" w:color="auto" w:fill="FFFFFF"/>
                    </w:rPr>
                    <w:t>倍量</w:t>
                  </w:r>
                  <w:r>
                    <w:rPr>
                      <w:rFonts w:hint="eastAsia"/>
                      <w:color w:val="auto"/>
                      <w:highlight w:val="none"/>
                    </w:rPr>
                    <w:t>替代。鼓励使用低（无）挥发性有机物含量的原辅材料</w:t>
                  </w:r>
                </w:p>
              </w:tc>
              <w:tc>
                <w:tcPr>
                  <w:tcW w:w="1571" w:type="pct"/>
                  <w:vMerge w:val="continue"/>
                  <w:tcBorders>
                    <w:tl2br w:val="nil"/>
                    <w:tr2bl w:val="nil"/>
                  </w:tcBorders>
                  <w:vAlign w:val="center"/>
                </w:tcPr>
                <w:p w14:paraId="1B5270D1">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rPr>
                  </w:pPr>
                </w:p>
              </w:tc>
              <w:tc>
                <w:tcPr>
                  <w:tcW w:w="250" w:type="pct"/>
                  <w:vMerge w:val="continue"/>
                  <w:tcBorders>
                    <w:tl2br w:val="nil"/>
                    <w:tr2bl w:val="nil"/>
                  </w:tcBorders>
                  <w:vAlign w:val="center"/>
                </w:tcPr>
                <w:p w14:paraId="073EC99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064AF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497729C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color w:val="auto"/>
                      <w:highlight w:val="none"/>
                    </w:rPr>
                    <w:t>《福建省2020年挥发性有机物治理攻坚实施方案》的通知</w:t>
                  </w:r>
                  <w:r>
                    <w:rPr>
                      <w:rFonts w:hint="eastAsia"/>
                      <w:color w:val="auto"/>
                      <w:highlight w:val="none"/>
                    </w:rPr>
                    <w:t>（</w:t>
                  </w:r>
                  <w:r>
                    <w:rPr>
                      <w:color w:val="auto"/>
                      <w:highlight w:val="none"/>
                    </w:rPr>
                    <w:t>闽环保大气〔2020〕6号</w:t>
                  </w:r>
                  <w:r>
                    <w:rPr>
                      <w:rFonts w:hint="eastAsia"/>
                      <w:color w:val="auto"/>
                      <w:highlight w:val="none"/>
                    </w:rPr>
                    <w:t>）</w:t>
                  </w:r>
                </w:p>
              </w:tc>
              <w:tc>
                <w:tcPr>
                  <w:tcW w:w="2425" w:type="pct"/>
                  <w:tcBorders>
                    <w:tl2br w:val="nil"/>
                    <w:tr2bl w:val="nil"/>
                  </w:tcBorders>
                  <w:shd w:val="clear" w:color="auto" w:fill="auto"/>
                  <w:vAlign w:val="center"/>
                </w:tcPr>
                <w:p w14:paraId="06A2BDAD">
                  <w:pPr>
                    <w:pStyle w:val="39"/>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大力推进源头替代，有效减少VOCs产生；</w:t>
                  </w:r>
                </w:p>
                <w:p w14:paraId="7C3B7D3E">
                  <w:pPr>
                    <w:pStyle w:val="39"/>
                    <w:jc w:val="both"/>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auto"/>
                      <w:highlight w:val="none"/>
                    </w:rPr>
                    <w:t>（</w:t>
                  </w:r>
                  <w:r>
                    <w:rPr>
                      <w:color w:val="auto"/>
                      <w:highlight w:val="none"/>
                    </w:rPr>
                    <w:t>渣、液</w:t>
                  </w:r>
                  <w:r>
                    <w:rPr>
                      <w:rFonts w:hint="eastAsia"/>
                      <w:color w:val="auto"/>
                      <w:highlight w:val="none"/>
                    </w:rPr>
                    <w:t>）</w:t>
                  </w:r>
                  <w:r>
                    <w:rPr>
                      <w:color w:val="auto"/>
                      <w:highlight w:val="none"/>
                    </w:rPr>
                    <w:t>、废吸附剂等通过加盖、封装等方式密闭，妥善存放，集中清运，交有资质的单位处置，不得随意丢弃；</w:t>
                  </w:r>
                </w:p>
                <w:p w14:paraId="1F8256A6">
                  <w:pPr>
                    <w:pStyle w:val="39"/>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w:t>
                  </w:r>
                  <w:r>
                    <w:rPr>
                      <w:color w:val="auto"/>
                      <w:highlight w:val="none"/>
                    </w:rPr>
                    <w:t>3</w:t>
                  </w:r>
                  <w:r>
                    <w:rPr>
                      <w:rFonts w:hint="eastAsia"/>
                      <w:color w:val="auto"/>
                      <w:highlight w:val="none"/>
                    </w:rPr>
                    <w:t>）</w:t>
                  </w:r>
                  <w:r>
                    <w:rPr>
                      <w:color w:val="auto"/>
                      <w:highlight w:val="none"/>
                    </w:rPr>
                    <w:t>聚焦治污设施</w:t>
                  </w:r>
                  <w:r>
                    <w:rPr>
                      <w:rFonts w:hint="eastAsia"/>
                      <w:color w:val="auto"/>
                      <w:highlight w:val="none"/>
                    </w:rPr>
                    <w:t>“</w:t>
                  </w:r>
                  <w:r>
                    <w:rPr>
                      <w:color w:val="auto"/>
                      <w:highlight w:val="none"/>
                    </w:rPr>
                    <w:t>三率</w:t>
                  </w:r>
                  <w:r>
                    <w:rPr>
                      <w:rFonts w:hint="eastAsia"/>
                      <w:color w:val="auto"/>
                      <w:highlight w:val="none"/>
                    </w:rPr>
                    <w:t>”</w:t>
                  </w:r>
                  <w:r>
                    <w:rPr>
                      <w:color w:val="auto"/>
                      <w:highlight w:val="none"/>
                    </w:rPr>
                    <w:t>，提升综合治理效率</w:t>
                  </w:r>
                  <w:r>
                    <w:rPr>
                      <w:color w:val="auto"/>
                      <w:highlight w:val="none"/>
                      <w:shd w:val="clear" w:color="auto" w:fill="FFFFFF"/>
                    </w:rPr>
                    <w:t>。.</w:t>
                  </w:r>
                  <w:r>
                    <w:rPr>
                      <w:color w:val="auto"/>
                      <w:highlight w:val="none"/>
                    </w:rPr>
                    <w:t>....</w:t>
                  </w:r>
                  <w:r>
                    <w:rPr>
                      <w:color w:val="auto"/>
                      <w:highlight w:val="none"/>
                      <w:shd w:val="clear" w:color="auto" w:fill="FFFFFF"/>
                    </w:rPr>
                    <w:t>.</w:t>
                  </w:r>
                  <w:r>
                    <w:rPr>
                      <w:color w:val="auto"/>
                      <w:highlight w:val="none"/>
                    </w:rPr>
                    <w:t>除恶臭异味治理外，一般不采用低温等离子、光催化、光氧化等技术。优先采用密闭设备、在密闭空间中操作或采用全密闭集气罩收集方式；</w:t>
                  </w:r>
                  <w:r>
                    <w:rPr>
                      <w:rFonts w:hint="eastAsia"/>
                      <w:color w:val="auto"/>
                      <w:highlight w:val="none"/>
                      <w:lang w:eastAsia="zh-CN"/>
                    </w:rPr>
                    <w:t>……</w:t>
                  </w:r>
                  <w:r>
                    <w:rPr>
                      <w:color w:val="auto"/>
                      <w:highlight w:val="none"/>
                    </w:rPr>
                    <w:t>采用活性炭吸附技术的，应选择碘值不低于800毫克/克的活性炭，并按设计要求足量添加</w:t>
                  </w:r>
                  <w:r>
                    <w:rPr>
                      <w:rFonts w:hint="eastAsia"/>
                      <w:color w:val="auto"/>
                      <w:highlight w:val="none"/>
                      <w:lang w:eastAsia="zh-CN"/>
                    </w:rPr>
                    <w:t>及</w:t>
                  </w:r>
                  <w:r>
                    <w:rPr>
                      <w:color w:val="auto"/>
                      <w:highlight w:val="none"/>
                    </w:rPr>
                    <w:t>时更换。</w:t>
                  </w:r>
                </w:p>
              </w:tc>
              <w:tc>
                <w:tcPr>
                  <w:tcW w:w="1571" w:type="pct"/>
                  <w:tcBorders>
                    <w:tl2br w:val="nil"/>
                    <w:tr2bl w:val="nil"/>
                  </w:tcBorders>
                  <w:shd w:val="clear" w:color="auto" w:fill="auto"/>
                  <w:vAlign w:val="center"/>
                </w:tcPr>
                <w:p w14:paraId="17E157A5">
                  <w:pPr>
                    <w:pStyle w:val="38"/>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（1）项目生产过程中使用PE原生塑料颗粒，外购</w:t>
                  </w:r>
                  <w:r>
                    <w:rPr>
                      <w:rFonts w:hint="eastAsia" w:cs="Times New Roman"/>
                      <w:color w:val="auto"/>
                      <w:kern w:val="2"/>
                      <w:sz w:val="21"/>
                      <w:szCs w:val="21"/>
                      <w:highlight w:val="none"/>
                      <w:lang w:val="en-US" w:eastAsia="zh-CN" w:bidi="ar-SA"/>
                    </w:rPr>
                    <w:t>C</w:t>
                  </w:r>
                  <w:r>
                    <w:rPr>
                      <w:rFonts w:hint="eastAsia" w:ascii="Times New Roman" w:hAnsi="Times New Roman" w:eastAsia="宋体" w:cs="Times New Roman"/>
                      <w:color w:val="auto"/>
                      <w:kern w:val="2"/>
                      <w:sz w:val="21"/>
                      <w:szCs w:val="21"/>
                      <w:highlight w:val="none"/>
                      <w:lang w:val="en-US" w:eastAsia="zh-CN" w:bidi="ar-SA"/>
                    </w:rPr>
                    <w:t>PP塑料膜、PE塑料膜、</w:t>
                  </w:r>
                  <w:r>
                    <w:rPr>
                      <w:rFonts w:hint="eastAsia" w:cs="Times New Roman"/>
                      <w:color w:val="auto"/>
                      <w:kern w:val="2"/>
                      <w:sz w:val="21"/>
                      <w:szCs w:val="21"/>
                      <w:highlight w:val="none"/>
                      <w:lang w:val="en-US" w:eastAsia="zh-CN" w:bidi="ar-SA"/>
                    </w:rPr>
                    <w:t>O</w:t>
                  </w:r>
                  <w:r>
                    <w:rPr>
                      <w:rFonts w:hint="eastAsia" w:ascii="Times New Roman" w:hAnsi="Times New Roman" w:eastAsia="宋体" w:cs="Times New Roman"/>
                      <w:color w:val="auto"/>
                      <w:kern w:val="2"/>
                      <w:sz w:val="21"/>
                      <w:szCs w:val="21"/>
                      <w:highlight w:val="none"/>
                      <w:lang w:val="en-US" w:eastAsia="zh-CN" w:bidi="ar-SA"/>
                    </w:rPr>
                    <w:t>PP塑料膜、P</w:t>
                  </w:r>
                  <w:r>
                    <w:rPr>
                      <w:rFonts w:hint="eastAsia" w:cs="Times New Roman"/>
                      <w:color w:val="auto"/>
                      <w:kern w:val="2"/>
                      <w:sz w:val="21"/>
                      <w:szCs w:val="21"/>
                      <w:highlight w:val="none"/>
                      <w:lang w:val="en-US" w:eastAsia="zh-CN" w:bidi="ar-SA"/>
                    </w:rPr>
                    <w:t>ET</w:t>
                  </w:r>
                  <w:r>
                    <w:rPr>
                      <w:rFonts w:hint="eastAsia" w:ascii="Times New Roman" w:hAnsi="Times New Roman" w:eastAsia="宋体" w:cs="Times New Roman"/>
                      <w:color w:val="auto"/>
                      <w:kern w:val="2"/>
                      <w:sz w:val="21"/>
                      <w:szCs w:val="21"/>
                      <w:highlight w:val="none"/>
                      <w:lang w:val="en-US" w:eastAsia="zh-CN" w:bidi="ar-SA"/>
                    </w:rPr>
                    <w:t>塑料膜</w:t>
                  </w:r>
                  <w:r>
                    <w:rPr>
                      <w:rFonts w:hint="eastAsia" w:cs="Times New Roman"/>
                      <w:color w:val="auto"/>
                      <w:kern w:val="2"/>
                      <w:sz w:val="21"/>
                      <w:szCs w:val="21"/>
                      <w:highlight w:val="none"/>
                      <w:lang w:val="en-US" w:eastAsia="zh-CN" w:bidi="ar-SA"/>
                    </w:rPr>
                    <w:t>、AL金属膜、PA</w:t>
                  </w:r>
                  <w:r>
                    <w:rPr>
                      <w:rFonts w:hint="eastAsia" w:ascii="Times New Roman" w:hAnsi="Times New Roman" w:eastAsia="宋体" w:cs="Times New Roman"/>
                      <w:color w:val="auto"/>
                      <w:kern w:val="2"/>
                      <w:sz w:val="21"/>
                      <w:szCs w:val="21"/>
                      <w:highlight w:val="none"/>
                      <w:lang w:val="en-US" w:eastAsia="zh-CN" w:bidi="ar-SA"/>
                    </w:rPr>
                    <w:t>塑料</w:t>
                  </w:r>
                  <w:r>
                    <w:rPr>
                      <w:rFonts w:hint="eastAsia" w:cs="Times New Roman"/>
                      <w:color w:val="auto"/>
                      <w:kern w:val="2"/>
                      <w:sz w:val="21"/>
                      <w:szCs w:val="21"/>
                      <w:highlight w:val="none"/>
                      <w:lang w:val="en-US" w:eastAsia="zh-CN" w:bidi="ar-SA"/>
                    </w:rPr>
                    <w:t>膜、凹版印刷油墨、稀释溶剂、无溶剂型黏合剂和溶剂型黏合剂作为原料</w:t>
                  </w:r>
                  <w:r>
                    <w:rPr>
                      <w:rFonts w:hint="eastAsia" w:ascii="Times New Roman" w:hAnsi="Times New Roman" w:eastAsia="宋体" w:cs="Times New Roman"/>
                      <w:color w:val="auto"/>
                      <w:kern w:val="2"/>
                      <w:sz w:val="21"/>
                      <w:szCs w:val="21"/>
                      <w:highlight w:val="none"/>
                      <w:lang w:val="en-US" w:eastAsia="zh-CN" w:bidi="ar-SA"/>
                    </w:rPr>
                    <w:t>，VOCs含量低。</w:t>
                  </w:r>
                </w:p>
                <w:p w14:paraId="6C8D2579">
                  <w:pPr>
                    <w:pStyle w:val="38"/>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项目</w:t>
                  </w:r>
                  <w:r>
                    <w:rPr>
                      <w:rFonts w:hint="eastAsia" w:cs="Times New Roman"/>
                      <w:color w:val="auto"/>
                      <w:kern w:val="2"/>
                      <w:sz w:val="21"/>
                      <w:szCs w:val="21"/>
                      <w:highlight w:val="none"/>
                      <w:lang w:val="en-US" w:eastAsia="zh-CN" w:bidi="ar-SA"/>
                    </w:rPr>
                    <w:t>原料</w:t>
                  </w:r>
                  <w:r>
                    <w:rPr>
                      <w:rFonts w:hint="eastAsia" w:ascii="Times New Roman" w:hAnsi="Times New Roman" w:eastAsia="宋体" w:cs="Times New Roman"/>
                      <w:color w:val="auto"/>
                      <w:kern w:val="2"/>
                      <w:sz w:val="21"/>
                      <w:szCs w:val="21"/>
                      <w:highlight w:val="none"/>
                      <w:lang w:val="en-US" w:eastAsia="zh-CN" w:bidi="ar-SA"/>
                    </w:rPr>
                    <w:t>采用密闭袋装</w:t>
                  </w:r>
                  <w:r>
                    <w:rPr>
                      <w:rFonts w:hint="eastAsia" w:cs="Times New Roman"/>
                      <w:color w:val="auto"/>
                      <w:kern w:val="2"/>
                      <w:sz w:val="21"/>
                      <w:szCs w:val="21"/>
                      <w:highlight w:val="none"/>
                      <w:lang w:val="en-US" w:eastAsia="zh-CN" w:bidi="ar-SA"/>
                    </w:rPr>
                    <w:t>或密封罐</w:t>
                  </w:r>
                  <w:r>
                    <w:rPr>
                      <w:rFonts w:hint="eastAsia" w:ascii="Times New Roman" w:hAnsi="Times New Roman" w:eastAsia="宋体"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项目设备加热过程为密闭；</w:t>
                  </w:r>
                  <w:r>
                    <w:rPr>
                      <w:rFonts w:hint="eastAsia" w:cs="Times New Roman"/>
                      <w:color w:val="auto"/>
                      <w:kern w:val="2"/>
                      <w:sz w:val="21"/>
                      <w:szCs w:val="21"/>
                      <w:highlight w:val="none"/>
                      <w:lang w:val="en-US" w:eastAsia="zh-CN" w:bidi="ar-SA"/>
                    </w:rPr>
                    <w:t>生产设备</w:t>
                  </w:r>
                  <w:r>
                    <w:rPr>
                      <w:rFonts w:hint="eastAsia" w:ascii="Times New Roman" w:hAnsi="Times New Roman" w:eastAsia="宋体" w:cs="Times New Roman"/>
                      <w:color w:val="auto"/>
                      <w:kern w:val="2"/>
                      <w:sz w:val="21"/>
                      <w:szCs w:val="21"/>
                      <w:highlight w:val="none"/>
                      <w:lang w:val="en-US" w:eastAsia="zh-CN" w:bidi="ar-SA"/>
                    </w:rPr>
                    <w:t>配套顶吸式半密闭集气罩收集有机废气，收集效率</w:t>
                  </w:r>
                  <w:r>
                    <w:rPr>
                      <w:rFonts w:hint="eastAsia" w:cs="Times New Roman"/>
                      <w:color w:val="auto"/>
                      <w:kern w:val="2"/>
                      <w:sz w:val="21"/>
                      <w:szCs w:val="21"/>
                      <w:highlight w:val="none"/>
                      <w:lang w:val="en-US" w:eastAsia="zh-CN" w:bidi="ar-SA"/>
                    </w:rPr>
                    <w:t>9</w:t>
                  </w:r>
                  <w:r>
                    <w:rPr>
                      <w:rFonts w:hint="eastAsia" w:ascii="Times New Roman" w:hAnsi="Times New Roman" w:eastAsia="宋体" w:cs="Times New Roman"/>
                      <w:color w:val="auto"/>
                      <w:kern w:val="2"/>
                      <w:sz w:val="21"/>
                      <w:szCs w:val="21"/>
                      <w:highlight w:val="none"/>
                      <w:lang w:val="en-US" w:eastAsia="zh-CN" w:bidi="ar-SA"/>
                    </w:rPr>
                    <w:t>0%，拟将更换的废活性炭当作危险废物，</w:t>
                  </w:r>
                  <w:r>
                    <w:rPr>
                      <w:rFonts w:hint="default" w:ascii="Times New Roman" w:hAnsi="Times New Roman" w:eastAsia="宋体" w:cs="Times New Roman"/>
                      <w:color w:val="auto"/>
                      <w:kern w:val="2"/>
                      <w:sz w:val="21"/>
                      <w:szCs w:val="21"/>
                      <w:highlight w:val="none"/>
                      <w:lang w:val="en-US" w:eastAsia="zh-CN" w:bidi="ar-SA"/>
                    </w:rPr>
                    <w:t>密闭暂存于</w:t>
                  </w:r>
                  <w:r>
                    <w:rPr>
                      <w:rFonts w:hint="eastAsia" w:ascii="Times New Roman" w:hAnsi="Times New Roman" w:eastAsia="宋体" w:cs="Times New Roman"/>
                      <w:color w:val="auto"/>
                      <w:kern w:val="2"/>
                      <w:sz w:val="21"/>
                      <w:szCs w:val="21"/>
                      <w:highlight w:val="none"/>
                      <w:lang w:val="en-US" w:eastAsia="zh-CN" w:bidi="ar-SA"/>
                    </w:rPr>
                    <w:t>危险废物贮存库</w:t>
                  </w:r>
                  <w:r>
                    <w:rPr>
                      <w:rFonts w:hint="default" w:ascii="Times New Roman" w:hAnsi="Times New Roman" w:eastAsia="宋体" w:cs="Times New Roman"/>
                      <w:color w:val="auto"/>
                      <w:kern w:val="2"/>
                      <w:sz w:val="21"/>
                      <w:szCs w:val="21"/>
                      <w:highlight w:val="none"/>
                      <w:lang w:val="en-US" w:eastAsia="zh-CN" w:bidi="ar-SA"/>
                    </w:rPr>
                    <w:t>内</w:t>
                  </w:r>
                  <w:r>
                    <w:rPr>
                      <w:rFonts w:hint="eastAsia" w:ascii="Times New Roman" w:hAnsi="Times New Roman" w:eastAsia="宋体" w:cs="Times New Roman"/>
                      <w:color w:val="auto"/>
                      <w:kern w:val="2"/>
                      <w:sz w:val="21"/>
                      <w:szCs w:val="21"/>
                      <w:highlight w:val="none"/>
                      <w:lang w:val="en-US" w:eastAsia="zh-CN" w:bidi="ar-SA"/>
                    </w:rPr>
                    <w:t>，定期委托有资质单位统一处置；（3）本项目将</w:t>
                  </w:r>
                  <w:r>
                    <w:rPr>
                      <w:rFonts w:hint="default" w:ascii="Times New Roman" w:hAnsi="Times New Roman" w:eastAsia="宋体" w:cs="Times New Roman"/>
                      <w:color w:val="auto"/>
                      <w:kern w:val="2"/>
                      <w:sz w:val="21"/>
                      <w:szCs w:val="21"/>
                      <w:highlight w:val="none"/>
                      <w:lang w:val="en-US" w:eastAsia="zh-CN" w:bidi="ar-SA"/>
                    </w:rPr>
                    <w:t>产生的VOCs收集</w:t>
                  </w:r>
                  <w:r>
                    <w:rPr>
                      <w:rFonts w:hint="eastAsia" w:ascii="Times New Roman" w:hAnsi="Times New Roman" w:eastAsia="宋体" w:cs="Times New Roman"/>
                      <w:color w:val="auto"/>
                      <w:kern w:val="2"/>
                      <w:sz w:val="21"/>
                      <w:szCs w:val="21"/>
                      <w:highlight w:val="none"/>
                      <w:lang w:val="en-US" w:eastAsia="zh-CN" w:bidi="ar-SA"/>
                    </w:rPr>
                    <w:t>后通过1套</w:t>
                  </w:r>
                  <w:r>
                    <w:rPr>
                      <w:rFonts w:hint="eastAsia" w:cs="Times New Roman"/>
                      <w:color w:val="auto"/>
                      <w:kern w:val="2"/>
                      <w:sz w:val="21"/>
                      <w:szCs w:val="21"/>
                      <w:highlight w:val="none"/>
                      <w:lang w:val="en-US" w:eastAsia="zh-CN" w:bidi="ar-SA"/>
                    </w:rPr>
                    <w:t>二级</w:t>
                  </w:r>
                  <w:r>
                    <w:rPr>
                      <w:rFonts w:hint="eastAsia" w:ascii="Times New Roman" w:hAnsi="Times New Roman" w:eastAsia="宋体" w:cs="Times New Roman"/>
                      <w:color w:val="auto"/>
                      <w:kern w:val="2"/>
                      <w:sz w:val="21"/>
                      <w:szCs w:val="21"/>
                      <w:highlight w:val="none"/>
                      <w:lang w:val="en-US" w:eastAsia="zh-CN" w:bidi="ar-SA"/>
                    </w:rPr>
                    <w:t>活性炭吸附装置</w:t>
                  </w:r>
                  <w:r>
                    <w:rPr>
                      <w:rFonts w:hint="default" w:ascii="Times New Roman" w:hAnsi="Times New Roman" w:eastAsia="宋体" w:cs="Times New Roman"/>
                      <w:color w:val="auto"/>
                      <w:kern w:val="2"/>
                      <w:sz w:val="21"/>
                      <w:szCs w:val="21"/>
                      <w:highlight w:val="none"/>
                      <w:lang w:val="en-US" w:eastAsia="zh-CN" w:bidi="ar-SA"/>
                    </w:rPr>
                    <w:t>处理后</w:t>
                  </w:r>
                  <w:r>
                    <w:rPr>
                      <w:rFonts w:hint="eastAsia" w:cs="Times New Roman"/>
                      <w:color w:val="auto"/>
                      <w:kern w:val="2"/>
                      <w:sz w:val="21"/>
                      <w:szCs w:val="21"/>
                      <w:highlight w:val="none"/>
                      <w:lang w:val="en-US" w:eastAsia="zh-CN" w:bidi="ar-SA"/>
                    </w:rPr>
                    <w:t>通过15m排气筒</w:t>
                  </w:r>
                  <w:r>
                    <w:rPr>
                      <w:rFonts w:hint="default" w:ascii="Times New Roman" w:hAnsi="Times New Roman" w:eastAsia="宋体" w:cs="Times New Roman"/>
                      <w:color w:val="auto"/>
                      <w:kern w:val="2"/>
                      <w:sz w:val="21"/>
                      <w:szCs w:val="21"/>
                      <w:highlight w:val="none"/>
                      <w:lang w:val="en-US" w:eastAsia="zh-CN" w:bidi="ar-SA"/>
                    </w:rPr>
                    <w:t>排放</w:t>
                  </w:r>
                  <w:r>
                    <w:rPr>
                      <w:rFonts w:hint="eastAsia" w:ascii="Times New Roman" w:hAnsi="Times New Roman" w:eastAsia="宋体" w:cs="Times New Roman"/>
                      <w:color w:val="auto"/>
                      <w:kern w:val="2"/>
                      <w:sz w:val="21"/>
                      <w:szCs w:val="21"/>
                      <w:highlight w:val="none"/>
                      <w:lang w:val="en-US" w:eastAsia="zh-CN" w:bidi="ar-SA"/>
                    </w:rPr>
                    <w:t>，</w:t>
                  </w:r>
                  <w:r>
                    <w:rPr>
                      <w:color w:val="000000"/>
                      <w:szCs w:val="21"/>
                    </w:rPr>
                    <w:t>项目生产设备除进出料口全部密闭，</w:t>
                  </w:r>
                  <w:r>
                    <w:rPr>
                      <w:rFonts w:hint="default" w:ascii="Times New Roman" w:hAnsi="Times New Roman" w:eastAsia="宋体" w:cs="Times New Roman"/>
                      <w:color w:val="auto"/>
                      <w:kern w:val="2"/>
                      <w:sz w:val="21"/>
                      <w:szCs w:val="21"/>
                      <w:highlight w:val="none"/>
                      <w:lang w:val="en-US" w:eastAsia="zh-CN" w:bidi="ar-SA"/>
                    </w:rPr>
                    <w:t>VOCs</w:t>
                  </w:r>
                  <w:r>
                    <w:rPr>
                      <w:rFonts w:hint="eastAsia" w:ascii="Times New Roman" w:hAnsi="Times New Roman" w:eastAsia="宋体" w:cs="Times New Roman"/>
                      <w:color w:val="auto"/>
                      <w:kern w:val="2"/>
                      <w:sz w:val="21"/>
                      <w:szCs w:val="21"/>
                      <w:highlight w:val="none"/>
                      <w:lang w:val="en-US" w:eastAsia="zh-CN" w:bidi="ar-SA"/>
                    </w:rPr>
                    <w:t>采用集气罩收集，采用碘值不低于800毫克/克的活性炭，并定期更换</w:t>
                  </w:r>
                  <w:r>
                    <w:rPr>
                      <w:color w:val="auto"/>
                      <w:highlight w:val="none"/>
                    </w:rPr>
                    <w:t>。</w:t>
                  </w:r>
                </w:p>
              </w:tc>
              <w:tc>
                <w:tcPr>
                  <w:tcW w:w="250" w:type="pct"/>
                  <w:tcBorders>
                    <w:tl2br w:val="nil"/>
                    <w:tr2bl w:val="nil"/>
                  </w:tcBorders>
                  <w:vAlign w:val="center"/>
                </w:tcPr>
                <w:p w14:paraId="229F8A1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5DAE1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11F0C09A">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color w:val="auto"/>
                      <w:sz w:val="21"/>
                      <w:szCs w:val="21"/>
                      <w:lang w:val="en-US" w:eastAsia="zh-CN"/>
                    </w:rPr>
                    <w:t>《福建省重点行业挥发性有机物排放控制要求</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试行</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的通知》</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闽环保大气〔2017〕9号</w:t>
                  </w:r>
                  <w:r>
                    <w:rPr>
                      <w:rFonts w:hint="eastAsia" w:cs="Times New Roman"/>
                      <w:color w:val="auto"/>
                      <w:sz w:val="21"/>
                      <w:szCs w:val="21"/>
                      <w:lang w:val="en-US" w:eastAsia="zh-CN"/>
                    </w:rPr>
                    <w:t>）</w:t>
                  </w:r>
                </w:p>
              </w:tc>
              <w:tc>
                <w:tcPr>
                  <w:tcW w:w="2425" w:type="pct"/>
                  <w:tcBorders>
                    <w:tl2br w:val="nil"/>
                    <w:tr2bl w:val="nil"/>
                  </w:tcBorders>
                  <w:vAlign w:val="center"/>
                </w:tcPr>
                <w:p w14:paraId="4733427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r>
                    <w:rPr>
                      <w:rFonts w:hint="default" w:ascii="Times New Roman" w:hAnsi="Times New Roman" w:eastAsia="宋体" w:cs="Times New Roman"/>
                      <w:b w:val="0"/>
                      <w:bCs w:val="0"/>
                      <w:sz w:val="21"/>
                      <w:szCs w:val="21"/>
                      <w:vertAlign w:val="baseline"/>
                      <w:lang w:val="en-US" w:eastAsia="zh-CN"/>
                    </w:rPr>
                    <w:t>工艺过程控制要求</w:t>
                  </w:r>
                </w:p>
                <w:p w14:paraId="3B3D8AA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含VOCs物料应储存于密闭容器中。盛装含VOCs物料的容器应存放于储存室内，或至少设置遮阳挡雨等设施</w:t>
                  </w:r>
                  <w:r>
                    <w:rPr>
                      <w:rFonts w:hint="eastAsia" w:ascii="Times New Roman" w:hAnsi="Times New Roman" w:eastAsia="宋体" w:cs="Times New Roman"/>
                      <w:b w:val="0"/>
                      <w:bCs w:val="0"/>
                      <w:sz w:val="21"/>
                      <w:szCs w:val="21"/>
                      <w:vertAlign w:val="baseline"/>
                      <w:lang w:val="en-US" w:eastAsia="zh-CN"/>
                    </w:rPr>
                    <w:t>。</w:t>
                  </w:r>
                </w:p>
                <w:p w14:paraId="7B6505E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r>
                    <w:rPr>
                      <w:rFonts w:hint="default" w:ascii="Times New Roman" w:hAnsi="Times New Roman" w:eastAsia="宋体" w:cs="Times New Roman"/>
                      <w:b w:val="0"/>
                      <w:bCs w:val="0"/>
                      <w:sz w:val="21"/>
                      <w:szCs w:val="21"/>
                      <w:vertAlign w:val="baseline"/>
                      <w:lang w:val="en-US" w:eastAsia="zh-CN"/>
                    </w:rPr>
                    <w:t>其他控制要求</w:t>
                  </w:r>
                </w:p>
                <w:p w14:paraId="445FE9C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产生有废气</w:t>
                  </w:r>
                  <w:r>
                    <w:rPr>
                      <w:rFonts w:hint="eastAsia" w:ascii="Times New Roman" w:hAnsi="Times New Roman" w:eastAsia="宋体" w:cs="Times New Roman"/>
                      <w:b w:val="0"/>
                      <w:bCs w:val="0"/>
                      <w:sz w:val="21"/>
                      <w:szCs w:val="21"/>
                      <w:vertAlign w:val="baseline"/>
                      <w:lang w:val="en-US" w:eastAsia="zh-CN"/>
                    </w:rPr>
                    <w:t>的</w:t>
                  </w:r>
                  <w:r>
                    <w:rPr>
                      <w:rFonts w:hint="default" w:ascii="Times New Roman" w:hAnsi="Times New Roman" w:eastAsia="宋体" w:cs="Times New Roman"/>
                      <w:b w:val="0"/>
                      <w:bCs w:val="0"/>
                      <w:sz w:val="21"/>
                      <w:szCs w:val="21"/>
                      <w:vertAlign w:val="baseline"/>
                      <w:lang w:val="en-US" w:eastAsia="zh-CN"/>
                    </w:rPr>
                    <w:t>生产工艺和装置均设有收集系统和净化处理装置；所有产生VOCs的生产车间</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或生产设施</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sz w:val="21"/>
                      <w:szCs w:val="21"/>
                      <w:vertAlign w:val="baseline"/>
                      <w:lang w:val="en-US" w:eastAsia="zh-CN"/>
                    </w:rPr>
                    <w:t>。</w:t>
                  </w:r>
                </w:p>
              </w:tc>
              <w:tc>
                <w:tcPr>
                  <w:tcW w:w="1571" w:type="pct"/>
                  <w:tcBorders>
                    <w:tl2br w:val="nil"/>
                    <w:tr2bl w:val="nil"/>
                  </w:tcBorders>
                  <w:vAlign w:val="center"/>
                </w:tcPr>
                <w:p w14:paraId="06B77C40">
                  <w:pPr>
                    <w:keepNext w:val="0"/>
                    <w:keepLines w:val="0"/>
                    <w:pageBreakBefore w:val="0"/>
                    <w:widowControl/>
                    <w:numPr>
                      <w:ilvl w:val="0"/>
                      <w:numId w:val="7"/>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项目含VOCs的原辅料均放置在原辅料仓库。</w:t>
                  </w:r>
                </w:p>
                <w:p w14:paraId="445F943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（2）项目</w:t>
                  </w:r>
                  <w:r>
                    <w:rPr>
                      <w:rFonts w:hint="eastAsia" w:cs="Times New Roman"/>
                      <w:b w:val="0"/>
                      <w:bCs w:val="0"/>
                      <w:sz w:val="21"/>
                      <w:szCs w:val="21"/>
                      <w:vertAlign w:val="baseline"/>
                      <w:lang w:val="en-US" w:eastAsia="zh-CN"/>
                    </w:rPr>
                    <w:t>印刷、复合/熟化、制袋等工序</w:t>
                  </w:r>
                  <w:r>
                    <w:rPr>
                      <w:rFonts w:hint="eastAsia" w:ascii="Times New Roman" w:hAnsi="Times New Roman" w:eastAsia="宋体" w:cs="Times New Roman"/>
                      <w:b w:val="0"/>
                      <w:bCs w:val="0"/>
                      <w:sz w:val="21"/>
                      <w:szCs w:val="21"/>
                      <w:vertAlign w:val="baseline"/>
                      <w:lang w:val="en-US" w:eastAsia="zh-CN"/>
                    </w:rPr>
                    <w:t>中所产生的VOCs经集气罩收集后通过一套“</w:t>
                  </w:r>
                  <w:r>
                    <w:rPr>
                      <w:rFonts w:hint="eastAsia" w:ascii="Times New Roman" w:hAnsi="Times New Roman" w:eastAsia="宋体" w:cs="Times New Roman"/>
                      <w:b w:val="0"/>
                      <w:bCs w:val="0"/>
                      <w:sz w:val="21"/>
                      <w:szCs w:val="21"/>
                      <w:highlight w:val="none"/>
                      <w:vertAlign w:val="baseline"/>
                      <w:lang w:val="en-US" w:eastAsia="zh-CN"/>
                    </w:rPr>
                    <w:t>二级活性炭吸附装置+15m排气筒排放”，拟将更换的废活性炭</w:t>
                  </w:r>
                  <w:r>
                    <w:rPr>
                      <w:rFonts w:hint="eastAsia" w:ascii="Times New Roman" w:hAnsi="Times New Roman" w:cs="Times New Roman"/>
                      <w:color w:val="auto"/>
                      <w:sz w:val="21"/>
                      <w:szCs w:val="21"/>
                      <w:highlight w:val="none"/>
                      <w:lang w:val="en-US" w:eastAsia="zh-CN"/>
                    </w:rPr>
                    <w:t>属于</w:t>
                  </w:r>
                  <w:r>
                    <w:rPr>
                      <w:rFonts w:hint="eastAsia" w:ascii="Times New Roman" w:hAnsi="Times New Roman" w:cs="Times New Roman"/>
                      <w:color w:val="auto"/>
                      <w:sz w:val="21"/>
                      <w:szCs w:val="21"/>
                      <w:lang w:val="en-US" w:eastAsia="zh-CN"/>
                    </w:rPr>
                    <w:t>危险废物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袋装密闭暂存于</w:t>
                  </w:r>
                  <w:r>
                    <w:rPr>
                      <w:rFonts w:hint="eastAsia" w:ascii="Times New Roman" w:hAnsi="Times New Roman" w:cs="Times New Roman"/>
                      <w:color w:val="auto"/>
                      <w:sz w:val="21"/>
                      <w:szCs w:val="21"/>
                      <w:lang w:eastAsia="zh-CN"/>
                    </w:rPr>
                    <w:t>危险废物贮存</w:t>
                  </w:r>
                  <w:r>
                    <w:rPr>
                      <w:rFonts w:hint="eastAsia" w:ascii="Times New Roman" w:hAnsi="Times New Roman" w:cs="Times New Roman"/>
                      <w:color w:val="auto"/>
                      <w:sz w:val="21"/>
                      <w:szCs w:val="21"/>
                      <w:lang w:val="en-US" w:eastAsia="zh-CN"/>
                    </w:rPr>
                    <w:t>间</w:t>
                  </w:r>
                  <w:r>
                    <w:rPr>
                      <w:rFonts w:hint="default" w:ascii="Times New Roman" w:hAnsi="Times New Roman" w:cs="Times New Roman"/>
                      <w:color w:val="auto"/>
                      <w:sz w:val="21"/>
                      <w:szCs w:val="21"/>
                    </w:rPr>
                    <w:t>内</w:t>
                  </w:r>
                  <w:r>
                    <w:rPr>
                      <w:rFonts w:hint="eastAsia" w:ascii="Times New Roman" w:hAnsi="Times New Roman" w:cs="Times New Roman"/>
                      <w:color w:val="auto"/>
                      <w:sz w:val="21"/>
                      <w:szCs w:val="21"/>
                      <w:lang w:val="en-US" w:eastAsia="zh-CN"/>
                    </w:rPr>
                    <w:t>，委托有资质的单位定期处置；</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采用密闭车间集气罩收集，集气效率为</w:t>
                  </w:r>
                  <w:r>
                    <w:rPr>
                      <w:rFonts w:hint="eastAsia" w:cs="Times New Roman"/>
                      <w:color w:val="auto"/>
                      <w:sz w:val="21"/>
                      <w:szCs w:val="21"/>
                      <w:lang w:val="en-US" w:eastAsia="zh-CN"/>
                    </w:rPr>
                    <w:t>90</w:t>
                  </w:r>
                  <w:r>
                    <w:rPr>
                      <w:rFonts w:hint="eastAsia" w:ascii="Times New Roman" w:hAnsi="Times New Roman" w:cs="Times New Roman"/>
                      <w:color w:val="auto"/>
                      <w:sz w:val="21"/>
                      <w:szCs w:val="21"/>
                      <w:lang w:val="en-US" w:eastAsia="zh-CN"/>
                    </w:rPr>
                    <w:t>%左右≥</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eastAsia="zh-CN"/>
                    </w:rPr>
                    <w:t>。</w:t>
                  </w:r>
                </w:p>
              </w:tc>
              <w:tc>
                <w:tcPr>
                  <w:tcW w:w="250" w:type="pct"/>
                  <w:tcBorders>
                    <w:tl2br w:val="nil"/>
                    <w:tr2bl w:val="nil"/>
                  </w:tcBorders>
                  <w:vAlign w:val="center"/>
                </w:tcPr>
                <w:p w14:paraId="5618E97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0FD37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7D254BD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color w:val="auto"/>
                      <w:sz w:val="21"/>
                      <w:szCs w:val="21"/>
                    </w:rPr>
                    <w:t>福建省重点行业挥发性有机物污染防治工作方案</w:t>
                  </w:r>
                  <w:r>
                    <w:rPr>
                      <w:rFonts w:hint="eastAsia" w:cs="Times New Roman"/>
                      <w:color w:val="auto"/>
                      <w:sz w:val="21"/>
                      <w:szCs w:val="21"/>
                      <w:lang w:eastAsia="zh-CN"/>
                    </w:rPr>
                    <w:t>（</w:t>
                  </w:r>
                  <w:r>
                    <w:rPr>
                      <w:rFonts w:hint="default" w:ascii="Times New Roman" w:hAnsi="Times New Roman" w:cs="Times New Roman"/>
                      <w:color w:val="auto"/>
                      <w:sz w:val="21"/>
                      <w:szCs w:val="21"/>
                    </w:rPr>
                    <w:t>闽环保大气〔2017〕6号</w:t>
                  </w:r>
                  <w:r>
                    <w:rPr>
                      <w:rFonts w:hint="eastAsia" w:cs="Times New Roman"/>
                      <w:color w:val="auto"/>
                      <w:sz w:val="21"/>
                      <w:szCs w:val="21"/>
                      <w:lang w:eastAsia="zh-CN"/>
                    </w:rPr>
                    <w:t>）</w:t>
                  </w:r>
                </w:p>
              </w:tc>
              <w:tc>
                <w:tcPr>
                  <w:tcW w:w="2425" w:type="pct"/>
                  <w:tcBorders>
                    <w:tl2br w:val="nil"/>
                    <w:tr2bl w:val="nil"/>
                  </w:tcBorders>
                  <w:vAlign w:val="center"/>
                </w:tcPr>
                <w:p w14:paraId="11175FE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二、主要任务</w:t>
                  </w:r>
                </w:p>
                <w:p w14:paraId="4440574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（一）严格环境准入</w:t>
                  </w:r>
                </w:p>
                <w:p w14:paraId="3A417683">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42ADE559">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（二）大力推进清洁生产</w:t>
                  </w:r>
                </w:p>
                <w:p w14:paraId="4E6039A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在重点行业大力倡导环境标志产品生产及使用，尤其是水性涂料的生产和使用，从源头控制VOCs排放。</w:t>
                  </w:r>
                </w:p>
                <w:p w14:paraId="7A738B1C">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（三）加快推进重点行业VOCs专项整治</w:t>
                  </w:r>
                </w:p>
                <w:p w14:paraId="5229216E">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（2）加强化工企业污染综合整治</w:t>
                  </w:r>
                </w:p>
                <w:p w14:paraId="6733B068">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default"/>
                      <w:color w:val="auto"/>
                      <w:szCs w:val="21"/>
                      <w:highlight w:val="none"/>
                      <w:u w:val="none"/>
                    </w:rPr>
                    <w:t>提升有机化工（含有机化学原料、合成材料、日用化工、涂料、油墨、胶</w:t>
                  </w:r>
                  <w:r>
                    <w:rPr>
                      <w:rFonts w:hint="eastAsia"/>
                      <w:color w:val="auto"/>
                      <w:szCs w:val="21"/>
                      <w:highlight w:val="none"/>
                      <w:u w:val="none"/>
                      <w:lang w:eastAsia="zh-CN"/>
                    </w:rPr>
                    <w:t>黏</w:t>
                  </w:r>
                  <w:r>
                    <w:rPr>
                      <w:rFonts w:hint="default"/>
                      <w:color w:val="auto"/>
                      <w:szCs w:val="21"/>
                      <w:highlight w:val="none"/>
                      <w:u w:val="none"/>
                    </w:rPr>
                    <w:t>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571" w:type="pct"/>
                  <w:tcBorders>
                    <w:tl2br w:val="nil"/>
                    <w:tr2bl w:val="nil"/>
                  </w:tcBorders>
                  <w:vAlign w:val="center"/>
                </w:tcPr>
                <w:p w14:paraId="07DC1E00">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eastAsia"/>
                      <w:color w:val="auto"/>
                      <w:szCs w:val="21"/>
                      <w:highlight w:val="none"/>
                      <w:u w:val="none"/>
                      <w:lang w:val="en-US" w:eastAsia="zh-CN"/>
                    </w:rPr>
                    <w:t>1.本项目从事塑料包装膜和塑料包装袋加工生产，属于塑料薄膜制造</w:t>
                  </w:r>
                  <w:r>
                    <w:rPr>
                      <w:rFonts w:hint="eastAsia" w:ascii="Times New Roman" w:hAnsi="Times New Roman" w:eastAsia="宋体" w:cs="Times New Roman"/>
                      <w:color w:val="auto"/>
                      <w:sz w:val="21"/>
                      <w:szCs w:val="21"/>
                      <w:u w:val="none"/>
                      <w:lang w:val="en-US" w:eastAsia="zh-CN"/>
                    </w:rPr>
                    <w:t>，不属于文件中限制的</w:t>
                  </w:r>
                  <w:r>
                    <w:rPr>
                      <w:rFonts w:hint="default"/>
                      <w:color w:val="auto"/>
                      <w:szCs w:val="21"/>
                      <w:highlight w:val="none"/>
                      <w:u w:val="none"/>
                    </w:rPr>
                    <w:t>高VOCs排放建设项目</w:t>
                  </w:r>
                  <w:r>
                    <w:rPr>
                      <w:rFonts w:hint="eastAsia"/>
                      <w:color w:val="auto"/>
                      <w:szCs w:val="21"/>
                      <w:highlight w:val="none"/>
                      <w:u w:val="none"/>
                      <w:lang w:eastAsia="zh-CN"/>
                    </w:rPr>
                    <w:t>，本项目原辅材料为塑料</w:t>
                  </w:r>
                  <w:r>
                    <w:rPr>
                      <w:rFonts w:hint="eastAsia"/>
                      <w:color w:val="auto"/>
                      <w:szCs w:val="21"/>
                      <w:highlight w:val="none"/>
                      <w:u w:val="none"/>
                      <w:lang w:val="en-US" w:eastAsia="zh-CN"/>
                    </w:rPr>
                    <w:t>颗粒等</w:t>
                  </w:r>
                  <w:r>
                    <w:rPr>
                      <w:rFonts w:hint="eastAsia"/>
                      <w:color w:val="auto"/>
                      <w:szCs w:val="21"/>
                      <w:highlight w:val="none"/>
                      <w:u w:val="none"/>
                      <w:lang w:eastAsia="zh-CN"/>
                    </w:rPr>
                    <w:t>，不涉及高</w:t>
                  </w:r>
                  <w:r>
                    <w:rPr>
                      <w:rFonts w:hint="default"/>
                      <w:color w:val="auto"/>
                      <w:szCs w:val="21"/>
                      <w:highlight w:val="none"/>
                      <w:u w:val="none"/>
                    </w:rPr>
                    <w:t>VOCs含量原辅材料</w:t>
                  </w:r>
                  <w:r>
                    <w:rPr>
                      <w:rFonts w:hint="eastAsia"/>
                      <w:color w:val="auto"/>
                      <w:szCs w:val="21"/>
                      <w:highlight w:val="none"/>
                      <w:u w:val="none"/>
                      <w:lang w:eastAsia="zh-CN"/>
                    </w:rPr>
                    <w:t>且在采取有效的收集措施和治理措施后，通过排气筒达标排放。本项目不涉及</w:t>
                  </w:r>
                  <w:r>
                    <w:rPr>
                      <w:rFonts w:hint="default"/>
                      <w:color w:val="auto"/>
                      <w:szCs w:val="21"/>
                      <w:highlight w:val="none"/>
                      <w:u w:val="none"/>
                    </w:rPr>
                    <w:t>国家及地方明令禁止的落后工艺和设备。</w:t>
                  </w:r>
                </w:p>
                <w:p w14:paraId="04FDE8FA">
                  <w:pPr>
                    <w:pStyle w:val="38"/>
                    <w:widowControl/>
                    <w:numPr>
                      <w:ilvl w:val="0"/>
                      <w:numId w:val="0"/>
                    </w:numPr>
                    <w:adjustRightInd w:val="0"/>
                    <w:spacing w:line="340" w:lineRule="exact"/>
                    <w:jc w:val="both"/>
                    <w:rPr>
                      <w:rFonts w:hint="eastAsia"/>
                    </w:rPr>
                  </w:pPr>
                  <w:r>
                    <w:rPr>
                      <w:rFonts w:hint="eastAsia"/>
                      <w:lang w:val="en-US" w:eastAsia="zh-CN"/>
                    </w:rPr>
                    <w:t>2.</w:t>
                  </w:r>
                  <w:r>
                    <w:rPr>
                      <w:rFonts w:hint="eastAsia"/>
                    </w:rPr>
                    <w:t>本项目使用低VOCs含量原辅材料，</w:t>
                  </w:r>
                  <w:r>
                    <w:rPr>
                      <w:rFonts w:hint="eastAsia"/>
                      <w:bCs/>
                    </w:rPr>
                    <w:t>项目废气经集气装置收集后通过废气处理设施处理后达标排放</w:t>
                  </w:r>
                  <w:r>
                    <w:rPr>
                      <w:rFonts w:hint="eastAsia"/>
                    </w:rPr>
                    <w:t>。</w:t>
                  </w:r>
                </w:p>
                <w:p w14:paraId="515BFB1A">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eastAsia"/>
                      <w:lang w:val="en-US" w:eastAsia="zh-CN"/>
                    </w:rPr>
                    <w:t>3.</w:t>
                  </w:r>
                  <w:r>
                    <w:rPr>
                      <w:rFonts w:hint="eastAsia"/>
                    </w:rPr>
                    <w:t>本项目废气产生点设备上方设置集气罩，拟将产生的VOCs收集后通过1套</w:t>
                  </w:r>
                  <w:r>
                    <w:rPr>
                      <w:rFonts w:hint="eastAsia"/>
                      <w:color w:val="auto"/>
                    </w:rPr>
                    <w:t>“二级活性炭吸附装置”</w:t>
                  </w:r>
                  <w:r>
                    <w:rPr>
                      <w:rFonts w:hint="eastAsia"/>
                    </w:rPr>
                    <w:t>处理后排放，设计净化效率</w:t>
                  </w:r>
                  <w:r>
                    <w:rPr>
                      <w:rFonts w:hint="eastAsia"/>
                      <w:lang w:val="en-US" w:eastAsia="zh-CN"/>
                    </w:rPr>
                    <w:t>为75</w:t>
                  </w:r>
                  <w:r>
                    <w:rPr>
                      <w:rFonts w:hint="eastAsia"/>
                    </w:rPr>
                    <w:t>%。</w:t>
                  </w:r>
                </w:p>
              </w:tc>
              <w:tc>
                <w:tcPr>
                  <w:tcW w:w="250" w:type="pct"/>
                  <w:tcBorders>
                    <w:tl2br w:val="nil"/>
                    <w:tr2bl w:val="nil"/>
                  </w:tcBorders>
                  <w:vAlign w:val="center"/>
                </w:tcPr>
                <w:p w14:paraId="28F6D1E3">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690D5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restart"/>
                  <w:tcBorders>
                    <w:tl2br w:val="nil"/>
                    <w:tr2bl w:val="nil"/>
                  </w:tcBorders>
                  <w:vAlign w:val="center"/>
                </w:tcPr>
                <w:p w14:paraId="61F03263">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highlight w:val="none"/>
                      <w:lang w:val="en-US" w:eastAsia="zh-CN"/>
                    </w:rPr>
                    <w:t>《挥发性有机物无组织排放控制标准》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GB37822-2019</w:t>
                  </w:r>
                  <w:r>
                    <w:rPr>
                      <w:rFonts w:hint="eastAsia" w:cs="Times New Roman"/>
                      <w:color w:val="auto"/>
                      <w:highlight w:val="none"/>
                      <w:lang w:val="en-US" w:eastAsia="zh-CN"/>
                    </w:rPr>
                    <w:t>）</w:t>
                  </w:r>
                </w:p>
              </w:tc>
              <w:tc>
                <w:tcPr>
                  <w:tcW w:w="2425" w:type="pct"/>
                  <w:tcBorders>
                    <w:tl2br w:val="nil"/>
                    <w:tr2bl w:val="nil"/>
                  </w:tcBorders>
                  <w:vAlign w:val="center"/>
                </w:tcPr>
                <w:p w14:paraId="57E2C571">
                  <w:pPr>
                    <w:pStyle w:val="39"/>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5.1.1</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VOCs物料应储存于密闭的容器、包装袋、储罐、储库、料仓中。</w:t>
                  </w:r>
                </w:p>
                <w:p w14:paraId="2EE15EE1">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szCs w:val="21"/>
                      <w:highlight w:val="none"/>
                      <w:u w:val="none"/>
                    </w:rPr>
                  </w:pPr>
                  <w:r>
                    <w:rPr>
                      <w:rFonts w:hint="default" w:ascii="Times New Roman" w:hAnsi="Times New Roman" w:eastAsia="宋体" w:cs="Times New Roman"/>
                      <w:color w:val="auto"/>
                      <w:highlight w:val="none"/>
                      <w:lang w:val="en-US" w:eastAsia="zh-CN"/>
                    </w:rPr>
                    <w:t>5.1.2 盛装VOCs物料的容器或包装袋应存放于室内，或存放于设置有雨棚、遮阳和防渗设施的专用场地。盛装VOCs物料的容器或包装袋在非取用状态时应加盖、封口，保持密闭。</w:t>
                  </w:r>
                </w:p>
              </w:tc>
              <w:tc>
                <w:tcPr>
                  <w:tcW w:w="1571" w:type="pct"/>
                  <w:tcBorders>
                    <w:tl2br w:val="nil"/>
                    <w:tr2bl w:val="nil"/>
                  </w:tcBorders>
                  <w:vAlign w:val="center"/>
                </w:tcPr>
                <w:p w14:paraId="470CE99E">
                  <w:pPr>
                    <w:pStyle w:val="38"/>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lang w:val="en-US" w:eastAsia="zh-CN"/>
                    </w:rPr>
                  </w:pPr>
                  <w:r>
                    <w:rPr>
                      <w:rFonts w:hint="eastAsia" w:ascii="Times New Roman" w:hAnsi="Times New Roman" w:eastAsia="宋体" w:cs="Times New Roman"/>
                      <w:color w:val="auto"/>
                      <w:kern w:val="2"/>
                      <w:sz w:val="21"/>
                      <w:szCs w:val="21"/>
                      <w:highlight w:val="none"/>
                      <w:lang w:val="en-US" w:eastAsia="zh-CN" w:bidi="ar-SA"/>
                    </w:rPr>
                    <w:t>项目使用</w:t>
                  </w:r>
                  <w:r>
                    <w:rPr>
                      <w:rFonts w:hint="eastAsia" w:cs="Times New Roman"/>
                      <w:color w:val="auto"/>
                      <w:kern w:val="2"/>
                      <w:sz w:val="21"/>
                      <w:szCs w:val="21"/>
                      <w:highlight w:val="none"/>
                      <w:lang w:val="en-US" w:eastAsia="zh-CN" w:bidi="ar-SA"/>
                    </w:rPr>
                    <w:t>PE</w:t>
                  </w:r>
                  <w:r>
                    <w:rPr>
                      <w:rFonts w:hint="eastAsia" w:ascii="Times New Roman" w:hAnsi="Times New Roman" w:eastAsia="宋体" w:cs="Times New Roman"/>
                      <w:color w:val="auto"/>
                      <w:kern w:val="2"/>
                      <w:sz w:val="21"/>
                      <w:szCs w:val="21"/>
                      <w:highlight w:val="none"/>
                      <w:lang w:val="en-US" w:eastAsia="zh-CN" w:bidi="ar-SA"/>
                    </w:rPr>
                    <w:t>颗粒作为原料采用密闭包装袋暂存在仓库中，VOCs含量低；常温下不产生VOCs。</w:t>
                  </w:r>
                </w:p>
              </w:tc>
              <w:tc>
                <w:tcPr>
                  <w:tcW w:w="250" w:type="pct"/>
                  <w:tcBorders>
                    <w:tl2br w:val="nil"/>
                    <w:tr2bl w:val="nil"/>
                  </w:tcBorders>
                  <w:vAlign w:val="center"/>
                </w:tcPr>
                <w:p w14:paraId="50A2110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7FDC4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vAlign w:val="center"/>
                </w:tcPr>
                <w:p w14:paraId="32759F3A">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tcBorders>
                    <w:tl2br w:val="nil"/>
                    <w:tr2bl w:val="nil"/>
                  </w:tcBorders>
                  <w:vAlign w:val="center"/>
                </w:tcPr>
                <w:p w14:paraId="668A6B72">
                  <w:pPr>
                    <w:pStyle w:val="39"/>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6.1.1 液态VOC物料应采用密闭管道输送。采用非管道输送方式转移液态VOC物料时，应采用密闭容器、罐车。</w:t>
                  </w:r>
                </w:p>
                <w:p w14:paraId="64832597">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6.1.2 粉状、粒状VOCs物料应采用气力输送设备、管状带式输送机、螺旋输送机等密闭输送方式或者采用密闭的包装袋、容器或罐车进行物料转移。</w:t>
                  </w:r>
                </w:p>
              </w:tc>
              <w:tc>
                <w:tcPr>
                  <w:tcW w:w="1571" w:type="pct"/>
                  <w:tcBorders>
                    <w:tl2br w:val="nil"/>
                    <w:tr2bl w:val="nil"/>
                  </w:tcBorders>
                  <w:vAlign w:val="center"/>
                </w:tcPr>
                <w:p w14:paraId="5484DFAB">
                  <w:pPr>
                    <w:pStyle w:val="39"/>
                    <w:jc w:val="both"/>
                    <w:rPr>
                      <w:rFonts w:hint="eastAsia"/>
                      <w:lang w:val="en-US" w:eastAsia="zh-CN"/>
                    </w:rPr>
                  </w:pP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所使用的</w:t>
                  </w:r>
                  <w:r>
                    <w:rPr>
                      <w:rFonts w:hint="eastAsia" w:ascii="Times New Roman" w:hAnsi="Times New Roman" w:eastAsia="宋体" w:cs="Times New Roman"/>
                      <w:color w:val="auto"/>
                      <w:highlight w:val="none"/>
                      <w:lang w:val="en-US" w:eastAsia="zh-CN"/>
                    </w:rPr>
                    <w:t>液态VOC物料</w:t>
                  </w:r>
                  <w:r>
                    <w:rPr>
                      <w:rFonts w:hint="eastAsia" w:cs="Times New Roman"/>
                      <w:color w:val="auto"/>
                      <w:highlight w:val="none"/>
                      <w:lang w:val="en-US" w:eastAsia="zh-CN"/>
                    </w:rPr>
                    <w:t>均密闭容器存放与转移</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PE</w:t>
                  </w:r>
                  <w:r>
                    <w:rPr>
                      <w:rFonts w:hint="eastAsia" w:ascii="Times New Roman" w:hAnsi="Times New Roman" w:eastAsia="宋体" w:cs="Times New Roman"/>
                      <w:color w:val="auto"/>
                      <w:highlight w:val="none"/>
                      <w:lang w:val="en-US" w:eastAsia="zh-CN"/>
                    </w:rPr>
                    <w:t>塑料颗粒采用</w:t>
                  </w:r>
                  <w:r>
                    <w:rPr>
                      <w:rFonts w:hint="default" w:ascii="Times New Roman" w:hAnsi="Times New Roman" w:eastAsia="宋体" w:cs="Times New Roman"/>
                      <w:color w:val="auto"/>
                      <w:highlight w:val="none"/>
                      <w:lang w:val="en-US" w:eastAsia="zh-CN"/>
                    </w:rPr>
                    <w:t>密闭的包装袋、进行物料转移</w:t>
                  </w:r>
                </w:p>
              </w:tc>
              <w:tc>
                <w:tcPr>
                  <w:tcW w:w="250" w:type="pct"/>
                  <w:tcBorders>
                    <w:tl2br w:val="nil"/>
                    <w:tr2bl w:val="nil"/>
                  </w:tcBorders>
                  <w:vAlign w:val="center"/>
                </w:tcPr>
                <w:p w14:paraId="6DA3185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742B7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vAlign w:val="center"/>
                </w:tcPr>
                <w:p w14:paraId="29E3402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tcBorders>
                    <w:tl2br w:val="nil"/>
                    <w:tr2bl w:val="nil"/>
                  </w:tcBorders>
                  <w:shd w:val="clear" w:color="auto" w:fill="auto"/>
                  <w:vAlign w:val="center"/>
                </w:tcPr>
                <w:p w14:paraId="0ECB7DEF">
                  <w:pPr>
                    <w:pStyle w:val="39"/>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7.3.1 企业应建立台账，记录含VOCs原辅材料和含VOCs产品的名称、使用量、回收量、废弃量、去向以及VOCs含量等信息。台账保存期限不少于3年。</w:t>
                  </w:r>
                </w:p>
                <w:p w14:paraId="6F931859">
                  <w:pPr>
                    <w:pStyle w:val="39"/>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清洗及吹扫过程排气应排至VOCs废气收集处理系统。</w:t>
                  </w:r>
                </w:p>
              </w:tc>
              <w:tc>
                <w:tcPr>
                  <w:tcW w:w="1571" w:type="pct"/>
                  <w:tcBorders>
                    <w:tl2br w:val="nil"/>
                    <w:tr2bl w:val="nil"/>
                  </w:tcBorders>
                  <w:vAlign w:val="center"/>
                </w:tcPr>
                <w:p w14:paraId="41B9F6E0">
                  <w:pPr>
                    <w:pStyle w:val="39"/>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项目将严格按照要求制定</w:t>
                  </w:r>
                  <w:r>
                    <w:rPr>
                      <w:rFonts w:hint="default" w:ascii="Times New Roman" w:hAnsi="Times New Roman" w:eastAsia="宋体" w:cs="Times New Roman"/>
                      <w:color w:val="auto"/>
                      <w:highlight w:val="none"/>
                      <w:lang w:val="en-US" w:eastAsia="zh-CN"/>
                    </w:rPr>
                    <w:t>含VOCs原辅材料</w:t>
                  </w:r>
                  <w:r>
                    <w:rPr>
                      <w:rFonts w:hint="eastAsia" w:ascii="Times New Roman" w:hAnsi="Times New Roman" w:eastAsia="宋体" w:cs="Times New Roman"/>
                      <w:color w:val="auto"/>
                      <w:highlight w:val="none"/>
                      <w:lang w:val="en-US" w:eastAsia="zh-CN"/>
                    </w:rPr>
                    <w:t>购买台账，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p w14:paraId="0B9F672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ascii="Times New Roman" w:hAnsi="Times New Roman" w:eastAsia="宋体" w:cs="Times New Roman"/>
                      <w:color w:val="auto"/>
                      <w:highlight w:val="none"/>
                      <w:lang w:val="en-US" w:eastAsia="zh-CN"/>
                    </w:rPr>
                    <w:t>项目VOCs物料为</w:t>
                  </w:r>
                  <w:r>
                    <w:rPr>
                      <w:rFonts w:hint="eastAsia" w:cs="Times New Roman"/>
                      <w:color w:val="auto"/>
                      <w:highlight w:val="none"/>
                      <w:lang w:val="en-US" w:eastAsia="zh-CN"/>
                    </w:rPr>
                    <w:t>PE</w:t>
                  </w:r>
                  <w:r>
                    <w:rPr>
                      <w:rFonts w:hint="eastAsia" w:ascii="Times New Roman" w:hAnsi="Times New Roman" w:eastAsia="宋体" w:cs="Times New Roman"/>
                      <w:color w:val="auto"/>
                      <w:highlight w:val="none"/>
                      <w:lang w:val="en-US" w:eastAsia="zh-CN"/>
                    </w:rPr>
                    <w:t>塑料颗粒，在</w:t>
                  </w:r>
                  <w:r>
                    <w:rPr>
                      <w:rFonts w:hint="default" w:ascii="Times New Roman" w:hAnsi="Times New Roman" w:eastAsia="宋体" w:cs="Times New Roman"/>
                      <w:color w:val="auto"/>
                      <w:highlight w:val="none"/>
                      <w:lang w:val="en-US" w:eastAsia="zh-CN"/>
                    </w:rPr>
                    <w:t>退料过程废气</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排至VOCs废气收集处理系统</w:t>
                  </w:r>
                  <w:r>
                    <w:rPr>
                      <w:rFonts w:hint="eastAsia" w:ascii="Times New Roman" w:hAnsi="Times New Roman" w:eastAsia="宋体" w:cs="Times New Roman"/>
                      <w:color w:val="auto"/>
                      <w:highlight w:val="none"/>
                      <w:lang w:val="en-US" w:eastAsia="zh-CN"/>
                    </w:rPr>
                    <w:t>；项目不涉及</w:t>
                  </w:r>
                  <w:r>
                    <w:rPr>
                      <w:rFonts w:hint="default" w:ascii="Times New Roman" w:hAnsi="Times New Roman" w:eastAsia="宋体" w:cs="Times New Roman"/>
                      <w:color w:val="auto"/>
                      <w:highlight w:val="none"/>
                      <w:lang w:val="en-US" w:eastAsia="zh-CN"/>
                    </w:rPr>
                    <w:t>清洗及吹扫过程</w:t>
                  </w:r>
                  <w:r>
                    <w:rPr>
                      <w:rFonts w:hint="eastAsia" w:ascii="Times New Roman" w:hAnsi="Times New Roman" w:eastAsia="宋体" w:cs="Times New Roman"/>
                      <w:color w:val="auto"/>
                      <w:highlight w:val="none"/>
                      <w:lang w:val="en-US" w:eastAsia="zh-CN"/>
                    </w:rPr>
                    <w:t>。</w:t>
                  </w:r>
                </w:p>
              </w:tc>
              <w:tc>
                <w:tcPr>
                  <w:tcW w:w="250" w:type="pct"/>
                  <w:tcBorders>
                    <w:tl2br w:val="nil"/>
                    <w:tr2bl w:val="nil"/>
                  </w:tcBorders>
                  <w:vAlign w:val="center"/>
                </w:tcPr>
                <w:p w14:paraId="338B309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15293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vAlign w:val="center"/>
                </w:tcPr>
                <w:p w14:paraId="4CDB6A9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shd w:val="clear" w:color="auto" w:fill="auto"/>
                  <w:vAlign w:val="center"/>
                </w:tcPr>
                <w:p w14:paraId="15EE87F9">
                  <w:pPr>
                    <w:pStyle w:val="39"/>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生产工艺设备不能停止运行或不能及时停止运行的，应设置废气应急处理设施或采取其他替代措施。</w:t>
                  </w:r>
                </w:p>
                <w:p w14:paraId="0B3E8E82">
                  <w:pPr>
                    <w:pStyle w:val="39"/>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10.2.1 企业应考虑生产工艺、操作方式、废气性质、处理方法等因素，对VOCs废气进行分类收集。</w:t>
                  </w:r>
                </w:p>
                <w:p w14:paraId="14C8F3B5">
                  <w:pPr>
                    <w:pStyle w:val="39"/>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10.4 记录要求</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571" w:type="pct"/>
                  <w:vAlign w:val="center"/>
                </w:tcPr>
                <w:p w14:paraId="7B0F4229">
                  <w:pPr>
                    <w:pStyle w:val="39"/>
                    <w:jc w:val="both"/>
                    <w:rPr>
                      <w:rFonts w:hint="eastAsia"/>
                      <w:lang w:val="en-US" w:eastAsia="zh-CN"/>
                    </w:rPr>
                  </w:pP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废气收集处理系统</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。项目有机废气拟收集后统一通过1套</w:t>
                  </w:r>
                  <w:r>
                    <w:rPr>
                      <w:rFonts w:hint="eastAsia" w:cs="Times New Roman"/>
                      <w:color w:val="auto"/>
                      <w:highlight w:val="none"/>
                      <w:lang w:val="en-US" w:eastAsia="zh-CN"/>
                    </w:rPr>
                    <w:t>二级</w:t>
                  </w:r>
                  <w:r>
                    <w:rPr>
                      <w:rFonts w:hint="eastAsia" w:ascii="Times New Roman" w:hAnsi="Times New Roman" w:eastAsia="宋体" w:cs="Times New Roman"/>
                      <w:color w:val="auto"/>
                      <w:highlight w:val="none"/>
                      <w:lang w:val="en-US" w:eastAsia="zh-CN"/>
                    </w:rPr>
                    <w:t>活性炭吸附装置处理后排放。项目将严格按照要求制定</w:t>
                  </w:r>
                  <w:r>
                    <w:rPr>
                      <w:rFonts w:hint="default" w:ascii="Times New Roman" w:hAnsi="Times New Roman" w:eastAsia="宋体" w:cs="Times New Roman"/>
                      <w:color w:val="auto"/>
                      <w:highlight w:val="none"/>
                      <w:lang w:val="en-US" w:eastAsia="zh-CN"/>
                    </w:rPr>
                    <w:t>废气收集系统、VOCs处理设施</w:t>
                  </w:r>
                  <w:r>
                    <w:rPr>
                      <w:rFonts w:hint="eastAsia" w:ascii="Times New Roman" w:hAnsi="Times New Roman" w:eastAsia="宋体" w:cs="Times New Roman"/>
                      <w:color w:val="auto"/>
                      <w:highlight w:val="none"/>
                      <w:lang w:val="en-US" w:eastAsia="zh-CN"/>
                    </w:rPr>
                    <w:t>运行台账，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tc>
              <w:tc>
                <w:tcPr>
                  <w:tcW w:w="250" w:type="pct"/>
                  <w:vAlign w:val="center"/>
                </w:tcPr>
                <w:p w14:paraId="04DF0C1E">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bl>
          <w:p w14:paraId="6E256190">
            <w:pPr>
              <w:spacing w:line="360" w:lineRule="auto"/>
              <w:ind w:firstLine="480" w:firstLineChars="200"/>
              <w:jc w:val="left"/>
              <w:rPr>
                <w:rFonts w:hint="eastAsia"/>
                <w:vertAlign w:val="baseline"/>
                <w:lang w:eastAsia="zh-CN"/>
              </w:rPr>
            </w:pPr>
            <w:r>
              <w:rPr>
                <w:rFonts w:hint="eastAsia" w:ascii="Times New Roman" w:hAnsi="Times New Roman" w:eastAsia="宋体" w:cs="Times New Roman"/>
                <w:kern w:val="2"/>
                <w:sz w:val="24"/>
                <w:szCs w:val="24"/>
                <w:lang w:val="en-US" w:eastAsia="zh-CN" w:bidi="ar"/>
              </w:rPr>
              <w:t>根据以上分析，项目产生挥发性有机物可以得到有效</w:t>
            </w:r>
            <w:r>
              <w:rPr>
                <w:rFonts w:hint="eastAsia" w:cs="Times New Roman"/>
                <w:kern w:val="2"/>
                <w:sz w:val="24"/>
                <w:szCs w:val="24"/>
                <w:lang w:val="en-US" w:eastAsia="zh-CN" w:bidi="ar"/>
              </w:rPr>
              <w:t>地</w:t>
            </w:r>
            <w:r>
              <w:rPr>
                <w:rFonts w:hint="eastAsia" w:ascii="Times New Roman" w:hAnsi="Times New Roman" w:eastAsia="宋体" w:cs="Times New Roman"/>
                <w:kern w:val="2"/>
                <w:sz w:val="24"/>
                <w:szCs w:val="24"/>
                <w:lang w:val="en-US" w:eastAsia="zh-CN" w:bidi="ar"/>
              </w:rPr>
              <w:t>控制，采取有效治理措施后，符合挥发性有机物污染防治相关政策的要求。</w:t>
            </w:r>
          </w:p>
        </w:tc>
      </w:tr>
    </w:tbl>
    <w:p w14:paraId="20BC26DB">
      <w:pPr>
        <w:rPr>
          <w:rFonts w:hint="eastAsia"/>
          <w:lang w:eastAsia="zh-CN"/>
        </w:rPr>
      </w:pPr>
      <w:r>
        <w:rPr>
          <w:rFonts w:hint="eastAsia"/>
          <w:lang w:eastAsia="zh-CN"/>
        </w:rPr>
        <w:br w:type="page"/>
      </w:r>
    </w:p>
    <w:p w14:paraId="315B59CA">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6" w:name="_Toc30522"/>
      <w:r>
        <w:rPr>
          <w:rFonts w:hint="default" w:ascii="Times New Roman" w:hAnsi="Times New Roman" w:eastAsia="黑体" w:cs="Times New Roman"/>
          <w:snapToGrid w:val="0"/>
          <w:color w:val="auto"/>
          <w:sz w:val="30"/>
          <w:szCs w:val="30"/>
          <w:u w:val="none"/>
          <w:lang w:val="en-US" w:eastAsia="zh-CN"/>
        </w:rPr>
        <w:t>二、建设项目工程分析</w:t>
      </w:r>
      <w:bookmarkEnd w:id="16"/>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835"/>
      </w:tblGrid>
      <w:tr w14:paraId="0F81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4" w:hRule="atLeast"/>
        </w:trPr>
        <w:tc>
          <w:tcPr>
            <w:tcW w:w="244" w:type="pct"/>
            <w:vAlign w:val="center"/>
          </w:tcPr>
          <w:p w14:paraId="098DB3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建设内容</w:t>
            </w:r>
          </w:p>
        </w:tc>
        <w:tc>
          <w:tcPr>
            <w:tcW w:w="4755" w:type="pct"/>
            <w:vAlign w:val="center"/>
          </w:tcPr>
          <w:p w14:paraId="5FF44F1B">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7" w:name="_Toc19270"/>
            <w:bookmarkStart w:id="18" w:name="_Toc9428"/>
            <w:bookmarkStart w:id="19" w:name="_Toc2247"/>
            <w:bookmarkStart w:id="20" w:name="_Toc17663"/>
            <w:r>
              <w:rPr>
                <w:rFonts w:hint="default" w:ascii="Times New Roman" w:hAnsi="Times New Roman" w:eastAsia="宋体" w:cs="Times New Roman"/>
                <w:color w:val="auto"/>
                <w:sz w:val="28"/>
                <w:szCs w:val="28"/>
                <w:u w:val="none"/>
                <w:lang w:val="en-US" w:eastAsia="zh-CN"/>
              </w:rPr>
              <w:t>2.1 项目由来</w:t>
            </w:r>
            <w:bookmarkEnd w:id="17"/>
            <w:bookmarkEnd w:id="18"/>
            <w:bookmarkEnd w:id="19"/>
            <w:bookmarkEnd w:id="20"/>
          </w:p>
          <w:p w14:paraId="0DB160E8">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eastAsia" w:cs="Times New Roman"/>
                <w:color w:val="auto"/>
                <w:sz w:val="24"/>
                <w:szCs w:val="24"/>
                <w:highlight w:val="none"/>
                <w:u w:val="none"/>
                <w:lang w:val="en-US" w:eastAsia="zh-CN"/>
              </w:rPr>
              <w:t>福州塑联永拓新材料科技有限公司成立于2019年08月21日，注册地位于福建省福州市闽侯县青口镇文华村白水路15号（闽侯县华艺工艺品有限公司内）1#厂房。主要从事塑料制品销售、塑料包装箱及容器制造、包装服务、平面设计、食品用塑料包装容器工具制品生产等业务。统一社会信用代码为91350121MA335AG019</w:t>
            </w:r>
            <w:r>
              <w:rPr>
                <w:rFonts w:hint="default" w:ascii="Times New Roman" w:hAnsi="Times New Roman" w:eastAsia="宋体"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法定代表人为林秋</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营业执照</w:t>
            </w:r>
            <w:r>
              <w:rPr>
                <w:rFonts w:hint="eastAsia" w:cs="Times New Roman"/>
                <w:color w:val="auto"/>
                <w:sz w:val="24"/>
                <w:szCs w:val="24"/>
                <w:highlight w:val="none"/>
                <w:u w:val="none"/>
                <w:lang w:val="en-US" w:eastAsia="zh-CN"/>
              </w:rPr>
              <w:t>详见</w:t>
            </w:r>
            <w:r>
              <w:rPr>
                <w:rFonts w:hint="eastAsia" w:cs="Times New Roman"/>
                <w:b w:val="0"/>
                <w:bCs w:val="0"/>
                <w:color w:val="auto"/>
                <w:sz w:val="24"/>
                <w:szCs w:val="24"/>
                <w:highlight w:val="none"/>
                <w:u w:val="none"/>
                <w:lang w:val="en-US" w:eastAsia="zh-CN"/>
              </w:rPr>
              <w:t>附件二</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rPr>
              <w:t>法人身份证</w:t>
            </w:r>
            <w:r>
              <w:rPr>
                <w:rFonts w:hint="eastAsia" w:ascii="Times New Roman" w:hAnsi="Times New Roman" w:cs="Times New Roman"/>
                <w:color w:val="auto"/>
                <w:sz w:val="24"/>
                <w:szCs w:val="24"/>
                <w:highlight w:val="none"/>
                <w:u w:val="none"/>
                <w:lang w:eastAsia="zh-CN"/>
              </w:rPr>
              <w:t>复印件</w:t>
            </w:r>
            <w:r>
              <w:rPr>
                <w:rFonts w:hint="default" w:ascii="Times New Roman" w:hAnsi="Times New Roman" w:cs="Times New Roman"/>
                <w:b w:val="0"/>
                <w:bCs w:val="0"/>
                <w:color w:val="auto"/>
                <w:sz w:val="24"/>
                <w:szCs w:val="24"/>
                <w:highlight w:val="none"/>
                <w:u w:val="none"/>
              </w:rPr>
              <w:t>见附件</w:t>
            </w:r>
            <w:r>
              <w:rPr>
                <w:rFonts w:hint="eastAsia" w:cs="Times New Roman"/>
                <w:b w:val="0"/>
                <w:bCs w:val="0"/>
                <w:color w:val="auto"/>
                <w:sz w:val="24"/>
                <w:szCs w:val="24"/>
                <w:highlight w:val="none"/>
                <w:u w:val="none"/>
                <w:lang w:val="en-US" w:eastAsia="zh-CN"/>
              </w:rPr>
              <w:t>三</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w:t>
            </w:r>
            <w:r>
              <w:rPr>
                <w:rFonts w:hint="eastAsia" w:cs="Times New Roman"/>
                <w:color w:val="auto"/>
                <w:sz w:val="24"/>
                <w:szCs w:val="24"/>
                <w:highlight w:val="none"/>
                <w:u w:val="single"/>
                <w:lang w:val="en-US" w:eastAsia="zh-CN"/>
              </w:rPr>
              <w:t>建设单位于2020年7月委托深圳市百阳环保科技有限公司编制</w:t>
            </w:r>
            <w:r>
              <w:rPr>
                <w:rFonts w:hint="default" w:ascii="Times New Roman" w:hAnsi="Times New Roman" w:eastAsia="宋体" w:cs="Times New Roman"/>
                <w:color w:val="auto"/>
                <w:sz w:val="24"/>
                <w:szCs w:val="24"/>
                <w:u w:val="single"/>
                <w:lang w:val="en-US" w:eastAsia="zh-CN"/>
              </w:rPr>
              <w:t>《</w:t>
            </w:r>
            <w:r>
              <w:rPr>
                <w:rFonts w:hint="eastAsia" w:ascii="Times New Roman" w:hAnsi="Times New Roman" w:eastAsia="宋体" w:cs="Times New Roman"/>
                <w:color w:val="auto"/>
                <w:sz w:val="24"/>
                <w:szCs w:val="24"/>
                <w:u w:val="single"/>
                <w:lang w:val="en-US" w:eastAsia="zh-CN"/>
              </w:rPr>
              <w:t>包装制品生产加工项目环境影响报告表</w:t>
            </w:r>
            <w:r>
              <w:rPr>
                <w:rFonts w:hint="default" w:ascii="Times New Roman" w:hAnsi="Times New Roman" w:eastAsia="宋体" w:cs="Times New Roman"/>
                <w:color w:val="auto"/>
                <w:sz w:val="24"/>
                <w:szCs w:val="24"/>
                <w:u w:val="single"/>
                <w:lang w:val="en-US" w:eastAsia="zh-CN"/>
              </w:rPr>
              <w:t>》</w:t>
            </w:r>
            <w:r>
              <w:rPr>
                <w:rFonts w:hint="eastAsia" w:ascii="Times New Roman" w:hAnsi="Times New Roman" w:eastAsia="宋体" w:cs="Times New Roman"/>
                <w:color w:val="auto"/>
                <w:sz w:val="24"/>
                <w:szCs w:val="24"/>
                <w:u w:val="single"/>
                <w:lang w:val="en-US" w:eastAsia="zh-CN"/>
              </w:rPr>
              <w:t>，已于2020年8月21日通过福州市闽侯生态环境局审批，审批文号为侯环评</w:t>
            </w:r>
            <w:r>
              <w:rPr>
                <w:rFonts w:hint="eastAsia" w:ascii="Times New Roman" w:hAnsi="Times New Roman" w:eastAsia="宋体" w:cs="Times New Roman"/>
                <w:color w:val="auto"/>
                <w:sz w:val="24"/>
                <w:szCs w:val="24"/>
                <w:highlight w:val="none"/>
                <w:u w:val="single"/>
                <w:lang w:val="en-US" w:eastAsia="zh-CN"/>
              </w:rPr>
              <w:t>〔2020〕139号；</w:t>
            </w:r>
            <w:r>
              <w:rPr>
                <w:rFonts w:hint="eastAsia" w:ascii="Times New Roman" w:hAnsi="Times New Roman" w:eastAsia="宋体" w:cs="Times New Roman"/>
                <w:color w:val="auto"/>
                <w:sz w:val="24"/>
                <w:szCs w:val="24"/>
                <w:u w:val="single"/>
                <w:lang w:val="en-US" w:eastAsia="zh-CN"/>
              </w:rPr>
              <w:t>包装制品生产加工项目在2020年11月21日通过竣工自主验收，现由于原厂址场地面积的限制，已无法满足生产需要，注销原项目，计划另行选址，同时重新调整产品方案。待本项目建成投产以后，位于</w:t>
            </w:r>
            <w:r>
              <w:rPr>
                <w:rFonts w:hint="eastAsia" w:cs="Times New Roman"/>
                <w:color w:val="auto"/>
                <w:sz w:val="24"/>
                <w:szCs w:val="24"/>
                <w:highlight w:val="none"/>
                <w:u w:val="single"/>
                <w:lang w:val="en-US" w:eastAsia="zh-CN"/>
              </w:rPr>
              <w:t>福建省福州市闽侯县青口镇文华村白水路15号（闽侯县华艺工艺品有限公司内）1#厂房的现有项目进行注销，停止生产。</w:t>
            </w:r>
          </w:p>
          <w:p w14:paraId="52541A92">
            <w:pPr>
              <w:pStyle w:val="2"/>
              <w:spacing w:line="360" w:lineRule="auto"/>
              <w:ind w:firstLine="480" w:firstLineChars="200"/>
              <w:rPr>
                <w:rFonts w:hint="default"/>
                <w:lang w:val="en-US" w:eastAsia="zh-CN"/>
              </w:rPr>
            </w:pPr>
            <w:r>
              <w:rPr>
                <w:rFonts w:hint="eastAsia" w:cs="Times New Roman"/>
                <w:color w:val="auto"/>
                <w:sz w:val="24"/>
                <w:szCs w:val="24"/>
                <w:highlight w:val="none"/>
                <w:u w:val="none"/>
                <w:lang w:val="en-US" w:eastAsia="zh-CN"/>
              </w:rPr>
              <w:t>本</w:t>
            </w:r>
            <w:r>
              <w:rPr>
                <w:rFonts w:hint="eastAsia" w:ascii="Times New Roman" w:hAnsi="Times New Roman" w:eastAsia="宋体" w:cs="Times New Roman"/>
                <w:color w:val="auto"/>
                <w:sz w:val="24"/>
                <w:szCs w:val="24"/>
                <w:highlight w:val="none"/>
                <w:u w:val="none"/>
                <w:lang w:val="en-US" w:eastAsia="zh-CN"/>
              </w:rPr>
              <w:t>项目拟投资</w:t>
            </w:r>
            <w:r>
              <w:rPr>
                <w:rFonts w:hint="eastAsia" w:cs="Times New Roman"/>
                <w:color w:val="auto"/>
                <w:sz w:val="24"/>
                <w:szCs w:val="24"/>
                <w:highlight w:val="none"/>
                <w:u w:val="none"/>
                <w:lang w:val="en-US" w:eastAsia="zh-CN"/>
              </w:rPr>
              <w:t>120</w:t>
            </w:r>
            <w:r>
              <w:rPr>
                <w:rFonts w:hint="eastAsia" w:ascii="Times New Roman" w:hAnsi="Times New Roman" w:eastAsia="宋体" w:cs="Times New Roman"/>
                <w:color w:val="auto"/>
                <w:sz w:val="24"/>
                <w:szCs w:val="24"/>
                <w:highlight w:val="none"/>
                <w:u w:val="none"/>
                <w:lang w:val="en-US" w:eastAsia="zh-CN"/>
              </w:rPr>
              <w:t>万元，</w:t>
            </w:r>
            <w:r>
              <w:rPr>
                <w:rFonts w:hint="eastAsia" w:cs="Times New Roman"/>
                <w:color w:val="auto"/>
                <w:sz w:val="24"/>
                <w:szCs w:val="24"/>
                <w:highlight w:val="none"/>
                <w:u w:val="none"/>
                <w:lang w:val="en-US" w:eastAsia="zh-CN"/>
              </w:rPr>
              <w:t>新厂</w:t>
            </w:r>
            <w:r>
              <w:rPr>
                <w:rFonts w:hint="eastAsia" w:ascii="Times New Roman" w:hAnsi="Times New Roman" w:eastAsia="宋体" w:cs="Times New Roman"/>
                <w:color w:val="auto"/>
                <w:sz w:val="24"/>
                <w:szCs w:val="24"/>
                <w:highlight w:val="none"/>
                <w:u w:val="none"/>
                <w:lang w:val="en-US" w:eastAsia="zh-CN"/>
              </w:rPr>
              <w:t>选址位于</w:t>
            </w:r>
            <w:r>
              <w:rPr>
                <w:rFonts w:hint="eastAsia" w:cs="Times New Roman"/>
                <w:color w:val="auto"/>
                <w:sz w:val="24"/>
                <w:szCs w:val="24"/>
                <w:highlight w:val="none"/>
                <w:u w:val="none"/>
                <w:lang w:val="en-US" w:eastAsia="zh-CN"/>
              </w:rPr>
              <w:t>福清融侨经济技术开发区（租赁福建融永拓新材料有限公司位于均和云谷·福清科技港的28#、36#厂房）作为生产经营场所，厂房面积10602.44平方米，属于塑料薄膜制造，计划年加工塑料包装膜4100吨、塑料包装袋1700吨项目，购置吹PE膜机、干式复合机等相关设备，建设1条塑料包装膜</w:t>
            </w:r>
            <w:r>
              <w:rPr>
                <w:rFonts w:hint="eastAsia" w:ascii="Times New Roman" w:hAnsi="Times New Roman" w:eastAsia="宋体" w:cs="Times New Roman"/>
                <w:color w:val="auto"/>
                <w:sz w:val="24"/>
                <w:szCs w:val="24"/>
                <w:highlight w:val="none"/>
                <w:u w:val="none"/>
                <w:lang w:val="en-US" w:eastAsia="zh-CN"/>
              </w:rPr>
              <w:t>制造生产线</w:t>
            </w:r>
            <w:r>
              <w:rPr>
                <w:rFonts w:hint="eastAsia" w:cs="Times New Roman"/>
                <w:color w:val="auto"/>
                <w:sz w:val="24"/>
                <w:szCs w:val="24"/>
                <w:highlight w:val="none"/>
                <w:u w:val="none"/>
                <w:lang w:val="en-US" w:eastAsia="zh-CN"/>
              </w:rPr>
              <w:t>和1条塑料包装袋</w:t>
            </w:r>
            <w:r>
              <w:rPr>
                <w:rFonts w:hint="eastAsia" w:ascii="Times New Roman" w:hAnsi="Times New Roman" w:eastAsia="宋体" w:cs="Times New Roman"/>
                <w:color w:val="auto"/>
                <w:sz w:val="24"/>
                <w:szCs w:val="24"/>
                <w:highlight w:val="none"/>
                <w:u w:val="none"/>
                <w:lang w:val="en-US" w:eastAsia="zh-CN"/>
              </w:rPr>
              <w:t>制造生产线</w:t>
            </w:r>
            <w:r>
              <w:rPr>
                <w:rFonts w:hint="eastAsia" w:cs="Times New Roman"/>
                <w:color w:val="auto"/>
                <w:sz w:val="24"/>
                <w:szCs w:val="24"/>
                <w:highlight w:val="none"/>
                <w:u w:val="none"/>
                <w:lang w:val="en-US" w:eastAsia="zh-CN"/>
              </w:rPr>
              <w:t>。该项目于2026年3月</w:t>
            </w:r>
            <w:r>
              <w:rPr>
                <w:rFonts w:hint="eastAsia" w:cs="Times New Roman"/>
                <w:color w:val="auto"/>
                <w:sz w:val="24"/>
                <w:szCs w:val="24"/>
                <w:u w:val="none"/>
                <w:lang w:val="en-US" w:eastAsia="zh-CN"/>
              </w:rPr>
              <w:t>10</w:t>
            </w:r>
            <w:r>
              <w:rPr>
                <w:rFonts w:hint="eastAsia" w:ascii="Times New Roman" w:hAnsi="Times New Roman" w:eastAsia="宋体" w:cs="Times New Roman"/>
                <w:color w:val="auto"/>
                <w:sz w:val="24"/>
                <w:szCs w:val="24"/>
                <w:u w:val="none"/>
                <w:lang w:val="en-US" w:eastAsia="zh-CN"/>
              </w:rPr>
              <w:t>日通过了</w:t>
            </w:r>
            <w:r>
              <w:rPr>
                <w:rFonts w:hint="eastAsia" w:cs="Times New Roman"/>
                <w:color w:val="auto"/>
                <w:sz w:val="24"/>
                <w:szCs w:val="24"/>
                <w:u w:val="none"/>
                <w:lang w:val="en-US" w:eastAsia="zh-CN"/>
              </w:rPr>
              <w:t>福清市发展和改革局</w:t>
            </w:r>
            <w:r>
              <w:rPr>
                <w:rFonts w:hint="eastAsia" w:ascii="Times New Roman" w:hAnsi="Times New Roman" w:eastAsia="宋体" w:cs="Times New Roman"/>
                <w:color w:val="auto"/>
                <w:sz w:val="24"/>
                <w:szCs w:val="24"/>
                <w:u w:val="none"/>
                <w:lang w:val="en-US" w:eastAsia="zh-CN"/>
              </w:rPr>
              <w:t>的备案（</w:t>
            </w:r>
            <w:r>
              <w:rPr>
                <w:rFonts w:hint="eastAsia" w:cs="Times New Roman"/>
                <w:color w:val="auto"/>
                <w:sz w:val="24"/>
                <w:szCs w:val="24"/>
                <w:u w:val="none"/>
                <w:lang w:val="en-US" w:eastAsia="zh-CN"/>
              </w:rPr>
              <w:t>闽发改备[2026]A060061号</w:t>
            </w:r>
            <w:r>
              <w:rPr>
                <w:rFonts w:hint="eastAsia"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highlight w:val="none"/>
                <w:u w:val="none"/>
                <w:lang w:val="en-US" w:eastAsia="zh-CN"/>
              </w:rPr>
              <w:t>详见</w:t>
            </w:r>
            <w:r>
              <w:rPr>
                <w:rFonts w:hint="eastAsia" w:ascii="Times New Roman" w:hAnsi="Times New Roman" w:eastAsia="宋体" w:cs="Times New Roman"/>
                <w:b w:val="0"/>
                <w:bCs w:val="0"/>
                <w:color w:val="auto"/>
                <w:sz w:val="24"/>
                <w:szCs w:val="24"/>
                <w:highlight w:val="none"/>
                <w:u w:val="none"/>
                <w:lang w:val="en-US" w:eastAsia="zh-CN"/>
              </w:rPr>
              <w:t>附件</w:t>
            </w:r>
            <w:r>
              <w:rPr>
                <w:rFonts w:hint="eastAsia" w:cs="Times New Roman"/>
                <w:b w:val="0"/>
                <w:bCs w:val="0"/>
                <w:color w:val="auto"/>
                <w:sz w:val="24"/>
                <w:szCs w:val="24"/>
                <w:highlight w:val="none"/>
                <w:u w:val="none"/>
                <w:lang w:val="en-US" w:eastAsia="zh-CN"/>
              </w:rPr>
              <w:t>四</w:t>
            </w:r>
            <w:r>
              <w:rPr>
                <w:rFonts w:hint="eastAsia"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福建融永拓新材料有限公司未在购置的均和云谷·福清科技港的28#、36#厂房审批过项目，现该厂房为空置状态，现状图详见附图三。</w:t>
            </w:r>
          </w:p>
          <w:p w14:paraId="6A8DF5BC">
            <w:pPr>
              <w:pStyle w:val="2"/>
              <w:spacing w:line="360" w:lineRule="auto"/>
              <w:ind w:firstLine="480" w:firstLineChars="200"/>
              <w:rPr>
                <w:rFonts w:hint="default"/>
                <w:lang w:val="en-US" w:eastAsia="zh-CN"/>
              </w:rPr>
            </w:pPr>
            <w:r>
              <w:rPr>
                <w:rFonts w:hint="default" w:ascii="Times New Roman" w:hAnsi="Times New Roman" w:eastAsia="宋体" w:cs="Times New Roman"/>
                <w:color w:val="auto"/>
                <w:sz w:val="24"/>
                <w:szCs w:val="24"/>
                <w:u w:val="none"/>
                <w:lang w:val="en-US" w:eastAsia="zh-CN"/>
              </w:rPr>
              <w:t>根据《中华人民共和国环境保护法》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2015年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、《中华人民共和国环境影响评价法》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2018年修正</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、《建设项目环境保护管理条例》</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2017年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的相关规定，项目需要办理环境影响评价手续；根据《建设项目环境影响评价分类管理名录》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2021年版</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规定，</w:t>
            </w:r>
            <w:r>
              <w:rPr>
                <w:rFonts w:hint="eastAsia" w:ascii="Times New Roman" w:hAnsi="Times New Roman" w:eastAsia="宋体" w:cs="Times New Roman"/>
                <w:color w:val="auto"/>
                <w:sz w:val="24"/>
                <w:szCs w:val="24"/>
                <w:u w:val="none"/>
                <w:lang w:val="en-US" w:eastAsia="zh-CN"/>
              </w:rPr>
              <w:t>本项目属《建设项目分类管理名录（2021年本）》中“二十六、橡胶和塑料制品业 29 其他（年用非溶剂型低VOCs含量涂料10吨以下的除外）</w:t>
            </w:r>
            <w:r>
              <w:rPr>
                <w:rFonts w:hint="eastAsia" w:cs="Times New Roman"/>
                <w:color w:val="auto"/>
                <w:sz w:val="24"/>
                <w:szCs w:val="24"/>
                <w:u w:val="none"/>
                <w:lang w:val="en-US" w:eastAsia="zh-CN"/>
              </w:rPr>
              <w:t>和</w:t>
            </w:r>
            <w:r>
              <w:rPr>
                <w:rFonts w:hint="default" w:ascii="Times New Roman" w:hAnsi="Times New Roman" w:eastAsia="宋体" w:cs="Times New Roman"/>
                <w:color w:val="000000"/>
                <w:kern w:val="0"/>
                <w:sz w:val="24"/>
                <w:szCs w:val="20"/>
                <w:lang w:val="en-US" w:eastAsia="zh-CN" w:bidi="ar-SA"/>
              </w:rPr>
              <w:t>二十、印刷和记录媒介复制业23-39印刷231</w:t>
            </w:r>
            <w:r>
              <w:rPr>
                <w:rFonts w:hint="eastAsia" w:ascii="Times New Roman" w:hAnsi="Times New Roman" w:eastAsia="宋体" w:cs="Times New Roman"/>
                <w:color w:val="000000"/>
                <w:kern w:val="0"/>
                <w:sz w:val="24"/>
                <w:szCs w:val="20"/>
                <w:lang w:val="en-US" w:eastAsia="zh-CN" w:bidi="ar-SA"/>
              </w:rPr>
              <w:t xml:space="preserve"> </w:t>
            </w:r>
            <w:r>
              <w:rPr>
                <w:rFonts w:hint="default" w:ascii="Times New Roman" w:hAnsi="Times New Roman" w:eastAsia="宋体" w:cs="Times New Roman"/>
                <w:color w:val="000000"/>
                <w:kern w:val="0"/>
                <w:sz w:val="24"/>
                <w:szCs w:val="20"/>
                <w:lang w:val="en-US" w:eastAsia="zh-CN" w:bidi="ar-SA"/>
              </w:rPr>
              <w:t>其他（激光印刷除外；年用低VOCs含量油墨10吨以下的印刷除外</w:t>
            </w:r>
            <w:r>
              <w:rPr>
                <w:rFonts w:hint="eastAsia" w:ascii="Times New Roman" w:hAnsi="Times New Roman" w:eastAsia="宋体" w:cs="Times New Roman"/>
                <w:color w:val="000000"/>
                <w:kern w:val="0"/>
                <w:sz w:val="24"/>
                <w:szCs w:val="20"/>
                <w:lang w:val="en-US" w:eastAsia="zh-CN" w:bidi="ar-SA"/>
              </w:rPr>
              <w:t>）</w:t>
            </w:r>
            <w:r>
              <w:rPr>
                <w:rFonts w:hint="eastAsia"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highlight w:val="none"/>
                <w:u w:val="none"/>
              </w:rPr>
              <w:t>本项目环评类别为环境影响报告表，详见表2-1。</w:t>
            </w:r>
            <w:r>
              <w:rPr>
                <w:rFonts w:hint="default" w:ascii="Times New Roman" w:hAnsi="Times New Roman" w:eastAsia="宋体" w:cs="Times New Roman"/>
                <w:color w:val="auto"/>
                <w:sz w:val="24"/>
                <w:szCs w:val="24"/>
                <w:highlight w:val="none"/>
                <w:u w:val="none"/>
                <w:lang w:eastAsia="zh-CN"/>
              </w:rPr>
              <w:t>为此，</w:t>
            </w:r>
            <w:r>
              <w:rPr>
                <w:rFonts w:hint="eastAsia" w:ascii="Times New Roman" w:hAnsi="Times New Roman" w:eastAsia="宋体" w:cs="Times New Roman"/>
                <w:color w:val="auto"/>
                <w:sz w:val="24"/>
                <w:szCs w:val="24"/>
                <w:u w:val="none"/>
                <w:lang w:eastAsia="zh-CN"/>
              </w:rPr>
              <w:t>该公司于</w:t>
            </w:r>
            <w:r>
              <w:rPr>
                <w:rFonts w:hint="eastAsia" w:ascii="Times New Roman" w:hAnsi="Times New Roman" w:eastAsia="宋体" w:cs="Times New Roman"/>
                <w:color w:val="auto"/>
                <w:sz w:val="24"/>
                <w:szCs w:val="24"/>
                <w:u w:val="none"/>
                <w:lang w:val="en-US" w:eastAsia="zh-CN"/>
              </w:rPr>
              <w:t>2025</w:t>
            </w:r>
            <w:r>
              <w:rPr>
                <w:rFonts w:hint="eastAsia" w:ascii="Times New Roman" w:hAnsi="Times New Roman" w:eastAsia="宋体" w:cs="Times New Roman"/>
                <w:color w:val="auto"/>
                <w:sz w:val="24"/>
                <w:szCs w:val="24"/>
                <w:u w:val="none"/>
                <w:lang w:eastAsia="zh-CN"/>
              </w:rPr>
              <w:t>年</w:t>
            </w:r>
            <w:r>
              <w:rPr>
                <w:rFonts w:hint="eastAsia" w:cs="Times New Roman"/>
                <w:color w:val="auto"/>
                <w:sz w:val="24"/>
                <w:szCs w:val="24"/>
                <w:u w:val="none"/>
                <w:lang w:val="en-US" w:eastAsia="zh-CN"/>
              </w:rPr>
              <w:t>12</w:t>
            </w:r>
            <w:r>
              <w:rPr>
                <w:rFonts w:hint="eastAsia" w:ascii="Times New Roman" w:hAnsi="Times New Roman" w:eastAsia="宋体" w:cs="Times New Roman"/>
                <w:color w:val="auto"/>
                <w:sz w:val="24"/>
                <w:szCs w:val="24"/>
                <w:u w:val="none"/>
                <w:lang w:eastAsia="zh-CN"/>
              </w:rPr>
              <w:t>月委托</w:t>
            </w:r>
            <w:r>
              <w:rPr>
                <w:rFonts w:hint="eastAsia" w:cs="Times New Roman"/>
                <w:color w:val="auto"/>
                <w:sz w:val="24"/>
                <w:szCs w:val="24"/>
                <w:u w:val="none"/>
                <w:lang w:val="en-US" w:eastAsia="zh-CN"/>
              </w:rPr>
              <w:t>福州朴诚至信</w:t>
            </w:r>
            <w:r>
              <w:rPr>
                <w:rFonts w:hint="eastAsia" w:ascii="Times New Roman" w:hAnsi="Times New Roman" w:eastAsia="宋体" w:cs="Times New Roman"/>
                <w:color w:val="auto"/>
                <w:sz w:val="24"/>
                <w:szCs w:val="24"/>
                <w:highlight w:val="none"/>
                <w:u w:val="none"/>
                <w:lang w:eastAsia="zh-CN"/>
              </w:rPr>
              <w:t>环保科技</w:t>
            </w:r>
            <w:r>
              <w:rPr>
                <w:rFonts w:hint="eastAsia" w:ascii="Times New Roman" w:hAnsi="Times New Roman" w:eastAsia="宋体" w:cs="Times New Roman"/>
                <w:color w:val="auto"/>
                <w:sz w:val="24"/>
                <w:szCs w:val="24"/>
                <w:highlight w:val="none"/>
                <w:u w:val="none"/>
                <w:lang w:val="en-US" w:eastAsia="zh-CN"/>
              </w:rPr>
              <w:t>有限公司</w:t>
            </w:r>
            <w:r>
              <w:rPr>
                <w:rFonts w:hint="eastAsia" w:ascii="Times New Roman" w:hAnsi="Times New Roman" w:eastAsia="宋体" w:cs="Times New Roman"/>
                <w:color w:val="auto"/>
                <w:sz w:val="24"/>
                <w:szCs w:val="24"/>
                <w:u w:val="none"/>
                <w:lang w:eastAsia="zh-CN"/>
              </w:rPr>
              <w:t>编制《</w:t>
            </w:r>
            <w:r>
              <w:rPr>
                <w:rFonts w:hint="eastAsia" w:cs="Times New Roman"/>
                <w:color w:val="auto"/>
                <w:sz w:val="24"/>
                <w:szCs w:val="24"/>
                <w:u w:val="none"/>
                <w:lang w:eastAsia="zh-CN"/>
              </w:rPr>
              <w:t>福州塑联永拓新材料科技有限公司年加工塑料包装膜4100吨、塑料包装袋1700吨项目</w:t>
            </w:r>
            <w:r>
              <w:rPr>
                <w:rFonts w:hint="eastAsia" w:ascii="Times New Roman" w:hAnsi="Times New Roman" w:eastAsia="宋体" w:cs="Times New Roman"/>
                <w:color w:val="auto"/>
                <w:sz w:val="24"/>
                <w:szCs w:val="24"/>
                <w:u w:val="none"/>
                <w:lang w:eastAsia="zh-CN"/>
              </w:rPr>
              <w:t>环境影响报告表》</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委托书详见附件一</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。本环评单位接受委托后，立即派技术人员踏勘现场和收集有关资料，</w:t>
            </w:r>
            <w:r>
              <w:rPr>
                <w:rFonts w:hint="default" w:ascii="Times New Roman" w:hAnsi="Times New Roman" w:eastAsia="宋体" w:cs="Times New Roman"/>
                <w:color w:val="auto"/>
                <w:sz w:val="24"/>
                <w:szCs w:val="24"/>
                <w:u w:val="none"/>
              </w:rPr>
              <w:t>按照</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rPr>
              <w:t>建设项目环境影响报告表编制技术指南</w:t>
            </w:r>
            <w:r>
              <w:rPr>
                <w:rFonts w:hint="eastAsia" w:cs="Times New Roman"/>
                <w:color w:val="auto"/>
                <w:sz w:val="24"/>
                <w:szCs w:val="24"/>
                <w:u w:val="none"/>
                <w:lang w:eastAsia="zh-CN"/>
              </w:rPr>
              <w:t>（</w:t>
            </w:r>
            <w:r>
              <w:rPr>
                <w:rFonts w:hint="eastAsia" w:ascii="Times New Roman" w:hAnsi="Times New Roman" w:eastAsia="宋体" w:cs="Times New Roman"/>
                <w:color w:val="auto"/>
                <w:sz w:val="24"/>
                <w:szCs w:val="24"/>
                <w:u w:val="none"/>
              </w:rPr>
              <w:t>污染影响类</w:t>
            </w:r>
            <w:r>
              <w:rPr>
                <w:rFonts w:hint="eastAsia" w:cs="Times New Roman"/>
                <w:color w:val="auto"/>
                <w:sz w:val="24"/>
                <w:szCs w:val="24"/>
                <w:u w:val="none"/>
                <w:lang w:eastAsia="zh-CN"/>
              </w:rPr>
              <w:t>）（试行）》</w:t>
            </w:r>
            <w:r>
              <w:rPr>
                <w:rFonts w:hint="default" w:ascii="Times New Roman" w:hAnsi="Times New Roman" w:eastAsia="宋体" w:cs="Times New Roman"/>
                <w:color w:val="auto"/>
                <w:sz w:val="24"/>
                <w:szCs w:val="24"/>
                <w:u w:val="none"/>
              </w:rPr>
              <w:t>及相关技术规范要求，</w:t>
            </w:r>
            <w:r>
              <w:rPr>
                <w:rFonts w:hint="default" w:ascii="Times New Roman" w:hAnsi="Times New Roman" w:eastAsia="宋体" w:cs="Times New Roman"/>
                <w:color w:val="auto"/>
                <w:kern w:val="0"/>
                <w:sz w:val="24"/>
                <w:szCs w:val="24"/>
                <w:highlight w:val="none"/>
                <w:u w:val="none"/>
              </w:rPr>
              <w:t>编制了本环境影响报告表，供建设单位上报</w:t>
            </w:r>
            <w:r>
              <w:rPr>
                <w:rFonts w:hint="default" w:ascii="Times New Roman" w:hAnsi="Times New Roman" w:eastAsia="宋体" w:cs="Times New Roman"/>
                <w:color w:val="auto"/>
                <w:kern w:val="0"/>
                <w:sz w:val="24"/>
                <w:szCs w:val="24"/>
                <w:highlight w:val="none"/>
                <w:u w:val="none"/>
                <w:lang w:eastAsia="zh-CN"/>
              </w:rPr>
              <w:t>生态环境行政主管部门</w:t>
            </w:r>
            <w:r>
              <w:rPr>
                <w:rFonts w:hint="default" w:ascii="Times New Roman" w:hAnsi="Times New Roman" w:eastAsia="宋体" w:cs="Times New Roman"/>
                <w:color w:val="auto"/>
                <w:kern w:val="0"/>
                <w:sz w:val="24"/>
                <w:szCs w:val="24"/>
                <w:highlight w:val="none"/>
                <w:u w:val="none"/>
              </w:rPr>
              <w:t>审批。</w:t>
            </w:r>
          </w:p>
          <w:p w14:paraId="4E45BC49">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Times New Roman"/>
                <w:b/>
                <w:bCs/>
                <w:color w:val="auto"/>
                <w:sz w:val="24"/>
                <w:highlight w:val="none"/>
                <w:u w:val="none"/>
                <w:lang w:val="en-US" w:eastAsia="zh-CN"/>
              </w:rPr>
            </w:pPr>
            <w:r>
              <w:rPr>
                <w:rFonts w:hint="default" w:ascii="Times New Roman" w:hAnsi="Times New Roman" w:eastAsia="宋体" w:cs="Times New Roman"/>
                <w:b/>
                <w:bCs/>
                <w:color w:val="auto"/>
                <w:sz w:val="24"/>
                <w:highlight w:val="none"/>
                <w:u w:val="none"/>
                <w:lang w:val="en-US" w:eastAsia="zh-CN"/>
              </w:rPr>
              <w:t>表2.1-1 建设项目环境影响评价分类管理名录（摘录）</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649"/>
              <w:gridCol w:w="2593"/>
              <w:gridCol w:w="1161"/>
            </w:tblGrid>
            <w:tr w14:paraId="1F040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284" w:type="pct"/>
                  <w:tcBorders>
                    <w:tl2br w:val="nil"/>
                    <w:tr2bl w:val="nil"/>
                  </w:tcBorders>
                  <w:shd w:val="clear" w:color="auto" w:fill="auto"/>
                  <w:noWrap w:val="0"/>
                  <w:vAlign w:val="top"/>
                  <mc:AlternateContent>
                    <mc:Choice Requires="wpsCustomData">
                      <wpsCustomData:diagonals>
                        <wpsCustomData:diagonal from="10000" to="30000">
                          <wpsCustomData:border w:val="single" w:color="auto" w:sz="12" w:space="0"/>
                        </wpsCustomData:diagonal>
                      </wpsCustomData:diagonals>
                    </mc:Choice>
                  </mc:AlternateContent>
                </w:tcPr>
                <w:p w14:paraId="24447356">
                  <w:pPr>
                    <w:snapToGrid w:val="0"/>
                    <w:spacing w:line="240" w:lineRule="auto"/>
                    <w:ind w:firstLine="840" w:firstLineChars="400"/>
                    <w:jc w:val="both"/>
                    <mc:AlternateContent>
                      <mc:Choice Requires="wpsCustomData">
                        <wpsCustomData:diagonalParaType/>
                      </mc:Choice>
                    </mc:AlternateContent>
                    <w:rPr>
                      <w:rFonts w:hint="default" w:ascii="Times New Roman" w:hAnsi="Times New Roman" w:eastAsia="宋体" w:cs="Times New Roman"/>
                      <w:color w:val="000000"/>
                      <w:vertAlign w:val="baseline"/>
                      <w:lang w:val="en-US" w:eastAsia="zh-CN"/>
                    </w:rPr>
                  </w:pPr>
                  <w:bookmarkStart w:id="21" w:name="_Toc21852"/>
                  <w:r>
                    <w:rPr>
                      <w:rFonts w:hint="default" w:ascii="Times New Roman" w:hAnsi="Times New Roman" w:eastAsia="宋体" w:cs="Times New Roman"/>
                      <w:color w:val="000000"/>
                      <w:vertAlign w:val="baseline"/>
                      <w:lang w:val="en-US" w:eastAsia="zh-CN"/>
                    </w:rPr>
                    <w:t xml:space="preserve">         项目类别</w:t>
                  </w:r>
                </w:p>
                <w:p w14:paraId="4BC303F1">
                  <w:pPr>
                    <w:jc w:val="right"/>
                    <w:rPr>
                      <w:rFonts w:hint="default" w:ascii="Times New Roman" w:hAnsi="Times New Roman" w:eastAsia="宋体" w:cs="Times New Roman"/>
                      <w:color w:val="000000"/>
                      <w:vertAlign w:val="baseline"/>
                      <w:lang w:val="en-US" w:eastAsia="zh-CN"/>
                    </w:rPr>
                  </w:pPr>
                  <w:r>
                    <w:rPr>
                      <w:rFonts w:hint="default" w:ascii="Times New Roman" w:hAnsi="Times New Roman" w:eastAsia="宋体" w:cs="Times New Roman"/>
                      <w:color w:val="000000"/>
                      <w:vertAlign w:val="baseline"/>
                      <w:lang w:val="en-US" w:eastAsia="zh-CN"/>
                    </w:rPr>
                    <w:t>环评类别</w:t>
                  </w:r>
                </w:p>
              </w:tc>
              <w:tc>
                <w:tcPr>
                  <w:tcW w:w="1537" w:type="pct"/>
                  <w:tcBorders>
                    <w:tl2br w:val="nil"/>
                    <w:tr2bl w:val="nil"/>
                  </w:tcBorders>
                  <w:shd w:val="clear" w:color="auto" w:fill="auto"/>
                  <w:noWrap w:val="0"/>
                  <w:vAlign w:val="center"/>
                </w:tcPr>
                <w:p w14:paraId="31D51D20">
                  <w:pPr>
                    <w:jc w:val="center"/>
                    <w:rPr>
                      <w:rFonts w:hint="default" w:ascii="Times New Roman" w:hAnsi="Times New Roman" w:eastAsia="宋体" w:cs="Times New Roman"/>
                      <w:color w:val="000000"/>
                      <w:vertAlign w:val="baseline"/>
                      <w:lang w:eastAsia="zh-CN"/>
                    </w:rPr>
                  </w:pPr>
                  <w:r>
                    <w:rPr>
                      <w:rFonts w:hint="default" w:ascii="Times New Roman" w:hAnsi="Times New Roman" w:eastAsia="宋体" w:cs="Times New Roman"/>
                      <w:color w:val="000000"/>
                      <w:vertAlign w:val="baseline"/>
                      <w:lang w:eastAsia="zh-CN"/>
                    </w:rPr>
                    <w:t>报告书</w:t>
                  </w:r>
                </w:p>
              </w:tc>
              <w:tc>
                <w:tcPr>
                  <w:tcW w:w="1505" w:type="pct"/>
                  <w:tcBorders>
                    <w:tl2br w:val="nil"/>
                    <w:tr2bl w:val="nil"/>
                  </w:tcBorders>
                  <w:shd w:val="clear" w:color="auto" w:fill="D7D7D7" w:themeFill="background1" w:themeFillShade="D8"/>
                  <w:noWrap w:val="0"/>
                  <w:vAlign w:val="center"/>
                </w:tcPr>
                <w:p w14:paraId="107EF625">
                  <w:pPr>
                    <w:jc w:val="center"/>
                    <w:rPr>
                      <w:rFonts w:hint="default" w:ascii="Times New Roman" w:hAnsi="Times New Roman" w:eastAsia="宋体" w:cs="Times New Roman"/>
                      <w:color w:val="000000"/>
                      <w:highlight w:val="none"/>
                      <w:vertAlign w:val="baseline"/>
                      <w:lang w:eastAsia="zh-CN"/>
                    </w:rPr>
                  </w:pPr>
                  <w:r>
                    <w:rPr>
                      <w:rFonts w:hint="default" w:ascii="Times New Roman" w:hAnsi="Times New Roman" w:eastAsia="宋体" w:cs="Times New Roman"/>
                      <w:color w:val="000000"/>
                      <w:highlight w:val="none"/>
                      <w:vertAlign w:val="baseline"/>
                      <w:lang w:eastAsia="zh-CN"/>
                    </w:rPr>
                    <w:t>报告表</w:t>
                  </w:r>
                </w:p>
              </w:tc>
              <w:tc>
                <w:tcPr>
                  <w:tcW w:w="672" w:type="pct"/>
                  <w:tcBorders>
                    <w:tl2br w:val="nil"/>
                    <w:tr2bl w:val="nil"/>
                  </w:tcBorders>
                  <w:noWrap w:val="0"/>
                  <w:vAlign w:val="center"/>
                </w:tcPr>
                <w:p w14:paraId="6009D864">
                  <w:pPr>
                    <w:jc w:val="center"/>
                    <w:rPr>
                      <w:rFonts w:hint="default" w:ascii="Times New Roman" w:hAnsi="Times New Roman" w:eastAsia="宋体" w:cs="Times New Roman"/>
                      <w:color w:val="000000"/>
                      <w:vertAlign w:val="baseline"/>
                      <w:lang w:eastAsia="zh-CN"/>
                    </w:rPr>
                  </w:pPr>
                  <w:r>
                    <w:rPr>
                      <w:rFonts w:hint="default" w:ascii="Times New Roman" w:hAnsi="Times New Roman" w:eastAsia="宋体" w:cs="Times New Roman"/>
                      <w:color w:val="000000"/>
                      <w:vertAlign w:val="baseline"/>
                      <w:lang w:eastAsia="zh-CN"/>
                    </w:rPr>
                    <w:t>登记表</w:t>
                  </w:r>
                </w:p>
              </w:tc>
            </w:tr>
            <w:tr w14:paraId="1C7D1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shd w:val="clear" w:color="auto" w:fill="D7D7D7" w:themeFill="background1" w:themeFillShade="D8"/>
                  <w:noWrap w:val="0"/>
                  <w:vAlign w:val="center"/>
                </w:tcPr>
                <w:p w14:paraId="5DB2B10F">
                  <w:pPr>
                    <w:keepNext w:val="0"/>
                    <w:keepLines w:val="0"/>
                    <w:widowControl/>
                    <w:suppressLineNumbers w:val="0"/>
                    <w:jc w:val="left"/>
                    <w:rPr>
                      <w:rFonts w:hint="default" w:ascii="Times New Roman" w:hAnsi="Times New Roman" w:eastAsia="宋体" w:cs="Times New Roman"/>
                      <w:color w:val="000000"/>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 xml:space="preserve">二十六、橡胶和塑料制品业 </w:t>
                  </w:r>
                  <w:r>
                    <w:rPr>
                      <w:rFonts w:hint="eastAsia" w:ascii="Times New Roman" w:hAnsi="Times New Roman" w:eastAsia="宋体" w:cs="Times New Roman"/>
                      <w:color w:val="000000"/>
                      <w:sz w:val="21"/>
                      <w:szCs w:val="21"/>
                      <w:highlight w:val="none"/>
                      <w:lang w:val="en-US" w:eastAsia="zh-CN"/>
                    </w:rPr>
                    <w:t>29</w:t>
                  </w:r>
                </w:p>
              </w:tc>
            </w:tr>
            <w:tr w14:paraId="4B9D1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shd w:val="clear" w:color="auto" w:fill="auto"/>
                  <w:noWrap w:val="0"/>
                  <w:vAlign w:val="center"/>
                </w:tcPr>
                <w:p w14:paraId="74A5B3BF">
                  <w:pPr>
                    <w:keepNext w:val="0"/>
                    <w:keepLines w:val="0"/>
                    <w:widowControl/>
                    <w:suppressLineNumbers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塑料制品业 292</w:t>
                  </w:r>
                </w:p>
              </w:tc>
              <w:tc>
                <w:tcPr>
                  <w:tcW w:w="1537" w:type="pct"/>
                  <w:tcBorders>
                    <w:tl2br w:val="nil"/>
                    <w:tr2bl w:val="nil"/>
                  </w:tcBorders>
                  <w:shd w:val="clear" w:color="auto" w:fill="auto"/>
                  <w:noWrap w:val="0"/>
                  <w:vAlign w:val="center"/>
                </w:tcPr>
                <w:p w14:paraId="1D78EC0B">
                  <w:pPr>
                    <w:keepNext w:val="0"/>
                    <w:keepLines w:val="0"/>
                    <w:widowControl/>
                    <w:suppressLineNumbers w:val="0"/>
                    <w:jc w:val="left"/>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以再生塑料为原料生产的；有电镀工艺的；年用溶剂型胶</w:t>
                  </w:r>
                  <w:r>
                    <w:rPr>
                      <w:rFonts w:hint="eastAsia" w:cs="Times New Roman"/>
                      <w:color w:val="000000"/>
                      <w:sz w:val="21"/>
                      <w:szCs w:val="21"/>
                      <w:highlight w:val="none"/>
                      <w:lang w:val="en-US" w:eastAsia="zh-CN"/>
                    </w:rPr>
                    <w:t>黏</w:t>
                  </w:r>
                  <w:r>
                    <w:rPr>
                      <w:rFonts w:hint="eastAsia" w:ascii="Times New Roman" w:hAnsi="Times New Roman" w:eastAsia="宋体" w:cs="Times New Roman"/>
                      <w:color w:val="000000"/>
                      <w:sz w:val="21"/>
                      <w:szCs w:val="21"/>
                      <w:highlight w:val="none"/>
                      <w:lang w:val="en-US" w:eastAsia="zh-CN"/>
                    </w:rPr>
                    <w:t>剂10吨及以上的；年用溶剂型涂（含稀释剂）10吨及以上的</w:t>
                  </w:r>
                </w:p>
              </w:tc>
              <w:tc>
                <w:tcPr>
                  <w:tcW w:w="1505" w:type="pct"/>
                  <w:tcBorders>
                    <w:tl2br w:val="nil"/>
                    <w:tr2bl w:val="nil"/>
                  </w:tcBorders>
                  <w:shd w:val="clear" w:color="auto" w:fill="D7D7D7" w:themeFill="background1" w:themeFillShade="D8"/>
                  <w:noWrap w:val="0"/>
                  <w:vAlign w:val="center"/>
                </w:tcPr>
                <w:p w14:paraId="446A510B">
                  <w:pPr>
                    <w:keepNext w:val="0"/>
                    <w:keepLines w:val="0"/>
                    <w:widowControl/>
                    <w:suppressLineNumbers w:val="0"/>
                    <w:jc w:val="left"/>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其他（年用非溶剂型低VOCs含量涂料10吨以下的除外）</w:t>
                  </w:r>
                </w:p>
              </w:tc>
              <w:tc>
                <w:tcPr>
                  <w:tcW w:w="672" w:type="pct"/>
                  <w:tcBorders>
                    <w:tl2br w:val="nil"/>
                    <w:tr2bl w:val="nil"/>
                  </w:tcBorders>
                  <w:noWrap w:val="0"/>
                  <w:vAlign w:val="center"/>
                </w:tcPr>
                <w:p w14:paraId="45D9B86C">
                  <w:pPr>
                    <w:jc w:val="center"/>
                    <w:rPr>
                      <w:rFonts w:hint="default" w:ascii="Times New Roman" w:hAnsi="Times New Roman" w:eastAsia="宋体" w:cs="Times New Roman"/>
                      <w:color w:val="000000"/>
                      <w:vertAlign w:val="baseline"/>
                      <w:lang w:val="en-US" w:eastAsia="zh-CN"/>
                    </w:rPr>
                  </w:pPr>
                  <w:r>
                    <w:rPr>
                      <w:rFonts w:hint="eastAsia" w:ascii="Times New Roman" w:hAnsi="Times New Roman" w:eastAsia="宋体" w:cs="Times New Roman"/>
                      <w:color w:val="000000"/>
                      <w:vertAlign w:val="baseline"/>
                      <w:lang w:val="en-US" w:eastAsia="zh-CN"/>
                    </w:rPr>
                    <w:t>/</w:t>
                  </w:r>
                </w:p>
              </w:tc>
            </w:tr>
            <w:tr w14:paraId="08647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shd w:val="clear" w:color="auto" w:fill="D7D7D7" w:themeFill="background1" w:themeFillShade="D8"/>
                  <w:noWrap w:val="0"/>
                  <w:vAlign w:val="center"/>
                </w:tcPr>
                <w:p w14:paraId="00A72086">
                  <w:pPr>
                    <w:keepNext w:val="0"/>
                    <w:keepLines w:val="0"/>
                    <w:widowControl/>
                    <w:suppressLineNumbers w:val="0"/>
                    <w:jc w:val="left"/>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二十、印刷和记录媒介复制业23</w:t>
                  </w:r>
                </w:p>
              </w:tc>
            </w:tr>
            <w:tr w14:paraId="22512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4" w:type="pct"/>
                  <w:tcBorders>
                    <w:tl2br w:val="nil"/>
                    <w:tr2bl w:val="nil"/>
                  </w:tcBorders>
                  <w:shd w:val="clear" w:color="auto" w:fill="auto"/>
                  <w:noWrap w:val="0"/>
                  <w:vAlign w:val="center"/>
                </w:tcPr>
                <w:p w14:paraId="53606AF8">
                  <w:pPr>
                    <w:keepNext w:val="0"/>
                    <w:keepLines w:val="0"/>
                    <w:widowControl/>
                    <w:suppressLineNumbers w:val="0"/>
                    <w:jc w:val="left"/>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39.</w:t>
                  </w:r>
                  <w:r>
                    <w:rPr>
                      <w:rFonts w:hint="default" w:ascii="Times New Roman" w:hAnsi="Times New Roman" w:eastAsia="宋体" w:cs="Times New Roman"/>
                      <w:color w:val="000000"/>
                      <w:sz w:val="21"/>
                      <w:szCs w:val="21"/>
                      <w:highlight w:val="none"/>
                      <w:lang w:val="en-US" w:eastAsia="zh-CN"/>
                    </w:rPr>
                    <w:t>印刷231</w:t>
                  </w:r>
                </w:p>
              </w:tc>
              <w:tc>
                <w:tcPr>
                  <w:tcW w:w="1537" w:type="pct"/>
                  <w:tcBorders>
                    <w:tl2br w:val="nil"/>
                    <w:tr2bl w:val="nil"/>
                  </w:tcBorders>
                  <w:shd w:val="clear" w:color="auto" w:fill="auto"/>
                  <w:noWrap w:val="0"/>
                  <w:vAlign w:val="center"/>
                </w:tcPr>
                <w:p w14:paraId="000E82D7">
                  <w:pPr>
                    <w:keepNext w:val="0"/>
                    <w:keepLines w:val="0"/>
                    <w:widowControl/>
                    <w:suppressLineNumbers w:val="0"/>
                    <w:jc w:val="left"/>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年用溶剂油墨10吨及以上的</w:t>
                  </w:r>
                </w:p>
              </w:tc>
              <w:tc>
                <w:tcPr>
                  <w:tcW w:w="1505" w:type="pct"/>
                  <w:tcBorders>
                    <w:tl2br w:val="nil"/>
                    <w:tr2bl w:val="nil"/>
                  </w:tcBorders>
                  <w:shd w:val="clear" w:color="auto" w:fill="D7D7D7" w:themeFill="background1" w:themeFillShade="D8"/>
                  <w:noWrap w:val="0"/>
                  <w:vAlign w:val="center"/>
                </w:tcPr>
                <w:p w14:paraId="0FFE6A72">
                  <w:pPr>
                    <w:keepNext w:val="0"/>
                    <w:keepLines w:val="0"/>
                    <w:widowControl/>
                    <w:suppressLineNumbers w:val="0"/>
                    <w:jc w:val="left"/>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其他（激光印刷除外；年用低VOCs含量油墨10吨以下的印刷除外）</w:t>
                  </w:r>
                </w:p>
              </w:tc>
              <w:tc>
                <w:tcPr>
                  <w:tcW w:w="672" w:type="pct"/>
                  <w:tcBorders>
                    <w:tl2br w:val="nil"/>
                    <w:tr2bl w:val="nil"/>
                  </w:tcBorders>
                  <w:shd w:val="clear" w:color="auto" w:fill="auto"/>
                  <w:noWrap w:val="0"/>
                  <w:vAlign w:val="center"/>
                </w:tcPr>
                <w:p w14:paraId="1E6769AA">
                  <w:pPr>
                    <w:keepNext w:val="0"/>
                    <w:keepLines w:val="0"/>
                    <w:widowControl/>
                    <w:suppressLineNumbers w:val="0"/>
                    <w:jc w:val="left"/>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r>
          </w:tbl>
          <w:p w14:paraId="07A376F0">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r>
              <w:rPr>
                <w:rFonts w:hint="eastAsia" w:ascii="Times New Roman" w:hAnsi="Times New Roman" w:eastAsia="宋体" w:cs="Times New Roman"/>
                <w:color w:val="auto"/>
                <w:sz w:val="28"/>
                <w:szCs w:val="28"/>
                <w:u w:val="none"/>
                <w:lang w:val="en-US" w:eastAsia="zh-CN"/>
              </w:rPr>
              <w:t>2.2工程概况</w:t>
            </w:r>
            <w:bookmarkEnd w:id="21"/>
          </w:p>
          <w:p w14:paraId="58874B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2" w:name="_Toc25243"/>
            <w:r>
              <w:rPr>
                <w:rFonts w:hint="default" w:ascii="Times New Roman" w:hAnsi="Times New Roman" w:eastAsia="宋体" w:cs="Times New Roman"/>
                <w:b/>
                <w:bCs/>
                <w:color w:val="auto"/>
                <w:sz w:val="24"/>
                <w:szCs w:val="24"/>
                <w:u w:val="none"/>
                <w:lang w:val="en-US" w:eastAsia="zh-CN"/>
              </w:rPr>
              <w:t>2.2.1 依托企业基本情况</w:t>
            </w:r>
            <w:bookmarkEnd w:id="22"/>
          </w:p>
          <w:p w14:paraId="2973D3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建设单位租赁的是福建融永拓新材料有限公司所购买的厂房，该厂房为均和产业发展（福清）有限公司投资建设的均和云谷·福清科技港28#、36#厂房1-4层（厂房</w:t>
            </w:r>
            <w:r>
              <w:rPr>
                <w:rFonts w:hint="eastAsia" w:cs="Times New Roman"/>
                <w:color w:val="000000" w:themeColor="text1"/>
                <w:kern w:val="2"/>
                <w:sz w:val="24"/>
                <w:szCs w:val="24"/>
                <w:highlight w:val="none"/>
                <w:lang w:val="en-US" w:eastAsia="zh-CN" w:bidi="ar-SA"/>
                <w14:textFill>
                  <w14:solidFill>
                    <w14:schemeClr w14:val="tx1"/>
                  </w14:solidFill>
                </w14:textFill>
              </w:rPr>
              <w:t>租赁</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合同详见附件五，不动产登记信息查询结果详见附件十四）。本次评价利用第一层、第</w:t>
            </w:r>
            <w:r>
              <w:rPr>
                <w:rFonts w:hint="eastAsia" w:cs="Times New Roman"/>
                <w:color w:val="000000" w:themeColor="text1"/>
                <w:kern w:val="2"/>
                <w:sz w:val="24"/>
                <w:szCs w:val="24"/>
                <w:highlight w:val="none"/>
                <w:lang w:val="en-US" w:eastAsia="zh-CN" w:bidi="ar-SA"/>
                <w14:textFill>
                  <w14:solidFill>
                    <w14:schemeClr w14:val="tx1"/>
                  </w14:solidFill>
                </w14:textFill>
              </w:rPr>
              <w:t>二</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层作为本项目生产经营场所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，无需分割。</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因此本评价在此简单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介绍均和云谷·福清科技港项目的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基本情况。</w:t>
            </w:r>
          </w:p>
          <w:p w14:paraId="43E1B15E">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val="0"/>
                <w:caps w:val="0"/>
                <w:color w:val="000000" w:themeColor="text1"/>
                <w:spacing w:val="0"/>
                <w:sz w:val="24"/>
                <w:szCs w:val="24"/>
                <w:highlight w:val="none"/>
                <w:shd w:val="clear" w:color="auto" w:fill="FFFFFF"/>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均和云谷·福清科技港项目位于福清融侨经济技术开发区（福州市福清市阳下街道上亭村398号），项目总占地面积95657m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，总建筑面积约153451.80m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四期建设，主要建设41栋标准厂房、1栋综合楼及相应的配套设施；根据规划，均和云谷·福清科技港建设后拟将厂房外售或者外租给相应的企业进行生产，自身不进行生产；因此，该项目未办理相关环保审批手续，由入驻企业根据实际情况，单独办理环保相关审批手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。根据福清融侨经济技术开发区管理委员会出具的“关于协助福州塑联永拓新材料有限公司先行办理环评手续的函”相关内容可知，同意企业办理环评手续</w:t>
            </w:r>
            <w:r>
              <w:rPr>
                <w:rFonts w:hint="eastAsia" w:cs="Times New Roman"/>
                <w:color w:val="000000" w:themeColor="text1"/>
                <w:sz w:val="24"/>
                <w:highlight w:val="none"/>
                <w:lang w:val="en-US" w:eastAsia="zh-CN"/>
                <w14:textFill>
                  <w14:solidFill>
                    <w14:schemeClr w14:val="tx1"/>
                  </w14:solidFill>
                </w14:textFill>
              </w:rPr>
              <w:t>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详见</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附件</w:t>
            </w:r>
            <w:r>
              <w:rPr>
                <w:rFonts w:hint="eastAsia" w:cs="Times New Roman"/>
                <w:b w:val="0"/>
                <w:bCs w:val="0"/>
                <w:color w:val="000000" w:themeColor="text1"/>
                <w:sz w:val="24"/>
                <w:highlight w:val="none"/>
                <w:lang w:val="en-US" w:eastAsia="zh-CN"/>
                <w14:textFill>
                  <w14:solidFill>
                    <w14:schemeClr w14:val="tx1"/>
                  </w14:solidFill>
                </w14:textFill>
              </w:rPr>
              <w:t>六</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53D658D8">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根据现场勘查</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均和云谷·福清科技港内未配套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生产废水处理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设施、废气环保设施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固废暂存间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等可</w:t>
            </w:r>
            <w:r>
              <w:rPr>
                <w:rFonts w:hint="eastAsia" w:cs="Times New Roman"/>
                <w:color w:val="000000" w:themeColor="text1"/>
                <w:sz w:val="24"/>
                <w:szCs w:val="24"/>
                <w:highlight w:val="none"/>
                <w:lang w:eastAsia="zh-CN"/>
                <w14:textFill>
                  <w14:solidFill>
                    <w14:schemeClr w14:val="tx1"/>
                  </w14:solidFill>
                </w14:textFill>
              </w:rPr>
              <w:t>提供</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本项目依托的相关环保设施。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本项目废气环保设施、固废暂存间等均由本单位自行建设；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本项目可依托的设施主要为厂区内的现有给水管网、排水管网、供电管网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给水消防</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及化粪池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等公用工程设施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目前均和云谷·福清科技港项目污水管网已经接入市政污水管网，将生活污水统一送往</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集中处理</w:t>
            </w:r>
            <w:r>
              <w:rPr>
                <w:rFonts w:hint="eastAsia" w:cs="Times New Roman"/>
                <w:color w:val="000000" w:themeColor="text1"/>
                <w:sz w:val="24"/>
                <w:szCs w:val="24"/>
                <w:highlight w:val="none"/>
                <w:lang w:val="en-US" w:eastAsia="zh-CN"/>
                <w14:textFill>
                  <w14:solidFill>
                    <w14:schemeClr w14:val="tx1"/>
                  </w14:solidFill>
                </w14:textFill>
              </w:rPr>
              <w:t>（接管证明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附件</w:t>
            </w:r>
            <w:r>
              <w:rPr>
                <w:rFonts w:hint="eastAsia" w:cs="Times New Roman"/>
                <w:b w:val="0"/>
                <w:bCs w:val="0"/>
                <w:color w:val="000000" w:themeColor="text1"/>
                <w:sz w:val="24"/>
                <w:szCs w:val="24"/>
                <w:highlight w:val="none"/>
                <w:lang w:val="en-US" w:eastAsia="zh-CN"/>
                <w14:textFill>
                  <w14:solidFill>
                    <w14:schemeClr w14:val="tx1"/>
                  </w14:solidFill>
                </w14:textFill>
              </w:rPr>
              <w:t>八</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3A31E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3" w:name="_Toc15813"/>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2</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项目基本情况</w:t>
            </w:r>
            <w:bookmarkEnd w:id="23"/>
          </w:p>
          <w:p w14:paraId="20637C64">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（1）项目名称：</w:t>
            </w:r>
            <w:r>
              <w:rPr>
                <w:rFonts w:hint="eastAsia" w:cs="Times New Roman"/>
                <w:color w:val="auto"/>
                <w:sz w:val="24"/>
                <w:szCs w:val="24"/>
                <w:u w:val="none"/>
                <w:lang w:eastAsia="zh-CN"/>
              </w:rPr>
              <w:t>福州塑联永拓新材料科技有限公司年加工塑料包装膜4100吨、塑料包装袋1700吨项目；</w:t>
            </w:r>
          </w:p>
          <w:p w14:paraId="2FF0EDD3">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（2）建设单位：</w:t>
            </w:r>
            <w:r>
              <w:rPr>
                <w:rFonts w:hint="eastAsia" w:cs="Times New Roman"/>
                <w:color w:val="auto"/>
                <w:sz w:val="24"/>
                <w:szCs w:val="24"/>
                <w:u w:val="none"/>
                <w:lang w:eastAsia="zh-CN"/>
              </w:rPr>
              <w:t>福州塑联永拓新材料科技有限公司；</w:t>
            </w:r>
          </w:p>
          <w:p w14:paraId="533405D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（3）建设地点：</w:t>
            </w:r>
            <w:r>
              <w:rPr>
                <w:rFonts w:hint="eastAsia" w:cs="Times New Roman"/>
                <w:color w:val="auto"/>
                <w:sz w:val="24"/>
                <w:szCs w:val="24"/>
                <w:u w:val="none"/>
                <w:lang w:val="en-US" w:eastAsia="zh-CN"/>
              </w:rPr>
              <w:t>福清融侨经济技术开发区（</w:t>
            </w:r>
            <w:r>
              <w:rPr>
                <w:rFonts w:hint="eastAsia" w:cs="Times New Roman"/>
                <w:color w:val="auto"/>
                <w:sz w:val="24"/>
                <w:szCs w:val="24"/>
                <w:highlight w:val="none"/>
                <w:u w:val="none"/>
                <w:lang w:val="en-US" w:eastAsia="zh-CN"/>
              </w:rPr>
              <w:t>租赁福建融永拓新材料有限公司位于均和云谷·福清科技港的28#、36#厂房</w:t>
            </w:r>
            <w:r>
              <w:rPr>
                <w:rFonts w:hint="eastAsia" w:ascii="宋体" w:hAnsi="宋体" w:cs="宋体"/>
                <w:color w:val="auto"/>
                <w:sz w:val="24"/>
                <w:szCs w:val="24"/>
                <w:u w:val="none"/>
                <w:lang w:val="en-US" w:eastAsia="zh-CN"/>
              </w:rPr>
              <w:t>）；</w:t>
            </w:r>
          </w:p>
          <w:p w14:paraId="61F4E073">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（4）建设性质：</w:t>
            </w:r>
            <w:r>
              <w:rPr>
                <w:rFonts w:hint="eastAsia" w:cs="Times New Roman"/>
                <w:color w:val="auto"/>
                <w:sz w:val="24"/>
                <w:szCs w:val="24"/>
                <w:highlight w:val="none"/>
                <w:lang w:val="en-US" w:eastAsia="zh-CN"/>
              </w:rPr>
              <w:t>新建；</w:t>
            </w:r>
          </w:p>
          <w:p w14:paraId="4DC7B007">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（5）总投资：</w:t>
            </w:r>
            <w:r>
              <w:rPr>
                <w:rFonts w:hint="eastAsia" w:cs="Times New Roman"/>
                <w:color w:val="auto"/>
                <w:sz w:val="24"/>
                <w:szCs w:val="24"/>
                <w:highlight w:val="none"/>
                <w:lang w:val="en-US" w:eastAsia="zh-CN"/>
              </w:rPr>
              <w:t>120</w:t>
            </w:r>
            <w:r>
              <w:rPr>
                <w:rFonts w:hint="eastAsia" w:ascii="Times New Roman" w:hAnsi="Times New Roman" w:eastAsia="宋体" w:cs="Times New Roman"/>
                <w:color w:val="auto"/>
                <w:sz w:val="24"/>
                <w:szCs w:val="24"/>
                <w:highlight w:val="none"/>
                <w:lang w:val="en-US" w:eastAsia="zh-CN"/>
              </w:rPr>
              <w:t>万元，其中环保投资</w:t>
            </w:r>
            <w:r>
              <w:rPr>
                <w:rFonts w:hint="eastAsia"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万元</w:t>
            </w:r>
            <w:r>
              <w:rPr>
                <w:rFonts w:hint="eastAsia" w:cs="Times New Roman"/>
                <w:color w:val="auto"/>
                <w:sz w:val="24"/>
                <w:szCs w:val="24"/>
                <w:highlight w:val="none"/>
                <w:lang w:val="en-US" w:eastAsia="zh-CN"/>
              </w:rPr>
              <w:t>；</w:t>
            </w:r>
          </w:p>
          <w:p w14:paraId="69A3018C">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green"/>
                <w:lang w:val="en-US" w:eastAsia="zh-CN"/>
              </w:rPr>
            </w:pPr>
            <w:r>
              <w:rPr>
                <w:rFonts w:hint="eastAsia" w:ascii="Times New Roman" w:hAnsi="Times New Roman" w:eastAsia="宋体" w:cs="Times New Roman"/>
                <w:color w:val="auto"/>
                <w:sz w:val="24"/>
                <w:szCs w:val="24"/>
                <w:highlight w:val="none"/>
                <w:lang w:val="en-US" w:eastAsia="zh-CN"/>
              </w:rPr>
              <w:t>（6）建设规模：</w:t>
            </w:r>
            <w:r>
              <w:rPr>
                <w:rFonts w:hint="eastAsia" w:cs="Times New Roman"/>
                <w:color w:val="auto"/>
                <w:sz w:val="24"/>
                <w:szCs w:val="24"/>
                <w:highlight w:val="none"/>
                <w:lang w:val="en-US" w:eastAsia="zh-CN"/>
              </w:rPr>
              <w:t>年加工塑料包装膜4100吨、塑料包装袋1700吨项目；</w:t>
            </w:r>
          </w:p>
          <w:p w14:paraId="671C56B0">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superscript"/>
                <w:lang w:val="en-US" w:eastAsia="zh-CN"/>
              </w:rPr>
            </w:pPr>
            <w:r>
              <w:rPr>
                <w:rFonts w:hint="eastAsia" w:ascii="Times New Roman" w:hAnsi="Times New Roman" w:eastAsia="宋体" w:cs="Times New Roman"/>
                <w:color w:val="auto"/>
                <w:sz w:val="24"/>
                <w:szCs w:val="24"/>
                <w:highlight w:val="none"/>
                <w:lang w:val="en-US" w:eastAsia="zh-CN"/>
              </w:rPr>
              <w:t>（7）建筑面积：</w:t>
            </w:r>
            <w:r>
              <w:rPr>
                <w:rFonts w:hint="eastAsia" w:cs="Times New Roman"/>
                <w:color w:val="auto"/>
                <w:sz w:val="24"/>
                <w:szCs w:val="24"/>
                <w:highlight w:val="none"/>
                <w:u w:val="none"/>
                <w:lang w:val="en-US" w:eastAsia="zh-CN"/>
              </w:rPr>
              <w:t>10602.44</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vertAlign w:val="baseline"/>
                <w:lang w:val="en-US" w:eastAsia="zh-CN"/>
              </w:rPr>
              <w:t>；</w:t>
            </w:r>
          </w:p>
          <w:p w14:paraId="302E05EA">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（8）工作制度：年生产300天，</w:t>
            </w:r>
            <w:r>
              <w:rPr>
                <w:rFonts w:hint="eastAsia" w:cs="Times New Roman"/>
                <w:color w:val="auto"/>
                <w:sz w:val="24"/>
                <w:szCs w:val="24"/>
                <w:highlight w:val="none"/>
                <w:u w:val="none"/>
                <w:vertAlign w:val="baseline"/>
                <w:lang w:val="en-US" w:eastAsia="zh-CN"/>
              </w:rPr>
              <w:t>双</w:t>
            </w:r>
            <w:r>
              <w:rPr>
                <w:rFonts w:hint="eastAsia" w:ascii="Times New Roman" w:hAnsi="Times New Roman" w:eastAsia="宋体" w:cs="Times New Roman"/>
                <w:color w:val="auto"/>
                <w:sz w:val="24"/>
                <w:szCs w:val="24"/>
                <w:highlight w:val="none"/>
                <w:u w:val="none"/>
                <w:vertAlign w:val="baseline"/>
                <w:lang w:val="en-US" w:eastAsia="zh-CN"/>
              </w:rPr>
              <w:t>班制，每班</w:t>
            </w:r>
            <w:r>
              <w:rPr>
                <w:rFonts w:hint="eastAsia" w:cs="Times New Roman"/>
                <w:color w:val="auto"/>
                <w:sz w:val="24"/>
                <w:szCs w:val="24"/>
                <w:highlight w:val="none"/>
                <w:u w:val="none"/>
                <w:vertAlign w:val="baseline"/>
                <w:lang w:val="en-US" w:eastAsia="zh-CN"/>
              </w:rPr>
              <w:t>10</w:t>
            </w:r>
            <w:r>
              <w:rPr>
                <w:rFonts w:hint="eastAsia" w:ascii="Times New Roman" w:hAnsi="Times New Roman" w:eastAsia="宋体" w:cs="Times New Roman"/>
                <w:color w:val="auto"/>
                <w:sz w:val="24"/>
                <w:szCs w:val="24"/>
                <w:highlight w:val="none"/>
                <w:u w:val="none"/>
                <w:vertAlign w:val="baseline"/>
                <w:lang w:val="en-US" w:eastAsia="zh-CN"/>
              </w:rPr>
              <w:t>小时；</w:t>
            </w:r>
          </w:p>
          <w:p w14:paraId="0E3CE887">
            <w:pPr>
              <w:pStyle w:val="4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（9）劳动定员：职工</w:t>
            </w:r>
            <w:r>
              <w:rPr>
                <w:rFonts w:hint="eastAsia" w:cs="Times New Roman"/>
                <w:color w:val="auto"/>
                <w:sz w:val="24"/>
                <w:szCs w:val="24"/>
                <w:highlight w:val="none"/>
                <w:u w:val="none"/>
                <w:vertAlign w:val="baseline"/>
                <w:lang w:val="en-US" w:eastAsia="zh-CN"/>
              </w:rPr>
              <w:t>60</w:t>
            </w:r>
            <w:r>
              <w:rPr>
                <w:rFonts w:hint="eastAsia" w:ascii="Times New Roman" w:hAnsi="Times New Roman" w:eastAsia="宋体" w:cs="Times New Roman"/>
                <w:color w:val="auto"/>
                <w:sz w:val="24"/>
                <w:szCs w:val="24"/>
                <w:highlight w:val="none"/>
                <w:u w:val="none"/>
                <w:vertAlign w:val="baseline"/>
                <w:lang w:val="en-US" w:eastAsia="zh-CN"/>
              </w:rPr>
              <w:t>人，均不在厂食宿</w:t>
            </w:r>
            <w:r>
              <w:rPr>
                <w:rFonts w:hint="eastAsia" w:cs="Times New Roman"/>
                <w:color w:val="auto"/>
                <w:sz w:val="24"/>
                <w:szCs w:val="24"/>
                <w:highlight w:val="none"/>
                <w:u w:val="none"/>
                <w:vertAlign w:val="baseline"/>
                <w:lang w:val="en-US" w:eastAsia="zh-CN"/>
              </w:rPr>
              <w:t>。</w:t>
            </w:r>
          </w:p>
          <w:p w14:paraId="64FB2AD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4" w:name="_Toc21311"/>
            <w:r>
              <w:rPr>
                <w:rFonts w:hint="default" w:ascii="Times New Roman" w:hAnsi="Times New Roman" w:eastAsia="宋体" w:cs="Times New Roman"/>
                <w:b/>
                <w:bCs/>
                <w:color w:val="auto"/>
                <w:sz w:val="24"/>
                <w:szCs w:val="24"/>
                <w:u w:val="none"/>
                <w:lang w:val="en-US" w:eastAsia="zh-CN"/>
              </w:rPr>
              <w:t>2.2.</w:t>
            </w:r>
            <w:r>
              <w:rPr>
                <w:rFonts w:hint="default"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项目工程组成及建设内容</w:t>
            </w:r>
            <w:bookmarkEnd w:id="24"/>
          </w:p>
          <w:p w14:paraId="71708223">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项目工程组成及建设内容详见表2.2-1。</w:t>
            </w:r>
          </w:p>
          <w:p w14:paraId="7B2AE862">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表2.2-1 项目工程组成及建设内容一览表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443"/>
              <w:gridCol w:w="1300"/>
              <w:gridCol w:w="4622"/>
              <w:gridCol w:w="1148"/>
            </w:tblGrid>
            <w:tr w14:paraId="17084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40" w:type="pct"/>
                  <w:tcBorders>
                    <w:bottom w:val="single" w:color="000000" w:sz="12" w:space="0"/>
                    <w:tl2br w:val="nil"/>
                    <w:tr2bl w:val="nil"/>
                  </w:tcBorders>
                  <w:vAlign w:val="center"/>
                </w:tcPr>
                <w:p w14:paraId="18A352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工程类别</w:t>
                  </w:r>
                </w:p>
              </w:tc>
              <w:tc>
                <w:tcPr>
                  <w:tcW w:w="1011" w:type="pct"/>
                  <w:gridSpan w:val="2"/>
                  <w:tcBorders>
                    <w:bottom w:val="single" w:color="000000" w:sz="12" w:space="0"/>
                    <w:tl2br w:val="nil"/>
                    <w:tr2bl w:val="nil"/>
                  </w:tcBorders>
                  <w:vAlign w:val="center"/>
                </w:tcPr>
                <w:p w14:paraId="31CC63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项目组成</w:t>
                  </w:r>
                </w:p>
              </w:tc>
              <w:tc>
                <w:tcPr>
                  <w:tcW w:w="2681" w:type="pct"/>
                  <w:tcBorders>
                    <w:bottom w:val="single" w:color="000000" w:sz="12" w:space="0"/>
                    <w:tl2br w:val="nil"/>
                    <w:tr2bl w:val="nil"/>
                  </w:tcBorders>
                  <w:vAlign w:val="center"/>
                </w:tcPr>
                <w:p w14:paraId="21581C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工程规模和内容</w:t>
                  </w:r>
                </w:p>
              </w:tc>
              <w:tc>
                <w:tcPr>
                  <w:tcW w:w="666" w:type="pct"/>
                  <w:tcBorders>
                    <w:bottom w:val="single" w:color="000000" w:sz="12" w:space="0"/>
                    <w:tl2br w:val="nil"/>
                    <w:tr2bl w:val="nil"/>
                  </w:tcBorders>
                  <w:vAlign w:val="center"/>
                </w:tcPr>
                <w:p w14:paraId="0F524DD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备注</w:t>
                  </w:r>
                </w:p>
              </w:tc>
            </w:tr>
            <w:tr w14:paraId="5CE49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40" w:type="pct"/>
                  <w:vMerge w:val="restart"/>
                  <w:tcBorders>
                    <w:top w:val="single" w:color="000000" w:sz="12" w:space="0"/>
                    <w:tl2br w:val="nil"/>
                    <w:tr2bl w:val="nil"/>
                  </w:tcBorders>
                  <w:vAlign w:val="center"/>
                </w:tcPr>
                <w:p w14:paraId="275B81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主体工程</w:t>
                  </w:r>
                </w:p>
              </w:tc>
              <w:tc>
                <w:tcPr>
                  <w:tcW w:w="1011" w:type="pct"/>
                  <w:gridSpan w:val="2"/>
                  <w:tcBorders>
                    <w:top w:val="single" w:color="000000" w:sz="12" w:space="0"/>
                    <w:tl2br w:val="nil"/>
                    <w:tr2bl w:val="nil"/>
                  </w:tcBorders>
                  <w:vAlign w:val="center"/>
                </w:tcPr>
                <w:p w14:paraId="67744AA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1层</w:t>
                  </w:r>
                </w:p>
              </w:tc>
              <w:tc>
                <w:tcPr>
                  <w:tcW w:w="2681" w:type="pct"/>
                  <w:tcBorders>
                    <w:top w:val="single" w:color="000000" w:sz="12" w:space="0"/>
                    <w:tl2br w:val="nil"/>
                    <w:tr2bl w:val="nil"/>
                  </w:tcBorders>
                  <w:vAlign w:val="center"/>
                </w:tcPr>
                <w:p w14:paraId="3363C3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主要为印刷区、质检区，印刷区面积约652m</w:t>
                  </w:r>
                  <w:r>
                    <w:rPr>
                      <w:rFonts w:hint="eastAsia" w:cs="Times New Roman"/>
                      <w:color w:val="auto"/>
                      <w:sz w:val="21"/>
                      <w:szCs w:val="21"/>
                      <w:highlight w:val="none"/>
                      <w:vertAlign w:val="superscript"/>
                      <w:lang w:val="en-US" w:eastAsia="zh-CN"/>
                    </w:rPr>
                    <w:t>2</w:t>
                  </w:r>
                  <w:r>
                    <w:rPr>
                      <w:rFonts w:hint="eastAsia"/>
                      <w:lang w:eastAsia="zh-CN"/>
                    </w:rPr>
                    <w:t>，</w:t>
                  </w:r>
                  <w:r>
                    <w:rPr>
                      <w:rFonts w:hint="eastAsia" w:cs="Times New Roman"/>
                      <w:color w:val="auto"/>
                      <w:sz w:val="21"/>
                      <w:szCs w:val="21"/>
                      <w:highlight w:val="none"/>
                      <w:vertAlign w:val="baseline"/>
                      <w:lang w:val="en-US" w:eastAsia="zh-CN"/>
                    </w:rPr>
                    <w:t>质检区面积约94m</w:t>
                  </w:r>
                  <w:r>
                    <w:rPr>
                      <w:rFonts w:hint="eastAsia" w:cs="Times New Roman"/>
                      <w:color w:val="auto"/>
                      <w:sz w:val="21"/>
                      <w:szCs w:val="21"/>
                      <w:highlight w:val="none"/>
                      <w:vertAlign w:val="superscript"/>
                      <w:lang w:val="en-US" w:eastAsia="zh-CN"/>
                    </w:rPr>
                    <w:t>2</w:t>
                  </w:r>
                </w:p>
              </w:tc>
              <w:tc>
                <w:tcPr>
                  <w:tcW w:w="666" w:type="pct"/>
                  <w:vMerge w:val="restart"/>
                  <w:tcBorders>
                    <w:top w:val="single" w:color="000000" w:sz="12" w:space="0"/>
                    <w:tl2br w:val="nil"/>
                    <w:tr2bl w:val="nil"/>
                  </w:tcBorders>
                  <w:vAlign w:val="center"/>
                </w:tcPr>
                <w:p w14:paraId="3417166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依托已建厂房</w:t>
                  </w:r>
                </w:p>
              </w:tc>
            </w:tr>
            <w:tr w14:paraId="53B37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0" w:type="pct"/>
                  <w:vMerge w:val="continue"/>
                  <w:tcBorders>
                    <w:tl2br w:val="nil"/>
                    <w:tr2bl w:val="nil"/>
                  </w:tcBorders>
                  <w:vAlign w:val="center"/>
                </w:tcPr>
                <w:p w14:paraId="50330E5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pPr>
                </w:p>
              </w:tc>
              <w:tc>
                <w:tcPr>
                  <w:tcW w:w="1011" w:type="pct"/>
                  <w:gridSpan w:val="2"/>
                  <w:tcBorders>
                    <w:tl2br w:val="nil"/>
                    <w:tr2bl w:val="nil"/>
                  </w:tcBorders>
                  <w:vAlign w:val="center"/>
                </w:tcPr>
                <w:p w14:paraId="6812AE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2层</w:t>
                  </w:r>
                </w:p>
              </w:tc>
              <w:tc>
                <w:tcPr>
                  <w:tcW w:w="2681" w:type="pct"/>
                  <w:tcBorders>
                    <w:tl2br w:val="nil"/>
                    <w:tr2bl w:val="nil"/>
                  </w:tcBorders>
                  <w:vAlign w:val="center"/>
                </w:tcPr>
                <w:p w14:paraId="42C2CA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主要为制袋区、熟化区、分切区，制袋区面积约979m</w:t>
                  </w:r>
                  <w:r>
                    <w:rPr>
                      <w:rFonts w:hint="eastAsia" w:cs="Times New Roman"/>
                      <w:color w:val="auto"/>
                      <w:sz w:val="21"/>
                      <w:szCs w:val="21"/>
                      <w:highlight w:val="none"/>
                      <w:vertAlign w:val="superscript"/>
                      <w:lang w:val="en-US" w:eastAsia="zh-CN"/>
                    </w:rPr>
                    <w:t>2</w:t>
                  </w:r>
                  <w:r>
                    <w:rPr>
                      <w:rFonts w:hint="eastAsia"/>
                      <w:lang w:eastAsia="zh-CN"/>
                    </w:rPr>
                    <w:t>，</w:t>
                  </w:r>
                  <w:r>
                    <w:rPr>
                      <w:rFonts w:hint="eastAsia" w:cs="Times New Roman"/>
                      <w:color w:val="auto"/>
                      <w:sz w:val="21"/>
                      <w:szCs w:val="21"/>
                      <w:highlight w:val="none"/>
                      <w:vertAlign w:val="baseline"/>
                      <w:lang w:val="en-US" w:eastAsia="zh-CN"/>
                    </w:rPr>
                    <w:t>熟化区面积约384m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，分切区面积约256m</w:t>
                  </w:r>
                  <w:r>
                    <w:rPr>
                      <w:rFonts w:hint="eastAsia" w:cs="Times New Roman"/>
                      <w:color w:val="auto"/>
                      <w:sz w:val="21"/>
                      <w:szCs w:val="21"/>
                      <w:highlight w:val="none"/>
                      <w:vertAlign w:val="superscript"/>
                      <w:lang w:val="en-US" w:eastAsia="zh-CN"/>
                    </w:rPr>
                    <w:t>2</w:t>
                  </w:r>
                </w:p>
              </w:tc>
              <w:tc>
                <w:tcPr>
                  <w:tcW w:w="666" w:type="pct"/>
                  <w:vMerge w:val="continue"/>
                  <w:tcBorders>
                    <w:tl2br w:val="nil"/>
                    <w:tr2bl w:val="nil"/>
                  </w:tcBorders>
                  <w:vAlign w:val="center"/>
                </w:tcPr>
                <w:p w14:paraId="2CAC393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7F2C2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40" w:type="pct"/>
                  <w:vMerge w:val="restart"/>
                  <w:tcBorders>
                    <w:tl2br w:val="nil"/>
                    <w:tr2bl w:val="nil"/>
                  </w:tcBorders>
                  <w:vAlign w:val="center"/>
                </w:tcPr>
                <w:p w14:paraId="570631A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辅助工程</w:t>
                  </w:r>
                </w:p>
              </w:tc>
              <w:tc>
                <w:tcPr>
                  <w:tcW w:w="1011" w:type="pct"/>
                  <w:gridSpan w:val="2"/>
                  <w:tcBorders>
                    <w:tl2br w:val="nil"/>
                    <w:tr2bl w:val="nil"/>
                  </w:tcBorders>
                  <w:vAlign w:val="center"/>
                </w:tcPr>
                <w:p w14:paraId="1AF8A4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成品区</w:t>
                  </w:r>
                </w:p>
              </w:tc>
              <w:tc>
                <w:tcPr>
                  <w:tcW w:w="2681" w:type="pct"/>
                  <w:tcBorders>
                    <w:tl2br w:val="nil"/>
                    <w:tr2bl w:val="nil"/>
                  </w:tcBorders>
                  <w:vAlign w:val="center"/>
                </w:tcPr>
                <w:p w14:paraId="3CB858E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位于厂房</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层，用于成品堆放</w:t>
                  </w:r>
                </w:p>
              </w:tc>
              <w:tc>
                <w:tcPr>
                  <w:tcW w:w="666" w:type="pct"/>
                  <w:vMerge w:val="restart"/>
                  <w:tcBorders>
                    <w:tl2br w:val="nil"/>
                    <w:tr2bl w:val="nil"/>
                  </w:tcBorders>
                  <w:vAlign w:val="center"/>
                </w:tcPr>
                <w:p w14:paraId="6861958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依托已建厂房</w:t>
                  </w:r>
                </w:p>
              </w:tc>
            </w:tr>
            <w:tr w14:paraId="59BAC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40" w:type="pct"/>
                  <w:vMerge w:val="continue"/>
                  <w:tcBorders>
                    <w:tl2br w:val="nil"/>
                    <w:tr2bl w:val="nil"/>
                  </w:tcBorders>
                  <w:vAlign w:val="center"/>
                </w:tcPr>
                <w:p w14:paraId="5C28C19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vAlign w:val="center"/>
                </w:tcPr>
                <w:p w14:paraId="0583AAB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原料仓</w:t>
                  </w:r>
                </w:p>
              </w:tc>
              <w:tc>
                <w:tcPr>
                  <w:tcW w:w="2681" w:type="pct"/>
                  <w:tcBorders>
                    <w:tl2br w:val="nil"/>
                    <w:tr2bl w:val="nil"/>
                  </w:tcBorders>
                  <w:vAlign w:val="center"/>
                </w:tcPr>
                <w:p w14:paraId="02F666A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位于厂房</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层，用于原辅料堆放</w:t>
                  </w:r>
                </w:p>
              </w:tc>
              <w:tc>
                <w:tcPr>
                  <w:tcW w:w="666" w:type="pct"/>
                  <w:vMerge w:val="continue"/>
                  <w:tcBorders>
                    <w:tl2br w:val="nil"/>
                    <w:tr2bl w:val="nil"/>
                  </w:tcBorders>
                  <w:vAlign w:val="center"/>
                </w:tcPr>
                <w:p w14:paraId="028FCC7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B19A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40" w:type="pct"/>
                  <w:vMerge w:val="restart"/>
                  <w:tcBorders>
                    <w:tl2br w:val="nil"/>
                    <w:tr2bl w:val="nil"/>
                  </w:tcBorders>
                  <w:vAlign w:val="center"/>
                </w:tcPr>
                <w:p w14:paraId="1255D78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公用工程</w:t>
                  </w:r>
                </w:p>
              </w:tc>
              <w:tc>
                <w:tcPr>
                  <w:tcW w:w="1011" w:type="pct"/>
                  <w:gridSpan w:val="2"/>
                  <w:tcBorders>
                    <w:tl2br w:val="nil"/>
                    <w:tr2bl w:val="nil"/>
                  </w:tcBorders>
                  <w:shd w:val="clear" w:color="auto" w:fill="auto"/>
                  <w:vAlign w:val="center"/>
                </w:tcPr>
                <w:p w14:paraId="0B2D8EE1">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供水</w:t>
                  </w:r>
                </w:p>
              </w:tc>
              <w:tc>
                <w:tcPr>
                  <w:tcW w:w="2681" w:type="pct"/>
                  <w:tcBorders>
                    <w:tl2br w:val="nil"/>
                    <w:tr2bl w:val="nil"/>
                  </w:tcBorders>
                  <w:vAlign w:val="center"/>
                </w:tcPr>
                <w:p w14:paraId="456B092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olor w:val="000000"/>
                      <w:szCs w:val="21"/>
                    </w:rPr>
                    <w:t>项目生产生活用水由市政生活用水管网直接供给</w:t>
                  </w:r>
                </w:p>
              </w:tc>
              <w:tc>
                <w:tcPr>
                  <w:tcW w:w="666" w:type="pct"/>
                  <w:tcBorders>
                    <w:tl2br w:val="nil"/>
                    <w:tr2bl w:val="nil"/>
                  </w:tcBorders>
                  <w:vAlign w:val="center"/>
                </w:tcPr>
                <w:p w14:paraId="50B23BC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79B1B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40" w:type="pct"/>
                  <w:vMerge w:val="continue"/>
                  <w:tcBorders>
                    <w:tl2br w:val="nil"/>
                    <w:tr2bl w:val="nil"/>
                  </w:tcBorders>
                  <w:vAlign w:val="center"/>
                </w:tcPr>
                <w:p w14:paraId="34540BB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shd w:val="clear" w:color="auto" w:fill="auto"/>
                  <w:vAlign w:val="center"/>
                </w:tcPr>
                <w:p w14:paraId="07AF2F9F">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排水</w:t>
                  </w:r>
                </w:p>
              </w:tc>
              <w:tc>
                <w:tcPr>
                  <w:tcW w:w="2681" w:type="pct"/>
                  <w:tcBorders>
                    <w:tl2br w:val="nil"/>
                    <w:tr2bl w:val="nil"/>
                  </w:tcBorders>
                  <w:vAlign w:val="center"/>
                </w:tcPr>
                <w:p w14:paraId="2620C84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项目采用“雨污分流、清污分流”，</w:t>
                  </w:r>
                  <w:r>
                    <w:rPr>
                      <w:rFonts w:hint="eastAsia" w:cs="Times New Roman"/>
                      <w:color w:val="auto"/>
                      <w:sz w:val="21"/>
                      <w:szCs w:val="21"/>
                      <w:highlight w:val="none"/>
                      <w:vertAlign w:val="baseline"/>
                      <w:lang w:val="en-US" w:eastAsia="zh-CN"/>
                    </w:rPr>
                    <w:t>本项目不产生生产废水</w:t>
                  </w:r>
                  <w:r>
                    <w:rPr>
                      <w:rFonts w:hint="eastAsia" w:ascii="Times New Roman" w:hAnsi="Times New Roman" w:eastAsia="宋体" w:cs="Times New Roman"/>
                      <w:color w:val="auto"/>
                      <w:sz w:val="21"/>
                      <w:szCs w:val="21"/>
                      <w:highlight w:val="none"/>
                      <w:vertAlign w:val="baseline"/>
                      <w:lang w:val="en-US" w:eastAsia="zh-CN"/>
                    </w:rPr>
                    <w:t>；职工生活污水经园区内已建化粪池预处理后，接入市政污水管网，纳入福清融元污水处理厂统一处理，尾水排入龙江。</w:t>
                  </w:r>
                </w:p>
              </w:tc>
              <w:tc>
                <w:tcPr>
                  <w:tcW w:w="666" w:type="pct"/>
                  <w:tcBorders>
                    <w:tl2br w:val="nil"/>
                    <w:tr2bl w:val="nil"/>
                  </w:tcBorders>
                  <w:shd w:val="clear" w:color="auto" w:fill="auto"/>
                  <w:vAlign w:val="center"/>
                </w:tcPr>
                <w:p w14:paraId="2D2C4CC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2EB54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40" w:type="pct"/>
                  <w:vMerge w:val="continue"/>
                  <w:tcBorders>
                    <w:tl2br w:val="nil"/>
                    <w:tr2bl w:val="nil"/>
                  </w:tcBorders>
                  <w:vAlign w:val="center"/>
                </w:tcPr>
                <w:p w14:paraId="4EA454E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shd w:val="clear" w:color="auto" w:fill="auto"/>
                  <w:vAlign w:val="center"/>
                </w:tcPr>
                <w:p w14:paraId="21EB020F">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供电</w:t>
                  </w:r>
                </w:p>
              </w:tc>
              <w:tc>
                <w:tcPr>
                  <w:tcW w:w="2681" w:type="pct"/>
                  <w:tcBorders>
                    <w:tl2br w:val="nil"/>
                    <w:tr2bl w:val="nil"/>
                  </w:tcBorders>
                  <w:vAlign w:val="center"/>
                </w:tcPr>
                <w:p w14:paraId="0840B02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接市政供电系统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依托厂区内现有的供电系统</w:t>
                  </w:r>
                </w:p>
              </w:tc>
              <w:tc>
                <w:tcPr>
                  <w:tcW w:w="666" w:type="pct"/>
                  <w:tcBorders>
                    <w:tl2br w:val="nil"/>
                    <w:tr2bl w:val="nil"/>
                  </w:tcBorders>
                  <w:vAlign w:val="center"/>
                </w:tcPr>
                <w:p w14:paraId="6C4546C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1AA18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restart"/>
                  <w:tcBorders>
                    <w:tl2br w:val="nil"/>
                    <w:tr2bl w:val="nil"/>
                  </w:tcBorders>
                  <w:vAlign w:val="center"/>
                </w:tcPr>
                <w:p w14:paraId="0E17E6E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环保工程</w:t>
                  </w:r>
                </w:p>
              </w:tc>
              <w:tc>
                <w:tcPr>
                  <w:tcW w:w="1011" w:type="pct"/>
                  <w:gridSpan w:val="2"/>
                  <w:tcBorders>
                    <w:tl2br w:val="nil"/>
                    <w:tr2bl w:val="nil"/>
                  </w:tcBorders>
                  <w:vAlign w:val="center"/>
                </w:tcPr>
                <w:p w14:paraId="0386721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废水治理</w:t>
                  </w:r>
                </w:p>
              </w:tc>
              <w:tc>
                <w:tcPr>
                  <w:tcW w:w="2681" w:type="pct"/>
                  <w:tcBorders>
                    <w:tl2br w:val="nil"/>
                    <w:tr2bl w:val="nil"/>
                  </w:tcBorders>
                  <w:vAlign w:val="center"/>
                </w:tcPr>
                <w:p w14:paraId="5A01B4B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napToGrid w:val="0"/>
                      <w:color w:val="000000"/>
                      <w:kern w:val="0"/>
                      <w:lang w:val="en-US" w:eastAsia="zh-CN"/>
                    </w:rPr>
                    <w:t>项目无生产废水产生，</w:t>
                  </w:r>
                  <w:r>
                    <w:rPr>
                      <w:rFonts w:hint="eastAsia" w:ascii="Times New Roman" w:hAnsi="Times New Roman" w:eastAsia="宋体" w:cs="Times New Roman"/>
                      <w:color w:val="000000"/>
                      <w:sz w:val="21"/>
                      <w:szCs w:val="21"/>
                      <w:highlight w:val="none"/>
                    </w:rPr>
                    <w:t>生活污水进入化粪池处理后排入园区污水管网</w:t>
                  </w:r>
                  <w:r>
                    <w:rPr>
                      <w:rFonts w:hint="eastAsia" w:ascii="Times New Roman" w:hAnsi="Times New Roman" w:cs="Times New Roman"/>
                      <w:color w:val="000000"/>
                      <w:sz w:val="21"/>
                      <w:szCs w:val="21"/>
                      <w:highlight w:val="none"/>
                      <w:lang w:eastAsia="zh-CN"/>
                    </w:rPr>
                    <w:t>，</w:t>
                  </w:r>
                  <w:r>
                    <w:rPr>
                      <w:rFonts w:hint="default" w:ascii="Times New Roman" w:hAnsi="Times New Roman" w:eastAsia="宋体" w:cs="Times New Roman"/>
                      <w:color w:val="auto"/>
                      <w:sz w:val="21"/>
                      <w:szCs w:val="21"/>
                      <w:highlight w:val="none"/>
                      <w:u w:val="none"/>
                      <w:vertAlign w:val="baseline"/>
                      <w:lang w:eastAsia="zh-CN"/>
                    </w:rPr>
                    <w:t>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r>
                    <w:rPr>
                      <w:rFonts w:hint="eastAsia" w:ascii="Times New Roman" w:hAnsi="Times New Roman" w:eastAsia="宋体" w:cs="Times New Roman"/>
                      <w:color w:val="auto"/>
                      <w:sz w:val="21"/>
                      <w:szCs w:val="21"/>
                      <w:highlight w:val="none"/>
                      <w:vertAlign w:val="baseline"/>
                      <w:lang w:val="en-US" w:eastAsia="zh-CN"/>
                    </w:rPr>
                    <w:t>统一处理，尾水排入龙江。</w:t>
                  </w:r>
                </w:p>
              </w:tc>
              <w:tc>
                <w:tcPr>
                  <w:tcW w:w="666" w:type="pct"/>
                  <w:tcBorders>
                    <w:tl2br w:val="nil"/>
                    <w:tr2bl w:val="nil"/>
                  </w:tcBorders>
                  <w:vAlign w:val="center"/>
                </w:tcPr>
                <w:p w14:paraId="2433B9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依托现有化粪池</w:t>
                  </w:r>
                </w:p>
              </w:tc>
            </w:tr>
            <w:tr w14:paraId="76D37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40" w:type="pct"/>
                  <w:vMerge w:val="continue"/>
                  <w:tcBorders>
                    <w:tl2br w:val="nil"/>
                    <w:tr2bl w:val="nil"/>
                  </w:tcBorders>
                  <w:vAlign w:val="center"/>
                </w:tcPr>
                <w:p w14:paraId="1476E58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tcBorders>
                    <w:tl2br w:val="nil"/>
                    <w:tr2bl w:val="nil"/>
                  </w:tcBorders>
                  <w:vAlign w:val="center"/>
                </w:tcPr>
                <w:p w14:paraId="31F0657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废气治理</w:t>
                  </w:r>
                </w:p>
              </w:tc>
              <w:tc>
                <w:tcPr>
                  <w:tcW w:w="754" w:type="pct"/>
                  <w:tcBorders>
                    <w:tl2br w:val="nil"/>
                    <w:tr2bl w:val="nil"/>
                  </w:tcBorders>
                  <w:vAlign w:val="center"/>
                </w:tcPr>
                <w:p w14:paraId="2293807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非甲烷总烃（VOCs）</w:t>
                  </w:r>
                </w:p>
              </w:tc>
              <w:tc>
                <w:tcPr>
                  <w:tcW w:w="2681" w:type="pct"/>
                  <w:tcBorders>
                    <w:tl2br w:val="nil"/>
                    <w:tr2bl w:val="nil"/>
                  </w:tcBorders>
                  <w:vAlign w:val="center"/>
                </w:tcPr>
                <w:p w14:paraId="5EB355E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有机</w:t>
                  </w:r>
                  <w:r>
                    <w:rPr>
                      <w:rFonts w:hint="eastAsia" w:ascii="Times New Roman" w:hAnsi="Times New Roman" w:eastAsia="宋体" w:cs="Times New Roman"/>
                      <w:color w:val="auto"/>
                      <w:sz w:val="21"/>
                      <w:szCs w:val="21"/>
                      <w:highlight w:val="none"/>
                      <w:vertAlign w:val="baseline"/>
                      <w:lang w:val="en-US" w:eastAsia="zh-CN"/>
                    </w:rPr>
                    <w:t>废气通过集气罩收集后由一套“</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活性炭吸附装置”处理后，通过1根15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r>
                    <w:rPr>
                      <w:rFonts w:hint="eastAsia" w:cs="Times New Roman"/>
                      <w:color w:val="auto"/>
                      <w:sz w:val="21"/>
                      <w:szCs w:val="21"/>
                      <w:highlight w:val="none"/>
                      <w:vertAlign w:val="baseline"/>
                      <w:lang w:val="en-US" w:eastAsia="zh-CN"/>
                    </w:rPr>
                    <w:t>；</w:t>
                  </w:r>
                </w:p>
              </w:tc>
              <w:tc>
                <w:tcPr>
                  <w:tcW w:w="666" w:type="pct"/>
                  <w:tcBorders>
                    <w:tl2br w:val="nil"/>
                    <w:tr2bl w:val="nil"/>
                  </w:tcBorders>
                  <w:vAlign w:val="center"/>
                </w:tcPr>
                <w:p w14:paraId="769C393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7768F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0" w:type="pct"/>
                  <w:vMerge w:val="continue"/>
                  <w:tcBorders>
                    <w:tl2br w:val="nil"/>
                    <w:tr2bl w:val="nil"/>
                  </w:tcBorders>
                  <w:vAlign w:val="center"/>
                </w:tcPr>
                <w:p w14:paraId="2664B2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vAlign w:val="center"/>
                </w:tcPr>
                <w:p w14:paraId="7B8A9FD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噪声治理</w:t>
                  </w:r>
                </w:p>
              </w:tc>
              <w:tc>
                <w:tcPr>
                  <w:tcW w:w="2681" w:type="pct"/>
                  <w:tcBorders>
                    <w:tl2br w:val="nil"/>
                    <w:tr2bl w:val="nil"/>
                  </w:tcBorders>
                  <w:vAlign w:val="center"/>
                </w:tcPr>
                <w:p w14:paraId="1CB2C9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lang w:val="en-US" w:eastAsia="zh-CN"/>
                    </w:rPr>
                    <w:t>选用低噪声设备，加强设备的维护管理；对高噪声设备进行基础减振、通过厂房墙体隔</w:t>
                  </w:r>
                  <w:r>
                    <w:rPr>
                      <w:rFonts w:hint="eastAsia" w:cs="Times New Roman"/>
                      <w:color w:val="auto"/>
                      <w:lang w:val="en-US" w:eastAsia="zh-CN"/>
                    </w:rPr>
                    <w:t>声。</w:t>
                  </w:r>
                </w:p>
              </w:tc>
              <w:tc>
                <w:tcPr>
                  <w:tcW w:w="666" w:type="pct"/>
                  <w:tcBorders>
                    <w:tl2br w:val="nil"/>
                    <w:tr2bl w:val="nil"/>
                  </w:tcBorders>
                  <w:vAlign w:val="center"/>
                </w:tcPr>
                <w:p w14:paraId="40B0A7F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521DF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40" w:type="pct"/>
                  <w:vMerge w:val="continue"/>
                  <w:tcBorders>
                    <w:tl2br w:val="nil"/>
                    <w:tr2bl w:val="nil"/>
                  </w:tcBorders>
                  <w:vAlign w:val="center"/>
                </w:tcPr>
                <w:p w14:paraId="32DA06A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restart"/>
                  <w:tcBorders>
                    <w:tl2br w:val="nil"/>
                    <w:tr2bl w:val="nil"/>
                  </w:tcBorders>
                  <w:vAlign w:val="center"/>
                </w:tcPr>
                <w:p w14:paraId="54041B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固废治理</w:t>
                  </w:r>
                </w:p>
              </w:tc>
              <w:tc>
                <w:tcPr>
                  <w:tcW w:w="754" w:type="pct"/>
                  <w:tcBorders>
                    <w:tl2br w:val="nil"/>
                    <w:tr2bl w:val="nil"/>
                  </w:tcBorders>
                  <w:vAlign w:val="center"/>
                </w:tcPr>
                <w:p w14:paraId="51F193C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生活垃圾</w:t>
                  </w:r>
                </w:p>
              </w:tc>
              <w:tc>
                <w:tcPr>
                  <w:tcW w:w="2681" w:type="pct"/>
                  <w:tcBorders>
                    <w:tl2br w:val="nil"/>
                    <w:tr2bl w:val="nil"/>
                  </w:tcBorders>
                  <w:vAlign w:val="center"/>
                </w:tcPr>
                <w:p w14:paraId="5D279A8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lang w:val="en-GB" w:eastAsia="zh-CN"/>
                    </w:rPr>
                    <w:t>厂区内设置生活垃圾桶，分类收集后委托环卫部门每日清运处置</w:t>
                  </w:r>
                  <w:r>
                    <w:rPr>
                      <w:rFonts w:hint="eastAsia" w:cs="Times New Roman"/>
                      <w:color w:val="auto"/>
                      <w:lang w:val="en-GB" w:eastAsia="zh-CN"/>
                    </w:rPr>
                    <w:t>。</w:t>
                  </w:r>
                </w:p>
              </w:tc>
              <w:tc>
                <w:tcPr>
                  <w:tcW w:w="666" w:type="pct"/>
                  <w:tcBorders>
                    <w:tl2br w:val="nil"/>
                    <w:tr2bl w:val="nil"/>
                  </w:tcBorders>
                  <w:vAlign w:val="center"/>
                </w:tcPr>
                <w:p w14:paraId="29B9EFC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7FE70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640" w:type="pct"/>
                  <w:vMerge w:val="continue"/>
                  <w:tcBorders>
                    <w:tl2br w:val="nil"/>
                    <w:tr2bl w:val="nil"/>
                  </w:tcBorders>
                  <w:vAlign w:val="center"/>
                </w:tcPr>
                <w:p w14:paraId="69FDFF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continue"/>
                  <w:tcBorders>
                    <w:tl2br w:val="nil"/>
                    <w:tr2bl w:val="nil"/>
                  </w:tcBorders>
                  <w:vAlign w:val="center"/>
                </w:tcPr>
                <w:p w14:paraId="0749472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4" w:type="pct"/>
                  <w:tcBorders>
                    <w:tl2br w:val="nil"/>
                    <w:tr2bl w:val="nil"/>
                  </w:tcBorders>
                  <w:vAlign w:val="center"/>
                </w:tcPr>
                <w:p w14:paraId="620A0CE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一般固体废物</w:t>
                  </w:r>
                </w:p>
              </w:tc>
              <w:tc>
                <w:tcPr>
                  <w:tcW w:w="2681" w:type="pct"/>
                  <w:tcBorders>
                    <w:tl2br w:val="nil"/>
                    <w:tr2bl w:val="nil"/>
                  </w:tcBorders>
                  <w:vAlign w:val="center"/>
                </w:tcPr>
                <w:p w14:paraId="065A570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设一般工业固废暂存间，妥善分类收集后出售给回收企业综合利用：不合格产品</w:t>
                  </w:r>
                  <w:r>
                    <w:rPr>
                      <w:rFonts w:hint="eastAsia" w:cs="Times New Roman"/>
                      <w:color w:val="auto"/>
                      <w:lang w:val="en-US" w:eastAsia="zh-CN"/>
                    </w:rPr>
                    <w:t>及边角料</w:t>
                  </w:r>
                  <w:r>
                    <w:rPr>
                      <w:rFonts w:hint="eastAsia" w:ascii="Times New Roman" w:hAnsi="Times New Roman" w:eastAsia="宋体" w:cs="Times New Roman"/>
                      <w:color w:val="auto"/>
                      <w:lang w:val="en-US" w:eastAsia="zh-CN"/>
                    </w:rPr>
                    <w:t>收集破碎后</w:t>
                  </w:r>
                  <w:r>
                    <w:rPr>
                      <w:rFonts w:hint="eastAsia" w:cs="Times New Roman"/>
                      <w:color w:val="auto"/>
                      <w:lang w:val="en-US" w:eastAsia="zh-CN"/>
                    </w:rPr>
                    <w:t>外售其他公司</w:t>
                  </w:r>
                  <w:r>
                    <w:rPr>
                      <w:rFonts w:hint="eastAsia" w:ascii="Times New Roman" w:hAnsi="Times New Roman" w:eastAsia="宋体" w:cs="Times New Roman"/>
                      <w:color w:val="auto"/>
                      <w:lang w:val="en-US" w:eastAsia="zh-CN"/>
                    </w:rPr>
                    <w:t>。</w:t>
                  </w:r>
                </w:p>
                <w:p w14:paraId="265017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lang w:val="en-US" w:eastAsia="zh-CN"/>
                    </w:rPr>
                  </w:pPr>
                  <w:r>
                    <w:rPr>
                      <w:rFonts w:hint="eastAsia" w:ascii="Times New Roman" w:hAnsi="Times New Roman" w:eastAsia="宋体" w:cs="Times New Roman"/>
                      <w:color w:val="auto"/>
                      <w:lang w:val="en-US" w:eastAsia="zh-CN"/>
                    </w:rPr>
                    <w:t>废包装材料：收集后外售给废品回收公司</w:t>
                  </w:r>
                  <w:r>
                    <w:rPr>
                      <w:rFonts w:hint="eastAsia" w:cs="Times New Roman"/>
                      <w:color w:val="auto"/>
                      <w:lang w:val="en-US" w:eastAsia="zh-CN"/>
                    </w:rPr>
                    <w:t>。</w:t>
                  </w:r>
                </w:p>
              </w:tc>
              <w:tc>
                <w:tcPr>
                  <w:tcW w:w="666" w:type="pct"/>
                  <w:tcBorders>
                    <w:tl2br w:val="nil"/>
                    <w:tr2bl w:val="nil"/>
                  </w:tcBorders>
                  <w:vAlign w:val="center"/>
                </w:tcPr>
                <w:p w14:paraId="759AB3B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2369F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640" w:type="pct"/>
                  <w:vMerge w:val="continue"/>
                  <w:tcBorders>
                    <w:tl2br w:val="nil"/>
                    <w:tr2bl w:val="nil"/>
                  </w:tcBorders>
                  <w:vAlign w:val="center"/>
                </w:tcPr>
                <w:p w14:paraId="0FC974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continue"/>
                  <w:tcBorders>
                    <w:tl2br w:val="nil"/>
                    <w:tr2bl w:val="nil"/>
                  </w:tcBorders>
                  <w:vAlign w:val="center"/>
                </w:tcPr>
                <w:p w14:paraId="163A583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4" w:type="pct"/>
                  <w:tcBorders>
                    <w:tl2br w:val="nil"/>
                    <w:tr2bl w:val="nil"/>
                  </w:tcBorders>
                  <w:vAlign w:val="center"/>
                </w:tcPr>
                <w:p w14:paraId="2C1C56D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危险废物</w:t>
                  </w:r>
                </w:p>
              </w:tc>
              <w:tc>
                <w:tcPr>
                  <w:tcW w:w="2681" w:type="pct"/>
                  <w:tcBorders>
                    <w:tl2br w:val="nil"/>
                    <w:tr2bl w:val="nil"/>
                  </w:tcBorders>
                  <w:vAlign w:val="center"/>
                </w:tcPr>
                <w:p w14:paraId="613F6F5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按照规范要求设置一间危险废物贮存库，面积约5m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，存放废活性炭、</w:t>
                  </w:r>
                  <w:r>
                    <w:rPr>
                      <w:rFonts w:hint="eastAsia" w:cs="Times New Roman"/>
                      <w:color w:val="auto"/>
                      <w:sz w:val="21"/>
                      <w:szCs w:val="21"/>
                      <w:highlight w:val="none"/>
                      <w:vertAlign w:val="baseline"/>
                      <w:lang w:val="en-US" w:eastAsia="zh-CN"/>
                    </w:rPr>
                    <w:t>废机油</w:t>
                  </w:r>
                  <w:r>
                    <w:rPr>
                      <w:rFonts w:hint="eastAsia" w:ascii="Times New Roman" w:hAnsi="Times New Roman" w:eastAsia="宋体" w:cs="Times New Roman"/>
                      <w:color w:val="auto"/>
                      <w:sz w:val="21"/>
                      <w:szCs w:val="21"/>
                      <w:highlight w:val="none"/>
                      <w:vertAlign w:val="baseline"/>
                      <w:lang w:val="en-US" w:eastAsia="zh-CN"/>
                    </w:rPr>
                    <w:t>等危险废物。贮存间内张贴明显</w:t>
                  </w:r>
                  <w:r>
                    <w:rPr>
                      <w:rFonts w:hint="eastAsia" w:cs="Times New Roman"/>
                      <w:color w:val="auto"/>
                      <w:sz w:val="21"/>
                      <w:szCs w:val="21"/>
                      <w:highlight w:val="none"/>
                      <w:vertAlign w:val="baseline"/>
                      <w:lang w:val="en-US" w:eastAsia="zh-CN"/>
                    </w:rPr>
                    <w:t>警示标志</w:t>
                  </w:r>
                  <w:r>
                    <w:rPr>
                      <w:rFonts w:hint="eastAsia" w:ascii="Times New Roman" w:hAnsi="Times New Roman" w:eastAsia="宋体" w:cs="Times New Roman"/>
                      <w:color w:val="auto"/>
                      <w:sz w:val="21"/>
                      <w:szCs w:val="21"/>
                      <w:highlight w:val="none"/>
                      <w:vertAlign w:val="baseline"/>
                      <w:lang w:val="en-US" w:eastAsia="zh-CN"/>
                    </w:rPr>
                    <w:t>并设置围堰及导流沟，地面刷环氧树脂漆</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并签署危废委托</w:t>
                  </w:r>
                  <w:r>
                    <w:rPr>
                      <w:rFonts w:hint="eastAsia" w:cs="Times New Roman"/>
                      <w:color w:val="auto"/>
                      <w:sz w:val="21"/>
                      <w:szCs w:val="21"/>
                      <w:highlight w:val="none"/>
                      <w:vertAlign w:val="baseline"/>
                      <w:lang w:val="en-US" w:eastAsia="zh-CN"/>
                    </w:rPr>
                    <w:t>协议。</w:t>
                  </w:r>
                </w:p>
              </w:tc>
              <w:tc>
                <w:tcPr>
                  <w:tcW w:w="666" w:type="pct"/>
                  <w:tcBorders>
                    <w:tl2br w:val="nil"/>
                    <w:tr2bl w:val="nil"/>
                  </w:tcBorders>
                  <w:vAlign w:val="center"/>
                </w:tcPr>
                <w:p w14:paraId="2298772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bl>
          <w:p w14:paraId="67A6A1A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5" w:name="_Toc20188"/>
            <w:r>
              <w:rPr>
                <w:rFonts w:hint="default" w:ascii="Times New Roman" w:hAnsi="Times New Roman" w:eastAsia="宋体" w:cs="Times New Roman"/>
                <w:b/>
                <w:bCs/>
                <w:color w:val="auto"/>
                <w:sz w:val="24"/>
                <w:szCs w:val="24"/>
                <w:u w:val="none"/>
                <w:lang w:val="en-US" w:eastAsia="zh-CN"/>
              </w:rPr>
              <w:t>2.2.</w:t>
            </w:r>
            <w:r>
              <w:rPr>
                <w:rFonts w:hint="default" w:cs="Times New Roman"/>
                <w:b/>
                <w:bCs/>
                <w:color w:val="auto"/>
                <w:sz w:val="24"/>
                <w:szCs w:val="24"/>
                <w:u w:val="none"/>
                <w:lang w:val="en-US" w:eastAsia="zh-CN"/>
              </w:rPr>
              <w:t>4</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项目工程组成及建设内容</w:t>
            </w:r>
            <w:bookmarkEnd w:id="25"/>
          </w:p>
          <w:p w14:paraId="033BEA73">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本项目产品方案详见表2.2-2。</w:t>
            </w:r>
          </w:p>
          <w:p w14:paraId="101517AF">
            <w:pPr>
              <w:pStyle w:val="14"/>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sz w:val="24"/>
                <w:szCs w:val="24"/>
                <w:u w:val="none"/>
                <w:lang w:val="en-US" w:eastAsia="zh-CN"/>
              </w:rPr>
            </w:pPr>
            <w:r>
              <w:rPr>
                <w:rFonts w:hint="default" w:ascii="Times New Roman" w:hAnsi="Times New Roman" w:cs="Times New Roman"/>
                <w:b/>
                <w:bCs/>
                <w:sz w:val="24"/>
                <w:szCs w:val="24"/>
                <w:u w:val="none"/>
                <w:lang w:val="en-US" w:eastAsia="zh-CN"/>
              </w:rPr>
              <w:t>表2.2-2 项目主要产品方案</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2875"/>
              <w:gridCol w:w="4306"/>
            </w:tblGrid>
            <w:tr w14:paraId="66CEC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3" w:hRule="atLeast"/>
              </w:trPr>
              <w:tc>
                <w:tcPr>
                  <w:tcW w:w="834" w:type="pct"/>
                  <w:tcBorders>
                    <w:tl2br w:val="nil"/>
                    <w:tr2bl w:val="nil"/>
                  </w:tcBorders>
                  <w:vAlign w:val="center"/>
                </w:tcPr>
                <w:p w14:paraId="6D9F5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1667" w:type="pct"/>
                  <w:tcBorders>
                    <w:tl2br w:val="nil"/>
                    <w:tr2bl w:val="nil"/>
                  </w:tcBorders>
                  <w:vAlign w:val="center"/>
                </w:tcPr>
                <w:p w14:paraId="1FCE6C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产品名称</w:t>
                  </w:r>
                </w:p>
              </w:tc>
              <w:tc>
                <w:tcPr>
                  <w:tcW w:w="2497" w:type="pct"/>
                  <w:tcBorders>
                    <w:tl2br w:val="nil"/>
                    <w:tr2bl w:val="nil"/>
                  </w:tcBorders>
                  <w:vAlign w:val="center"/>
                </w:tcPr>
                <w:p w14:paraId="5F2A964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产量</w:t>
                  </w:r>
                </w:p>
              </w:tc>
            </w:tr>
            <w:tr w14:paraId="23CED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34" w:type="pct"/>
                  <w:tcBorders>
                    <w:tl2br w:val="nil"/>
                    <w:tr2bl w:val="nil"/>
                  </w:tcBorders>
                  <w:vAlign w:val="center"/>
                </w:tcPr>
                <w:p w14:paraId="3DC012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667" w:type="pct"/>
                  <w:tcBorders>
                    <w:tl2br w:val="nil"/>
                    <w:tr2bl w:val="nil"/>
                  </w:tcBorders>
                  <w:vAlign w:val="center"/>
                </w:tcPr>
                <w:p w14:paraId="599244B1">
                  <w:pPr>
                    <w:jc w:val="center"/>
                    <w:rPr>
                      <w:rFonts w:hint="default"/>
                      <w:szCs w:val="21"/>
                      <w:lang w:val="en-US" w:eastAsia="zh-CN"/>
                    </w:rPr>
                  </w:pPr>
                  <w:r>
                    <w:rPr>
                      <w:rFonts w:hint="eastAsia"/>
                      <w:szCs w:val="21"/>
                      <w:lang w:eastAsia="zh-CN"/>
                    </w:rPr>
                    <w:t>塑料包装膜</w:t>
                  </w:r>
                </w:p>
              </w:tc>
              <w:tc>
                <w:tcPr>
                  <w:tcW w:w="2497" w:type="pct"/>
                  <w:tcBorders>
                    <w:tl2br w:val="nil"/>
                    <w:tr2bl w:val="nil"/>
                  </w:tcBorders>
                  <w:vAlign w:val="center"/>
                </w:tcPr>
                <w:p w14:paraId="4FC23F92">
                  <w:pPr>
                    <w:jc w:val="center"/>
                    <w:rPr>
                      <w:rFonts w:hint="eastAsia" w:cs="Times New Roman"/>
                      <w:sz w:val="21"/>
                      <w:szCs w:val="21"/>
                      <w:vertAlign w:val="baseline"/>
                      <w:lang w:val="en-US" w:eastAsia="zh-CN"/>
                    </w:rPr>
                  </w:pPr>
                  <w:r>
                    <w:rPr>
                      <w:rFonts w:hint="eastAsia"/>
                      <w:szCs w:val="21"/>
                      <w:lang w:eastAsia="zh-CN"/>
                    </w:rPr>
                    <w:t>4100t/a</w:t>
                  </w:r>
                </w:p>
              </w:tc>
            </w:tr>
            <w:tr w14:paraId="6C433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34" w:type="pct"/>
                  <w:tcBorders>
                    <w:tl2br w:val="nil"/>
                    <w:tr2bl w:val="nil"/>
                  </w:tcBorders>
                  <w:vAlign w:val="center"/>
                </w:tcPr>
                <w:p w14:paraId="5AE434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bookmarkStart w:id="26" w:name="_Toc21784"/>
                  <w:r>
                    <w:rPr>
                      <w:rFonts w:hint="eastAsia" w:cs="Times New Roman"/>
                      <w:sz w:val="21"/>
                      <w:szCs w:val="21"/>
                      <w:vertAlign w:val="baseline"/>
                      <w:lang w:val="en-US" w:eastAsia="zh-CN"/>
                    </w:rPr>
                    <w:t>2</w:t>
                  </w:r>
                </w:p>
              </w:tc>
              <w:tc>
                <w:tcPr>
                  <w:tcW w:w="1667" w:type="pct"/>
                  <w:tcBorders>
                    <w:tl2br w:val="nil"/>
                    <w:tr2bl w:val="nil"/>
                  </w:tcBorders>
                  <w:vAlign w:val="center"/>
                </w:tcPr>
                <w:p w14:paraId="484690B2">
                  <w:pPr>
                    <w:jc w:val="center"/>
                    <w:rPr>
                      <w:rFonts w:hint="default"/>
                      <w:szCs w:val="21"/>
                      <w:lang w:val="en-US" w:eastAsia="zh-CN"/>
                    </w:rPr>
                  </w:pPr>
                  <w:r>
                    <w:rPr>
                      <w:rFonts w:hint="eastAsia"/>
                      <w:szCs w:val="21"/>
                      <w:lang w:eastAsia="zh-CN"/>
                    </w:rPr>
                    <w:t>塑料包装袋</w:t>
                  </w:r>
                </w:p>
              </w:tc>
              <w:tc>
                <w:tcPr>
                  <w:tcW w:w="2497" w:type="pct"/>
                  <w:tcBorders>
                    <w:tl2br w:val="nil"/>
                    <w:tr2bl w:val="nil"/>
                  </w:tcBorders>
                  <w:vAlign w:val="center"/>
                </w:tcPr>
                <w:p w14:paraId="59635D2D">
                  <w:pPr>
                    <w:jc w:val="center"/>
                    <w:rPr>
                      <w:rFonts w:hint="eastAsia" w:cs="Times New Roman"/>
                      <w:sz w:val="21"/>
                      <w:szCs w:val="21"/>
                      <w:vertAlign w:val="baseline"/>
                      <w:lang w:val="en-US" w:eastAsia="zh-CN"/>
                    </w:rPr>
                  </w:pPr>
                  <w:r>
                    <w:rPr>
                      <w:rFonts w:hint="eastAsia"/>
                      <w:szCs w:val="21"/>
                      <w:lang w:eastAsia="zh-CN"/>
                    </w:rPr>
                    <w:t>1700t/a</w:t>
                  </w:r>
                </w:p>
              </w:tc>
            </w:tr>
          </w:tbl>
          <w:p w14:paraId="14C1D1C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5</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主要生产设备</w:t>
            </w:r>
            <w:bookmarkEnd w:id="26"/>
          </w:p>
          <w:p w14:paraId="14CE891C">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u w:val="none"/>
                <w:lang w:val="en-US" w:eastAsia="zh-CN"/>
              </w:rPr>
            </w:pPr>
            <w:r>
              <w:rPr>
                <w:rFonts w:hint="eastAsia" w:ascii="Times New Roman" w:hAnsi="Times New Roman" w:cs="Times New Roman"/>
                <w:b w:val="0"/>
                <w:bCs w:val="0"/>
                <w:color w:val="auto"/>
                <w:sz w:val="24"/>
                <w:szCs w:val="24"/>
                <w:u w:val="none"/>
                <w:lang w:val="en-US" w:eastAsia="zh-CN"/>
              </w:rPr>
              <w:t>项目主要生产设备一览表详见表2.2-3。</w:t>
            </w:r>
          </w:p>
          <w:p w14:paraId="5F46C35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表2.2-3 主要生产设备一览表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914"/>
              <w:gridCol w:w="3167"/>
              <w:gridCol w:w="807"/>
              <w:gridCol w:w="745"/>
              <w:gridCol w:w="1238"/>
            </w:tblGrid>
            <w:tr w14:paraId="19264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0" w:hRule="atLeast"/>
              </w:trPr>
              <w:tc>
                <w:tcPr>
                  <w:tcW w:w="432" w:type="pct"/>
                  <w:tcBorders>
                    <w:tl2br w:val="nil"/>
                    <w:tr2bl w:val="nil"/>
                  </w:tcBorders>
                  <w:vAlign w:val="center"/>
                </w:tcPr>
                <w:p w14:paraId="4041E3F5">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序号</w:t>
                  </w:r>
                </w:p>
              </w:tc>
              <w:tc>
                <w:tcPr>
                  <w:tcW w:w="1110" w:type="pct"/>
                  <w:tcBorders>
                    <w:tl2br w:val="nil"/>
                    <w:tr2bl w:val="nil"/>
                  </w:tcBorders>
                  <w:vAlign w:val="center"/>
                </w:tcPr>
                <w:p w14:paraId="7445B91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设备名称</w:t>
                  </w:r>
                </w:p>
              </w:tc>
              <w:tc>
                <w:tcPr>
                  <w:tcW w:w="1837" w:type="pct"/>
                  <w:tcBorders>
                    <w:tl2br w:val="nil"/>
                    <w:tr2bl w:val="nil"/>
                  </w:tcBorders>
                  <w:vAlign w:val="center"/>
                </w:tcPr>
                <w:p w14:paraId="258C3D6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功率/型号</w:t>
                  </w:r>
                </w:p>
              </w:tc>
              <w:tc>
                <w:tcPr>
                  <w:tcW w:w="468" w:type="pct"/>
                  <w:tcBorders>
                    <w:tl2br w:val="nil"/>
                    <w:tr2bl w:val="nil"/>
                  </w:tcBorders>
                  <w:vAlign w:val="center"/>
                </w:tcPr>
                <w:p w14:paraId="6E51A7B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数量</w:t>
                  </w:r>
                </w:p>
              </w:tc>
              <w:tc>
                <w:tcPr>
                  <w:tcW w:w="432" w:type="pct"/>
                  <w:tcBorders>
                    <w:tl2br w:val="nil"/>
                    <w:tr2bl w:val="nil"/>
                  </w:tcBorders>
                  <w:vAlign w:val="center"/>
                </w:tcPr>
                <w:p w14:paraId="164B155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单位</w:t>
                  </w:r>
                </w:p>
              </w:tc>
              <w:tc>
                <w:tcPr>
                  <w:tcW w:w="718" w:type="pct"/>
                  <w:tcBorders>
                    <w:tl2br w:val="nil"/>
                    <w:tr2bl w:val="nil"/>
                  </w:tcBorders>
                  <w:vAlign w:val="center"/>
                </w:tcPr>
                <w:p w14:paraId="71977B7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所用工段</w:t>
                  </w:r>
                </w:p>
              </w:tc>
            </w:tr>
            <w:tr w14:paraId="0905F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2" w:type="pct"/>
                  <w:tcBorders>
                    <w:tl2br w:val="nil"/>
                    <w:tr2bl w:val="nil"/>
                  </w:tcBorders>
                  <w:vAlign w:val="center"/>
                </w:tcPr>
                <w:p w14:paraId="74EDD49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w:t>
                  </w:r>
                </w:p>
              </w:tc>
              <w:tc>
                <w:tcPr>
                  <w:tcW w:w="1913" w:type="dxa"/>
                  <w:tcBorders>
                    <w:tl2br w:val="nil"/>
                    <w:tr2bl w:val="nil"/>
                  </w:tcBorders>
                  <w:shd w:val="clear" w:color="auto" w:fill="auto"/>
                  <w:vAlign w:val="center"/>
                </w:tcPr>
                <w:p w14:paraId="450E7B2C">
                  <w:pPr>
                    <w:jc w:val="center"/>
                    <w:rPr>
                      <w:rFonts w:hint="default" w:ascii="Times New Roman" w:hAnsi="Times New Roman" w:eastAsia="宋体" w:cs="Times New Roman"/>
                      <w:color w:val="auto"/>
                      <w:kern w:val="2"/>
                      <w:sz w:val="21"/>
                      <w:szCs w:val="21"/>
                      <w:u w:val="none"/>
                      <w:vertAlign w:val="baseline"/>
                      <w:lang w:val="en-US" w:eastAsia="zh-CN" w:bidi="ar-SA"/>
                    </w:rPr>
                  </w:pPr>
                  <w:r>
                    <w:rPr>
                      <w:rFonts w:hint="eastAsia"/>
                      <w:color w:val="000000"/>
                      <w:kern w:val="0"/>
                      <w:szCs w:val="21"/>
                    </w:rPr>
                    <w:t>吹PE膜机</w:t>
                  </w:r>
                </w:p>
              </w:tc>
              <w:tc>
                <w:tcPr>
                  <w:tcW w:w="1837" w:type="pct"/>
                  <w:tcBorders>
                    <w:tl2br w:val="nil"/>
                    <w:tr2bl w:val="nil"/>
                  </w:tcBorders>
                  <w:shd w:val="clear" w:color="auto" w:fill="auto"/>
                  <w:vAlign w:val="center"/>
                </w:tcPr>
                <w:p w14:paraId="61FAD6FD">
                  <w:pPr>
                    <w:jc w:val="center"/>
                    <w:rPr>
                      <w:rFonts w:hint="eastAsia" w:ascii="Times New Roman" w:hAnsi="Times New Roman" w:eastAsia="宋体" w:cs="Times New Roman"/>
                      <w:kern w:val="2"/>
                      <w:sz w:val="21"/>
                      <w:szCs w:val="21"/>
                      <w:lang w:val="en-US" w:eastAsia="zh-CN" w:bidi="ar-SA"/>
                    </w:rPr>
                  </w:pPr>
                  <w:r>
                    <w:rPr>
                      <w:rFonts w:hint="eastAsia"/>
                      <w:sz w:val="21"/>
                      <w:szCs w:val="21"/>
                      <w:lang w:eastAsia="en-US"/>
                    </w:rPr>
                    <w:t>2000型</w:t>
                  </w:r>
                </w:p>
              </w:tc>
              <w:tc>
                <w:tcPr>
                  <w:tcW w:w="468" w:type="pct"/>
                  <w:tcBorders>
                    <w:tl2br w:val="nil"/>
                    <w:tr2bl w:val="nil"/>
                  </w:tcBorders>
                  <w:shd w:val="clear" w:color="auto" w:fill="auto"/>
                  <w:vAlign w:val="center"/>
                </w:tcPr>
                <w:p w14:paraId="2D8F9A1A">
                  <w:pPr>
                    <w:spacing w:line="240" w:lineRule="atLeast"/>
                    <w:jc w:val="center"/>
                    <w:rPr>
                      <w:rFonts w:hint="eastAsia" w:ascii="Times New Roman" w:hAnsi="Times New Roman" w:eastAsia="宋体" w:cs="Times New Roman"/>
                      <w:color w:val="auto"/>
                      <w:kern w:val="2"/>
                      <w:sz w:val="21"/>
                      <w:szCs w:val="21"/>
                      <w:u w:val="none"/>
                      <w:vertAlign w:val="baseline"/>
                      <w:lang w:val="en-US" w:eastAsia="zh-CN" w:bidi="ar-SA"/>
                    </w:rPr>
                  </w:pPr>
                  <w:r>
                    <w:rPr>
                      <w:rFonts w:hint="eastAsia"/>
                      <w:bCs/>
                      <w:color w:val="000000"/>
                      <w:sz w:val="21"/>
                      <w:szCs w:val="21"/>
                    </w:rPr>
                    <w:t>2</w:t>
                  </w:r>
                </w:p>
              </w:tc>
              <w:tc>
                <w:tcPr>
                  <w:tcW w:w="432" w:type="pct"/>
                  <w:tcBorders>
                    <w:tl2br w:val="nil"/>
                    <w:tr2bl w:val="nil"/>
                  </w:tcBorders>
                  <w:vAlign w:val="center"/>
                </w:tcPr>
                <w:p w14:paraId="5F9C651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vAlign w:val="center"/>
                </w:tcPr>
                <w:p w14:paraId="213D1C7A">
                  <w:pPr>
                    <w:jc w:val="center"/>
                    <w:rPr>
                      <w:rFonts w:hint="eastAsia" w:ascii="Times New Roman" w:hAnsi="Times New Roman" w:eastAsia="宋体" w:cs="Times New Roman"/>
                      <w:color w:val="auto"/>
                      <w:sz w:val="21"/>
                      <w:szCs w:val="21"/>
                      <w:u w:val="none"/>
                      <w:vertAlign w:val="baseline"/>
                      <w:lang w:val="en-US" w:eastAsia="zh-CN"/>
                    </w:rPr>
                  </w:pPr>
                  <w:r>
                    <w:rPr>
                      <w:rFonts w:hint="eastAsia"/>
                      <w:bCs/>
                      <w:sz w:val="21"/>
                    </w:rPr>
                    <w:t>吹膜</w:t>
                  </w:r>
                </w:p>
              </w:tc>
            </w:tr>
            <w:tr w14:paraId="3FB2F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14:paraId="51BC535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w:t>
                  </w:r>
                </w:p>
              </w:tc>
              <w:tc>
                <w:tcPr>
                  <w:tcW w:w="1913" w:type="dxa"/>
                  <w:tcBorders>
                    <w:tl2br w:val="nil"/>
                    <w:tr2bl w:val="nil"/>
                  </w:tcBorders>
                  <w:shd w:val="clear" w:color="auto" w:fill="auto"/>
                  <w:vAlign w:val="center"/>
                </w:tcPr>
                <w:p w14:paraId="00FDB259">
                  <w:pPr>
                    <w:jc w:val="center"/>
                    <w:rPr>
                      <w:rFonts w:hint="eastAsia" w:ascii="Times New Roman" w:hAnsi="Times New Roman" w:eastAsia="宋体" w:cs="Times New Roman"/>
                      <w:color w:val="auto"/>
                      <w:kern w:val="2"/>
                      <w:sz w:val="21"/>
                      <w:szCs w:val="21"/>
                      <w:u w:val="none"/>
                      <w:vertAlign w:val="baseline"/>
                      <w:lang w:val="en-US" w:eastAsia="zh-CN" w:bidi="ar-SA"/>
                    </w:rPr>
                  </w:pPr>
                  <w:r>
                    <w:rPr>
                      <w:rFonts w:hint="eastAsia"/>
                      <w:color w:val="000000"/>
                      <w:kern w:val="0"/>
                      <w:szCs w:val="21"/>
                    </w:rPr>
                    <w:t>印刷机</w:t>
                  </w:r>
                </w:p>
              </w:tc>
              <w:tc>
                <w:tcPr>
                  <w:tcW w:w="1837" w:type="pct"/>
                  <w:tcBorders>
                    <w:tl2br w:val="nil"/>
                    <w:tr2bl w:val="nil"/>
                  </w:tcBorders>
                  <w:shd w:val="clear" w:color="auto" w:fill="auto"/>
                  <w:vAlign w:val="center"/>
                </w:tcPr>
                <w:p w14:paraId="35039AD3">
                  <w:pPr>
                    <w:jc w:val="center"/>
                    <w:rPr>
                      <w:rFonts w:hint="eastAsia" w:ascii="Times New Roman" w:hAnsi="Times New Roman" w:eastAsia="宋体" w:cs="Times New Roman"/>
                      <w:kern w:val="2"/>
                      <w:sz w:val="21"/>
                      <w:szCs w:val="21"/>
                      <w:lang w:val="en-US" w:eastAsia="zh-CN" w:bidi="ar-SA"/>
                    </w:rPr>
                  </w:pPr>
                  <w:r>
                    <w:rPr>
                      <w:rFonts w:hint="eastAsia"/>
                      <w:sz w:val="21"/>
                      <w:szCs w:val="21"/>
                    </w:rPr>
                    <w:t>1250型</w:t>
                  </w:r>
                </w:p>
              </w:tc>
              <w:tc>
                <w:tcPr>
                  <w:tcW w:w="468" w:type="pct"/>
                  <w:tcBorders>
                    <w:tl2br w:val="nil"/>
                    <w:tr2bl w:val="nil"/>
                  </w:tcBorders>
                  <w:shd w:val="clear" w:color="auto" w:fill="auto"/>
                  <w:vAlign w:val="center"/>
                </w:tcPr>
                <w:p w14:paraId="1B6261B7">
                  <w:pPr>
                    <w:spacing w:line="240" w:lineRule="atLeast"/>
                    <w:jc w:val="center"/>
                    <w:rPr>
                      <w:rFonts w:hint="eastAsia" w:ascii="Times New Roman" w:hAnsi="Times New Roman" w:eastAsia="宋体" w:cs="Times New Roman"/>
                      <w:color w:val="auto"/>
                      <w:kern w:val="2"/>
                      <w:sz w:val="21"/>
                      <w:szCs w:val="21"/>
                      <w:u w:val="none"/>
                      <w:vertAlign w:val="baseline"/>
                      <w:lang w:val="en-US" w:eastAsia="zh-CN" w:bidi="ar-SA"/>
                    </w:rPr>
                  </w:pPr>
                  <w:r>
                    <w:rPr>
                      <w:rFonts w:hint="eastAsia"/>
                      <w:bCs/>
                      <w:color w:val="000000"/>
                      <w:sz w:val="21"/>
                      <w:szCs w:val="21"/>
                    </w:rPr>
                    <w:t>4</w:t>
                  </w:r>
                </w:p>
              </w:tc>
              <w:tc>
                <w:tcPr>
                  <w:tcW w:w="432" w:type="pct"/>
                  <w:tcBorders>
                    <w:tl2br w:val="nil"/>
                    <w:tr2bl w:val="nil"/>
                  </w:tcBorders>
                  <w:vAlign w:val="center"/>
                </w:tcPr>
                <w:p w14:paraId="3492F45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vAlign w:val="center"/>
                </w:tcPr>
                <w:p w14:paraId="2E3D6F07">
                  <w:pPr>
                    <w:jc w:val="center"/>
                    <w:rPr>
                      <w:rFonts w:hint="eastAsia" w:ascii="Times New Roman" w:hAnsi="Times New Roman" w:eastAsia="宋体" w:cs="Times New Roman"/>
                      <w:color w:val="auto"/>
                      <w:sz w:val="21"/>
                      <w:szCs w:val="21"/>
                      <w:u w:val="none"/>
                      <w:vertAlign w:val="baseline"/>
                      <w:lang w:val="en-US" w:eastAsia="zh-CN"/>
                    </w:rPr>
                  </w:pPr>
                  <w:r>
                    <w:rPr>
                      <w:rFonts w:hint="eastAsia"/>
                      <w:bCs/>
                      <w:sz w:val="21"/>
                    </w:rPr>
                    <w:t>印刷</w:t>
                  </w:r>
                </w:p>
              </w:tc>
            </w:tr>
            <w:tr w14:paraId="1E940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14:paraId="0689247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w:t>
                  </w:r>
                </w:p>
              </w:tc>
              <w:tc>
                <w:tcPr>
                  <w:tcW w:w="1913" w:type="dxa"/>
                  <w:tcBorders>
                    <w:tl2br w:val="nil"/>
                    <w:tr2bl w:val="nil"/>
                  </w:tcBorders>
                  <w:shd w:val="clear" w:color="auto" w:fill="auto"/>
                  <w:vAlign w:val="center"/>
                </w:tcPr>
                <w:p w14:paraId="6FE5830F">
                  <w:pPr>
                    <w:jc w:val="center"/>
                    <w:rPr>
                      <w:rFonts w:hint="default" w:ascii="Times New Roman" w:hAnsi="Times New Roman" w:eastAsia="宋体" w:cs="Times New Roman"/>
                      <w:kern w:val="2"/>
                      <w:sz w:val="21"/>
                      <w:szCs w:val="21"/>
                      <w:u w:val="none"/>
                      <w:vertAlign w:val="baseline"/>
                      <w:lang w:val="en-US" w:eastAsia="zh-CN" w:bidi="ar-SA"/>
                    </w:rPr>
                  </w:pPr>
                  <w:r>
                    <w:rPr>
                      <w:rFonts w:hint="eastAsia"/>
                      <w:color w:val="000000"/>
                      <w:kern w:val="0"/>
                      <w:szCs w:val="21"/>
                    </w:rPr>
                    <w:t>无溶剂复合机</w:t>
                  </w:r>
                </w:p>
              </w:tc>
              <w:tc>
                <w:tcPr>
                  <w:tcW w:w="1837" w:type="pct"/>
                  <w:tcBorders>
                    <w:tl2br w:val="nil"/>
                    <w:tr2bl w:val="nil"/>
                  </w:tcBorders>
                  <w:shd w:val="clear" w:color="auto" w:fill="auto"/>
                  <w:vAlign w:val="center"/>
                </w:tcPr>
                <w:p w14:paraId="210C05D2">
                  <w:pPr>
                    <w:jc w:val="center"/>
                    <w:rPr>
                      <w:rFonts w:hint="eastAsia" w:ascii="Times New Roman" w:hAnsi="Times New Roman" w:eastAsia="宋体" w:cs="Times New Roman"/>
                      <w:kern w:val="2"/>
                      <w:sz w:val="21"/>
                      <w:szCs w:val="21"/>
                      <w:lang w:val="en-US" w:eastAsia="zh-CN" w:bidi="ar-SA"/>
                    </w:rPr>
                  </w:pPr>
                  <w:r>
                    <w:rPr>
                      <w:rFonts w:hint="eastAsia"/>
                      <w:sz w:val="21"/>
                      <w:szCs w:val="21"/>
                      <w:lang w:eastAsia="en-US"/>
                    </w:rPr>
                    <w:t>1300型</w:t>
                  </w:r>
                </w:p>
              </w:tc>
              <w:tc>
                <w:tcPr>
                  <w:tcW w:w="468" w:type="pct"/>
                  <w:tcBorders>
                    <w:tl2br w:val="nil"/>
                    <w:tr2bl w:val="nil"/>
                  </w:tcBorders>
                  <w:shd w:val="clear" w:color="auto" w:fill="auto"/>
                  <w:vAlign w:val="center"/>
                </w:tcPr>
                <w:p w14:paraId="58C95E19">
                  <w:pPr>
                    <w:spacing w:line="240" w:lineRule="atLeast"/>
                    <w:jc w:val="center"/>
                    <w:rPr>
                      <w:rFonts w:hint="default" w:ascii="Times New Roman" w:hAnsi="Times New Roman" w:eastAsia="宋体" w:cs="Times New Roman"/>
                      <w:color w:val="auto"/>
                      <w:kern w:val="2"/>
                      <w:sz w:val="21"/>
                      <w:szCs w:val="21"/>
                      <w:u w:val="none"/>
                      <w:vertAlign w:val="baseline"/>
                      <w:lang w:val="en-US" w:eastAsia="zh-CN" w:bidi="ar-SA"/>
                    </w:rPr>
                  </w:pPr>
                  <w:r>
                    <w:rPr>
                      <w:bCs/>
                      <w:color w:val="000000"/>
                      <w:sz w:val="21"/>
                      <w:szCs w:val="21"/>
                    </w:rPr>
                    <w:t>4</w:t>
                  </w:r>
                </w:p>
              </w:tc>
              <w:tc>
                <w:tcPr>
                  <w:tcW w:w="432" w:type="pct"/>
                  <w:tcBorders>
                    <w:tl2br w:val="nil"/>
                    <w:tr2bl w:val="nil"/>
                  </w:tcBorders>
                  <w:vAlign w:val="center"/>
                </w:tcPr>
                <w:p w14:paraId="64FC491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vAlign w:val="center"/>
                </w:tcPr>
                <w:p w14:paraId="5B8A1E9F">
                  <w:pPr>
                    <w:jc w:val="center"/>
                    <w:rPr>
                      <w:rFonts w:hint="eastAsia" w:ascii="Times New Roman" w:hAnsi="Times New Roman" w:eastAsia="宋体" w:cs="Times New Roman"/>
                      <w:color w:val="auto"/>
                      <w:sz w:val="21"/>
                      <w:szCs w:val="21"/>
                      <w:u w:val="none"/>
                      <w:vertAlign w:val="baseline"/>
                      <w:lang w:val="en-US" w:eastAsia="zh-CN"/>
                    </w:rPr>
                  </w:pPr>
                  <w:r>
                    <w:rPr>
                      <w:rFonts w:hint="eastAsia"/>
                      <w:bCs/>
                      <w:sz w:val="21"/>
                    </w:rPr>
                    <w:t>复合</w:t>
                  </w:r>
                </w:p>
              </w:tc>
            </w:tr>
            <w:tr w14:paraId="4CC70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14:paraId="062E7353">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4</w:t>
                  </w:r>
                </w:p>
              </w:tc>
              <w:tc>
                <w:tcPr>
                  <w:tcW w:w="1913" w:type="dxa"/>
                  <w:tcBorders>
                    <w:tl2br w:val="nil"/>
                    <w:tr2bl w:val="nil"/>
                  </w:tcBorders>
                  <w:shd w:val="clear" w:color="auto" w:fill="auto"/>
                  <w:vAlign w:val="center"/>
                </w:tcPr>
                <w:p w14:paraId="227C8410">
                  <w:pPr>
                    <w:jc w:val="center"/>
                    <w:rPr>
                      <w:rFonts w:hint="default" w:ascii="Times New Roman" w:hAnsi="Times New Roman" w:eastAsia="宋体" w:cs="Times New Roman"/>
                      <w:kern w:val="2"/>
                      <w:sz w:val="21"/>
                      <w:szCs w:val="21"/>
                      <w:u w:val="none"/>
                      <w:vertAlign w:val="baseline"/>
                      <w:lang w:val="en-US" w:eastAsia="zh-CN" w:bidi="ar-SA"/>
                    </w:rPr>
                  </w:pPr>
                  <w:r>
                    <w:rPr>
                      <w:rFonts w:hint="eastAsia"/>
                      <w:color w:val="000000"/>
                      <w:kern w:val="0"/>
                      <w:szCs w:val="21"/>
                    </w:rPr>
                    <w:t>干式复合机</w:t>
                  </w:r>
                </w:p>
              </w:tc>
              <w:tc>
                <w:tcPr>
                  <w:tcW w:w="1837" w:type="pct"/>
                  <w:tcBorders>
                    <w:tl2br w:val="nil"/>
                    <w:tr2bl w:val="nil"/>
                  </w:tcBorders>
                  <w:shd w:val="clear" w:color="auto" w:fill="auto"/>
                  <w:vAlign w:val="center"/>
                </w:tcPr>
                <w:p w14:paraId="39BBE1F4">
                  <w:pPr>
                    <w:jc w:val="center"/>
                    <w:rPr>
                      <w:rFonts w:hint="default" w:ascii="Times New Roman" w:hAnsi="Times New Roman" w:eastAsia="宋体" w:cs="Times New Roman"/>
                      <w:kern w:val="2"/>
                      <w:sz w:val="21"/>
                      <w:szCs w:val="21"/>
                      <w:lang w:val="en-US" w:eastAsia="zh-CN" w:bidi="ar-SA"/>
                    </w:rPr>
                  </w:pPr>
                  <w:r>
                    <w:rPr>
                      <w:rFonts w:hint="eastAsia"/>
                      <w:sz w:val="21"/>
                      <w:szCs w:val="21"/>
                    </w:rPr>
                    <w:t>1250型</w:t>
                  </w:r>
                </w:p>
              </w:tc>
              <w:tc>
                <w:tcPr>
                  <w:tcW w:w="468" w:type="pct"/>
                  <w:tcBorders>
                    <w:tl2br w:val="nil"/>
                    <w:tr2bl w:val="nil"/>
                  </w:tcBorders>
                  <w:shd w:val="clear" w:color="auto" w:fill="auto"/>
                  <w:vAlign w:val="center"/>
                </w:tcPr>
                <w:p w14:paraId="34ADB8C7">
                  <w:pPr>
                    <w:spacing w:line="240" w:lineRule="atLeast"/>
                    <w:jc w:val="center"/>
                    <w:rPr>
                      <w:rFonts w:hint="eastAsia" w:ascii="Times New Roman" w:hAnsi="Times New Roman" w:eastAsia="宋体" w:cs="Times New Roman"/>
                      <w:kern w:val="2"/>
                      <w:sz w:val="21"/>
                      <w:szCs w:val="21"/>
                      <w:u w:val="none"/>
                      <w:vertAlign w:val="baseline"/>
                      <w:lang w:val="en-US" w:eastAsia="zh-CN" w:bidi="ar-SA"/>
                    </w:rPr>
                  </w:pPr>
                  <w:r>
                    <w:rPr>
                      <w:rFonts w:hint="eastAsia"/>
                      <w:bCs/>
                      <w:color w:val="000000"/>
                      <w:sz w:val="21"/>
                      <w:szCs w:val="21"/>
                    </w:rPr>
                    <w:t>1</w:t>
                  </w:r>
                </w:p>
              </w:tc>
              <w:tc>
                <w:tcPr>
                  <w:tcW w:w="432" w:type="pct"/>
                  <w:tcBorders>
                    <w:tl2br w:val="nil"/>
                    <w:tr2bl w:val="nil"/>
                  </w:tcBorders>
                  <w:vAlign w:val="center"/>
                </w:tcPr>
                <w:p w14:paraId="217E4EB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vAlign w:val="center"/>
                </w:tcPr>
                <w:p w14:paraId="3063B739">
                  <w:pPr>
                    <w:jc w:val="center"/>
                    <w:rPr>
                      <w:rFonts w:hint="default" w:ascii="Times New Roman" w:hAnsi="Times New Roman" w:eastAsia="宋体" w:cs="Times New Roman"/>
                      <w:sz w:val="21"/>
                      <w:szCs w:val="21"/>
                      <w:u w:val="none"/>
                      <w:vertAlign w:val="baseline"/>
                      <w:lang w:val="en-US" w:eastAsia="zh-CN"/>
                    </w:rPr>
                  </w:pPr>
                  <w:r>
                    <w:rPr>
                      <w:rFonts w:hint="eastAsia"/>
                      <w:bCs/>
                      <w:sz w:val="21"/>
                    </w:rPr>
                    <w:t>复合</w:t>
                  </w:r>
                </w:p>
              </w:tc>
            </w:tr>
            <w:tr w14:paraId="41BB2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14:paraId="59C005C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5</w:t>
                  </w:r>
                </w:p>
              </w:tc>
              <w:tc>
                <w:tcPr>
                  <w:tcW w:w="1913" w:type="dxa"/>
                  <w:tcBorders>
                    <w:tl2br w:val="nil"/>
                    <w:tr2bl w:val="nil"/>
                  </w:tcBorders>
                  <w:shd w:val="clear" w:color="auto" w:fill="auto"/>
                  <w:vAlign w:val="center"/>
                </w:tcPr>
                <w:p w14:paraId="3AA5899E">
                  <w:pPr>
                    <w:jc w:val="center"/>
                    <w:rPr>
                      <w:rFonts w:hint="default" w:ascii="Times New Roman" w:hAnsi="Times New Roman" w:eastAsia="宋体" w:cs="Times New Roman"/>
                      <w:kern w:val="2"/>
                      <w:sz w:val="21"/>
                      <w:szCs w:val="21"/>
                      <w:u w:val="none"/>
                      <w:vertAlign w:val="baseline"/>
                      <w:lang w:val="en-US" w:eastAsia="zh-CN" w:bidi="ar-SA"/>
                    </w:rPr>
                  </w:pPr>
                  <w:r>
                    <w:rPr>
                      <w:rFonts w:hint="eastAsia"/>
                      <w:color w:val="000000"/>
                      <w:kern w:val="0"/>
                      <w:szCs w:val="21"/>
                    </w:rPr>
                    <w:t>高速分切机</w:t>
                  </w:r>
                </w:p>
              </w:tc>
              <w:tc>
                <w:tcPr>
                  <w:tcW w:w="1837" w:type="pct"/>
                  <w:tcBorders>
                    <w:tl2br w:val="nil"/>
                    <w:tr2bl w:val="nil"/>
                  </w:tcBorders>
                  <w:shd w:val="clear" w:color="auto" w:fill="auto"/>
                  <w:vAlign w:val="center"/>
                </w:tcPr>
                <w:p w14:paraId="0D1AC460">
                  <w:pPr>
                    <w:jc w:val="center"/>
                    <w:rPr>
                      <w:rFonts w:hint="default" w:ascii="Times New Roman" w:hAnsi="Times New Roman" w:eastAsia="宋体" w:cs="Times New Roman"/>
                      <w:kern w:val="2"/>
                      <w:sz w:val="21"/>
                      <w:szCs w:val="21"/>
                      <w:lang w:val="en-US" w:eastAsia="zh-CN" w:bidi="ar-SA"/>
                    </w:rPr>
                  </w:pPr>
                  <w:r>
                    <w:rPr>
                      <w:rFonts w:hint="eastAsia"/>
                      <w:sz w:val="21"/>
                      <w:szCs w:val="21"/>
                    </w:rPr>
                    <w:t>1300型</w:t>
                  </w:r>
                </w:p>
              </w:tc>
              <w:tc>
                <w:tcPr>
                  <w:tcW w:w="468" w:type="pct"/>
                  <w:tcBorders>
                    <w:tl2br w:val="nil"/>
                    <w:tr2bl w:val="nil"/>
                  </w:tcBorders>
                  <w:shd w:val="clear" w:color="auto" w:fill="auto"/>
                  <w:vAlign w:val="center"/>
                </w:tcPr>
                <w:p w14:paraId="13EE3B5E">
                  <w:pPr>
                    <w:spacing w:line="240" w:lineRule="atLeast"/>
                    <w:jc w:val="center"/>
                    <w:rPr>
                      <w:rFonts w:hint="eastAsia" w:ascii="Times New Roman" w:hAnsi="Times New Roman" w:eastAsia="宋体" w:cs="Times New Roman"/>
                      <w:kern w:val="2"/>
                      <w:sz w:val="21"/>
                      <w:szCs w:val="21"/>
                      <w:u w:val="none"/>
                      <w:vertAlign w:val="baseline"/>
                      <w:lang w:val="en-US" w:eastAsia="zh-CN" w:bidi="ar-SA"/>
                    </w:rPr>
                  </w:pPr>
                  <w:r>
                    <w:rPr>
                      <w:rFonts w:hint="eastAsia"/>
                      <w:bCs/>
                      <w:color w:val="000000"/>
                      <w:sz w:val="21"/>
                      <w:szCs w:val="21"/>
                    </w:rPr>
                    <w:t>4</w:t>
                  </w:r>
                </w:p>
              </w:tc>
              <w:tc>
                <w:tcPr>
                  <w:tcW w:w="432" w:type="pct"/>
                  <w:tcBorders>
                    <w:tl2br w:val="nil"/>
                    <w:tr2bl w:val="nil"/>
                  </w:tcBorders>
                  <w:vAlign w:val="center"/>
                </w:tcPr>
                <w:p w14:paraId="6888D1A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vAlign w:val="center"/>
                </w:tcPr>
                <w:p w14:paraId="43EC570F">
                  <w:pPr>
                    <w:jc w:val="center"/>
                    <w:rPr>
                      <w:rFonts w:hint="default" w:ascii="Times New Roman" w:hAnsi="Times New Roman" w:eastAsia="宋体" w:cs="Times New Roman"/>
                      <w:sz w:val="21"/>
                      <w:szCs w:val="21"/>
                      <w:u w:val="none"/>
                      <w:vertAlign w:val="baseline"/>
                      <w:lang w:val="en-US" w:eastAsia="zh-CN"/>
                    </w:rPr>
                  </w:pPr>
                  <w:r>
                    <w:rPr>
                      <w:rFonts w:hint="eastAsia"/>
                      <w:bCs/>
                      <w:sz w:val="21"/>
                    </w:rPr>
                    <w:t>分切</w:t>
                  </w:r>
                </w:p>
              </w:tc>
            </w:tr>
            <w:tr w14:paraId="2BBEB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14:paraId="6A088D73">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6</w:t>
                  </w:r>
                </w:p>
              </w:tc>
              <w:tc>
                <w:tcPr>
                  <w:tcW w:w="1913" w:type="dxa"/>
                  <w:tcBorders>
                    <w:tl2br w:val="nil"/>
                    <w:tr2bl w:val="nil"/>
                  </w:tcBorders>
                  <w:shd w:val="clear" w:color="auto" w:fill="auto"/>
                  <w:vAlign w:val="center"/>
                </w:tcPr>
                <w:p w14:paraId="79AC11D4">
                  <w:pPr>
                    <w:jc w:val="center"/>
                    <w:rPr>
                      <w:rFonts w:hint="default" w:ascii="Times New Roman" w:hAnsi="Times New Roman" w:eastAsia="宋体" w:cs="Times New Roman"/>
                      <w:kern w:val="2"/>
                      <w:sz w:val="21"/>
                      <w:szCs w:val="21"/>
                      <w:u w:val="none"/>
                      <w:vertAlign w:val="baseline"/>
                      <w:lang w:val="en-US" w:eastAsia="zh-CN" w:bidi="ar-SA"/>
                    </w:rPr>
                  </w:pPr>
                  <w:r>
                    <w:rPr>
                      <w:rFonts w:hint="eastAsia"/>
                      <w:color w:val="000000"/>
                      <w:kern w:val="0"/>
                      <w:szCs w:val="21"/>
                    </w:rPr>
                    <w:t>检品机</w:t>
                  </w:r>
                </w:p>
              </w:tc>
              <w:tc>
                <w:tcPr>
                  <w:tcW w:w="1837" w:type="pct"/>
                  <w:tcBorders>
                    <w:tl2br w:val="nil"/>
                    <w:tr2bl w:val="nil"/>
                  </w:tcBorders>
                  <w:shd w:val="clear" w:color="auto" w:fill="auto"/>
                  <w:vAlign w:val="center"/>
                </w:tcPr>
                <w:p w14:paraId="41E0CFA6">
                  <w:pPr>
                    <w:jc w:val="center"/>
                    <w:rPr>
                      <w:rFonts w:hint="default" w:ascii="Times New Roman" w:hAnsi="Times New Roman" w:eastAsia="宋体" w:cs="Times New Roman"/>
                      <w:spacing w:val="2"/>
                      <w:kern w:val="2"/>
                      <w:position w:val="1"/>
                      <w:sz w:val="21"/>
                      <w:szCs w:val="21"/>
                      <w:lang w:val="en-US" w:eastAsia="zh-CN" w:bidi="ar-SA"/>
                    </w:rPr>
                  </w:pPr>
                  <w:r>
                    <w:rPr>
                      <w:rFonts w:hint="eastAsia"/>
                      <w:spacing w:val="2"/>
                      <w:position w:val="1"/>
                      <w:sz w:val="21"/>
                      <w:szCs w:val="21"/>
                    </w:rPr>
                    <w:t>1</w:t>
                  </w:r>
                  <w:r>
                    <w:rPr>
                      <w:spacing w:val="2"/>
                      <w:position w:val="1"/>
                      <w:sz w:val="21"/>
                      <w:szCs w:val="21"/>
                    </w:rPr>
                    <w:t>250</w:t>
                  </w:r>
                  <w:r>
                    <w:rPr>
                      <w:rFonts w:hint="eastAsia"/>
                      <w:spacing w:val="2"/>
                      <w:position w:val="1"/>
                      <w:sz w:val="21"/>
                      <w:szCs w:val="21"/>
                    </w:rPr>
                    <w:t>型</w:t>
                  </w:r>
                </w:p>
              </w:tc>
              <w:tc>
                <w:tcPr>
                  <w:tcW w:w="468" w:type="pct"/>
                  <w:tcBorders>
                    <w:tl2br w:val="nil"/>
                    <w:tr2bl w:val="nil"/>
                  </w:tcBorders>
                  <w:shd w:val="clear" w:color="auto" w:fill="auto"/>
                  <w:vAlign w:val="center"/>
                </w:tcPr>
                <w:p w14:paraId="03809E88">
                  <w:pPr>
                    <w:spacing w:line="240" w:lineRule="atLeast"/>
                    <w:jc w:val="center"/>
                    <w:rPr>
                      <w:rFonts w:hint="eastAsia" w:ascii="Times New Roman" w:hAnsi="Times New Roman" w:eastAsia="宋体" w:cs="Times New Roman"/>
                      <w:kern w:val="2"/>
                      <w:sz w:val="21"/>
                      <w:szCs w:val="21"/>
                      <w:u w:val="none"/>
                      <w:vertAlign w:val="baseline"/>
                      <w:lang w:val="en-US" w:eastAsia="zh-CN" w:bidi="ar-SA"/>
                    </w:rPr>
                  </w:pPr>
                  <w:r>
                    <w:rPr>
                      <w:rFonts w:hint="eastAsia"/>
                      <w:bCs/>
                      <w:color w:val="000000"/>
                      <w:sz w:val="21"/>
                      <w:szCs w:val="21"/>
                    </w:rPr>
                    <w:t>2</w:t>
                  </w:r>
                </w:p>
              </w:tc>
              <w:tc>
                <w:tcPr>
                  <w:tcW w:w="432" w:type="pct"/>
                  <w:tcBorders>
                    <w:tl2br w:val="nil"/>
                    <w:tr2bl w:val="nil"/>
                  </w:tcBorders>
                  <w:shd w:val="clear" w:color="auto" w:fill="auto"/>
                  <w:vAlign w:val="center"/>
                </w:tcPr>
                <w:p w14:paraId="2837438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shd w:val="clear" w:color="auto" w:fill="auto"/>
                  <w:vAlign w:val="center"/>
                </w:tcPr>
                <w:p w14:paraId="2D6A12C8">
                  <w:pPr>
                    <w:jc w:val="center"/>
                    <w:rPr>
                      <w:rFonts w:hint="default" w:ascii="Times New Roman" w:hAnsi="Times New Roman" w:eastAsia="宋体" w:cs="Times New Roman"/>
                      <w:kern w:val="0"/>
                      <w:sz w:val="21"/>
                      <w:szCs w:val="21"/>
                      <w:u w:val="none"/>
                      <w:vertAlign w:val="baseline"/>
                      <w:lang w:val="en-US" w:eastAsia="zh-CN" w:bidi="ar-SA"/>
                    </w:rPr>
                  </w:pPr>
                  <w:r>
                    <w:rPr>
                      <w:rFonts w:hint="eastAsia"/>
                      <w:bCs/>
                      <w:sz w:val="21"/>
                    </w:rPr>
                    <w:t>检验</w:t>
                  </w:r>
                </w:p>
              </w:tc>
            </w:tr>
            <w:tr w14:paraId="4B6F7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14:paraId="1E5F972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7</w:t>
                  </w:r>
                </w:p>
              </w:tc>
              <w:tc>
                <w:tcPr>
                  <w:tcW w:w="1913" w:type="dxa"/>
                  <w:tcBorders>
                    <w:tl2br w:val="nil"/>
                    <w:tr2bl w:val="nil"/>
                  </w:tcBorders>
                  <w:shd w:val="clear" w:color="auto" w:fill="auto"/>
                  <w:vAlign w:val="center"/>
                </w:tcPr>
                <w:p w14:paraId="79524363">
                  <w:pPr>
                    <w:jc w:val="center"/>
                    <w:rPr>
                      <w:rFonts w:hint="default" w:ascii="Times New Roman" w:hAnsi="Times New Roman" w:eastAsia="宋体" w:cs="Times New Roman"/>
                      <w:sz w:val="21"/>
                      <w:szCs w:val="21"/>
                      <w:u w:val="none"/>
                      <w:vertAlign w:val="baseline"/>
                      <w:lang w:val="en-US" w:eastAsia="zh-CN" w:bidi="ar-SA"/>
                    </w:rPr>
                  </w:pPr>
                  <w:r>
                    <w:rPr>
                      <w:rFonts w:hint="eastAsia"/>
                      <w:color w:val="000000"/>
                      <w:kern w:val="0"/>
                      <w:szCs w:val="21"/>
                    </w:rPr>
                    <w:t>三边封制袋机</w:t>
                  </w:r>
                </w:p>
              </w:tc>
              <w:tc>
                <w:tcPr>
                  <w:tcW w:w="1837" w:type="pct"/>
                  <w:tcBorders>
                    <w:tl2br w:val="nil"/>
                    <w:tr2bl w:val="nil"/>
                  </w:tcBorders>
                  <w:shd w:val="clear" w:color="auto" w:fill="auto"/>
                  <w:vAlign w:val="center"/>
                </w:tcPr>
                <w:p w14:paraId="7AFF00B5">
                  <w:pPr>
                    <w:jc w:val="center"/>
                    <w:rPr>
                      <w:rFonts w:hint="default" w:ascii="Times New Roman" w:hAnsi="Times New Roman" w:eastAsia="宋体" w:cs="Times New Roman"/>
                      <w:kern w:val="2"/>
                      <w:sz w:val="21"/>
                      <w:szCs w:val="21"/>
                      <w:lang w:val="en-US" w:eastAsia="zh-CN" w:bidi="ar-SA"/>
                    </w:rPr>
                  </w:pPr>
                  <w:r>
                    <w:rPr>
                      <w:sz w:val="21"/>
                      <w:szCs w:val="21"/>
                    </w:rPr>
                    <w:t>600</w:t>
                  </w:r>
                  <w:r>
                    <w:rPr>
                      <w:rFonts w:hint="eastAsia"/>
                      <w:sz w:val="21"/>
                      <w:szCs w:val="21"/>
                    </w:rPr>
                    <w:t>型</w:t>
                  </w:r>
                </w:p>
              </w:tc>
              <w:tc>
                <w:tcPr>
                  <w:tcW w:w="468" w:type="pct"/>
                  <w:tcBorders>
                    <w:tl2br w:val="nil"/>
                    <w:tr2bl w:val="nil"/>
                  </w:tcBorders>
                  <w:shd w:val="clear" w:color="auto" w:fill="auto"/>
                  <w:vAlign w:val="center"/>
                </w:tcPr>
                <w:p w14:paraId="3F13FB73">
                  <w:pPr>
                    <w:spacing w:line="240" w:lineRule="atLeast"/>
                    <w:jc w:val="center"/>
                    <w:rPr>
                      <w:rFonts w:hint="eastAsia" w:ascii="Times New Roman" w:hAnsi="Times New Roman" w:eastAsia="宋体" w:cs="Times New Roman"/>
                      <w:kern w:val="2"/>
                      <w:sz w:val="21"/>
                      <w:szCs w:val="21"/>
                      <w:u w:val="none"/>
                      <w:vertAlign w:val="baseline"/>
                      <w:lang w:val="en-US" w:eastAsia="zh-CN" w:bidi="ar-SA"/>
                    </w:rPr>
                  </w:pPr>
                  <w:r>
                    <w:rPr>
                      <w:rFonts w:hint="eastAsia"/>
                      <w:bCs/>
                      <w:color w:val="000000"/>
                      <w:sz w:val="21"/>
                      <w:szCs w:val="21"/>
                    </w:rPr>
                    <w:t>4</w:t>
                  </w:r>
                </w:p>
              </w:tc>
              <w:tc>
                <w:tcPr>
                  <w:tcW w:w="432" w:type="pct"/>
                  <w:tcBorders>
                    <w:tl2br w:val="nil"/>
                    <w:tr2bl w:val="nil"/>
                  </w:tcBorders>
                  <w:shd w:val="clear" w:color="auto" w:fill="auto"/>
                  <w:vAlign w:val="center"/>
                </w:tcPr>
                <w:p w14:paraId="49EA48F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shd w:val="clear" w:color="auto" w:fill="auto"/>
                  <w:vAlign w:val="center"/>
                </w:tcPr>
                <w:p w14:paraId="1F316CF5">
                  <w:pPr>
                    <w:jc w:val="center"/>
                    <w:rPr>
                      <w:rFonts w:hint="default" w:ascii="Times New Roman" w:hAnsi="Times New Roman" w:eastAsia="宋体" w:cs="Times New Roman"/>
                      <w:kern w:val="0"/>
                      <w:sz w:val="21"/>
                      <w:szCs w:val="21"/>
                      <w:u w:val="none"/>
                      <w:vertAlign w:val="baseline"/>
                      <w:lang w:val="en-US" w:eastAsia="zh-CN" w:bidi="ar-SA"/>
                    </w:rPr>
                  </w:pPr>
                  <w:r>
                    <w:rPr>
                      <w:rFonts w:hint="eastAsia"/>
                      <w:bCs/>
                      <w:sz w:val="21"/>
                    </w:rPr>
                    <w:t>制袋</w:t>
                  </w:r>
                </w:p>
              </w:tc>
            </w:tr>
            <w:tr w14:paraId="19573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l2br w:val="nil"/>
                    <w:tr2bl w:val="nil"/>
                  </w:tcBorders>
                  <w:vAlign w:val="center"/>
                </w:tcPr>
                <w:p w14:paraId="7FFAC2F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8</w:t>
                  </w:r>
                </w:p>
              </w:tc>
              <w:tc>
                <w:tcPr>
                  <w:tcW w:w="1913" w:type="dxa"/>
                  <w:tcBorders>
                    <w:tl2br w:val="nil"/>
                    <w:tr2bl w:val="nil"/>
                  </w:tcBorders>
                  <w:shd w:val="clear" w:color="auto" w:fill="auto"/>
                  <w:vAlign w:val="center"/>
                </w:tcPr>
                <w:p w14:paraId="2A2FCEB5">
                  <w:pPr>
                    <w:jc w:val="center"/>
                    <w:rPr>
                      <w:rFonts w:hint="default" w:ascii="Times New Roman" w:hAnsi="Times New Roman" w:eastAsia="宋体" w:cs="Times New Roman"/>
                      <w:color w:val="000000"/>
                      <w:sz w:val="21"/>
                      <w:szCs w:val="22"/>
                      <w:lang w:val="en-US" w:eastAsia="zh-CN" w:bidi="ar-SA"/>
                    </w:rPr>
                  </w:pPr>
                  <w:r>
                    <w:rPr>
                      <w:rFonts w:hint="eastAsia"/>
                      <w:color w:val="000000"/>
                      <w:kern w:val="0"/>
                      <w:szCs w:val="21"/>
                    </w:rPr>
                    <w:t>多功能边封机</w:t>
                  </w:r>
                </w:p>
              </w:tc>
              <w:tc>
                <w:tcPr>
                  <w:tcW w:w="1837" w:type="pct"/>
                  <w:tcBorders>
                    <w:tl2br w:val="nil"/>
                    <w:tr2bl w:val="nil"/>
                  </w:tcBorders>
                  <w:shd w:val="clear" w:color="auto" w:fill="auto"/>
                  <w:vAlign w:val="center"/>
                </w:tcPr>
                <w:p w14:paraId="4EFFAC9C">
                  <w:pPr>
                    <w:jc w:val="center"/>
                    <w:rPr>
                      <w:rFonts w:hint="default" w:ascii="Times New Roman" w:hAnsi="Times New Roman" w:eastAsia="宋体" w:cs="Times New Roman"/>
                      <w:kern w:val="2"/>
                      <w:sz w:val="21"/>
                      <w:szCs w:val="21"/>
                      <w:lang w:val="en-US" w:eastAsia="zh-CN" w:bidi="ar-SA"/>
                    </w:rPr>
                  </w:pPr>
                  <w:r>
                    <w:rPr>
                      <w:sz w:val="21"/>
                      <w:szCs w:val="21"/>
                    </w:rPr>
                    <w:t>700</w:t>
                  </w:r>
                  <w:r>
                    <w:rPr>
                      <w:rFonts w:hint="eastAsia"/>
                      <w:sz w:val="21"/>
                      <w:szCs w:val="21"/>
                    </w:rPr>
                    <w:t>型</w:t>
                  </w:r>
                </w:p>
              </w:tc>
              <w:tc>
                <w:tcPr>
                  <w:tcW w:w="468" w:type="pct"/>
                  <w:tcBorders>
                    <w:tl2br w:val="nil"/>
                    <w:tr2bl w:val="nil"/>
                  </w:tcBorders>
                  <w:shd w:val="clear" w:color="auto" w:fill="auto"/>
                  <w:vAlign w:val="center"/>
                </w:tcPr>
                <w:p w14:paraId="28E16DFF">
                  <w:pPr>
                    <w:spacing w:line="240" w:lineRule="atLeast"/>
                    <w:jc w:val="center"/>
                    <w:rPr>
                      <w:rFonts w:hint="eastAsia" w:ascii="Times New Roman" w:hAnsi="Times New Roman" w:eastAsia="宋体" w:cs="Times New Roman"/>
                      <w:kern w:val="2"/>
                      <w:sz w:val="21"/>
                      <w:szCs w:val="21"/>
                      <w:u w:val="none"/>
                      <w:vertAlign w:val="baseline"/>
                      <w:lang w:val="en-US" w:eastAsia="zh-CN" w:bidi="ar-SA"/>
                    </w:rPr>
                  </w:pPr>
                  <w:r>
                    <w:rPr>
                      <w:rFonts w:hint="eastAsia"/>
                      <w:bCs/>
                      <w:color w:val="000000"/>
                      <w:sz w:val="21"/>
                      <w:szCs w:val="21"/>
                    </w:rPr>
                    <w:t>1</w:t>
                  </w:r>
                  <w:r>
                    <w:rPr>
                      <w:bCs/>
                      <w:color w:val="000000"/>
                      <w:sz w:val="21"/>
                      <w:szCs w:val="21"/>
                    </w:rPr>
                    <w:t>6</w:t>
                  </w:r>
                </w:p>
              </w:tc>
              <w:tc>
                <w:tcPr>
                  <w:tcW w:w="432" w:type="pct"/>
                  <w:tcBorders>
                    <w:tl2br w:val="nil"/>
                    <w:tr2bl w:val="nil"/>
                  </w:tcBorders>
                  <w:shd w:val="clear" w:color="auto" w:fill="auto"/>
                  <w:vAlign w:val="center"/>
                </w:tcPr>
                <w:p w14:paraId="1A2224C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台</w:t>
                  </w:r>
                </w:p>
              </w:tc>
              <w:tc>
                <w:tcPr>
                  <w:tcW w:w="718" w:type="pct"/>
                  <w:tcBorders>
                    <w:tl2br w:val="nil"/>
                    <w:tr2bl w:val="nil"/>
                  </w:tcBorders>
                  <w:shd w:val="clear" w:color="auto" w:fill="auto"/>
                  <w:vAlign w:val="center"/>
                </w:tcPr>
                <w:p w14:paraId="2DA90DC4">
                  <w:pPr>
                    <w:jc w:val="center"/>
                    <w:rPr>
                      <w:rFonts w:hint="default" w:ascii="Times New Roman" w:hAnsi="Times New Roman" w:eastAsia="宋体" w:cs="Times New Roman"/>
                      <w:kern w:val="0"/>
                      <w:sz w:val="21"/>
                      <w:szCs w:val="21"/>
                      <w:u w:val="none"/>
                      <w:vertAlign w:val="baseline"/>
                      <w:lang w:val="en-US" w:eastAsia="zh-CN" w:bidi="ar-SA"/>
                    </w:rPr>
                  </w:pPr>
                  <w:r>
                    <w:rPr>
                      <w:rFonts w:hint="eastAsia"/>
                      <w:bCs/>
                      <w:sz w:val="21"/>
                    </w:rPr>
                    <w:t>制袋</w:t>
                  </w:r>
                </w:p>
              </w:tc>
            </w:tr>
            <w:tr w14:paraId="6A960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2" w:type="pct"/>
                  <w:tcBorders>
                    <w:tl2br w:val="nil"/>
                    <w:tr2bl w:val="nil"/>
                  </w:tcBorders>
                  <w:vAlign w:val="center"/>
                </w:tcPr>
                <w:p w14:paraId="4DD992D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9</w:t>
                  </w:r>
                </w:p>
              </w:tc>
              <w:tc>
                <w:tcPr>
                  <w:tcW w:w="1913" w:type="dxa"/>
                  <w:tcBorders>
                    <w:tl2br w:val="nil"/>
                    <w:tr2bl w:val="nil"/>
                  </w:tcBorders>
                  <w:shd w:val="clear" w:color="auto" w:fill="auto"/>
                  <w:vAlign w:val="center"/>
                </w:tcPr>
                <w:p w14:paraId="48FB6F8D">
                  <w:pPr>
                    <w:pStyle w:val="35"/>
                    <w:rPr>
                      <w:rFonts w:hint="default" w:ascii="Times New Roman" w:hAnsi="Times New Roman" w:eastAsia="宋体" w:cs="Times New Roman"/>
                      <w:color w:val="000000"/>
                      <w:sz w:val="21"/>
                      <w:szCs w:val="22"/>
                      <w:lang w:val="en-US" w:eastAsia="zh-CN" w:bidi="ar-SA"/>
                    </w:rPr>
                  </w:pPr>
                  <w:r>
                    <w:rPr>
                      <w:rFonts w:hint="eastAsia"/>
                      <w:color w:val="000000"/>
                    </w:rPr>
                    <w:t>熟化室</w:t>
                  </w:r>
                </w:p>
              </w:tc>
              <w:tc>
                <w:tcPr>
                  <w:tcW w:w="1837" w:type="pct"/>
                  <w:tcBorders>
                    <w:tl2br w:val="nil"/>
                    <w:tr2bl w:val="nil"/>
                  </w:tcBorders>
                  <w:shd w:val="clear" w:color="auto" w:fill="auto"/>
                  <w:vAlign w:val="center"/>
                </w:tcPr>
                <w:p w14:paraId="79684994">
                  <w:pPr>
                    <w:spacing w:line="240" w:lineRule="atLeast"/>
                    <w:jc w:val="center"/>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长</w:t>
                  </w:r>
                  <w:r>
                    <w:rPr>
                      <w:bCs/>
                      <w:color w:val="000000"/>
                      <w:sz w:val="21"/>
                      <w:szCs w:val="21"/>
                    </w:rPr>
                    <w:t>6</w:t>
                  </w:r>
                  <w:r>
                    <w:rPr>
                      <w:rFonts w:hint="eastAsia"/>
                      <w:bCs/>
                      <w:color w:val="000000"/>
                      <w:sz w:val="21"/>
                      <w:szCs w:val="21"/>
                    </w:rPr>
                    <w:t>m*宽</w:t>
                  </w:r>
                  <w:r>
                    <w:rPr>
                      <w:bCs/>
                      <w:color w:val="000000"/>
                      <w:sz w:val="21"/>
                      <w:szCs w:val="21"/>
                    </w:rPr>
                    <w:t>1.2</w:t>
                  </w:r>
                  <w:r>
                    <w:rPr>
                      <w:rFonts w:hint="eastAsia"/>
                      <w:bCs/>
                      <w:color w:val="000000"/>
                      <w:sz w:val="21"/>
                      <w:szCs w:val="21"/>
                    </w:rPr>
                    <w:t>m*高</w:t>
                  </w:r>
                  <w:r>
                    <w:rPr>
                      <w:bCs/>
                      <w:color w:val="000000"/>
                      <w:sz w:val="21"/>
                      <w:szCs w:val="21"/>
                    </w:rPr>
                    <w:t>1.85</w:t>
                  </w:r>
                  <w:r>
                    <w:rPr>
                      <w:rFonts w:hint="eastAsia"/>
                      <w:bCs/>
                      <w:color w:val="000000"/>
                      <w:sz w:val="21"/>
                      <w:szCs w:val="21"/>
                    </w:rPr>
                    <w:t>m</w:t>
                  </w:r>
                </w:p>
              </w:tc>
              <w:tc>
                <w:tcPr>
                  <w:tcW w:w="468" w:type="pct"/>
                  <w:tcBorders>
                    <w:tl2br w:val="nil"/>
                    <w:tr2bl w:val="nil"/>
                  </w:tcBorders>
                  <w:shd w:val="clear" w:color="auto" w:fill="auto"/>
                  <w:vAlign w:val="center"/>
                </w:tcPr>
                <w:p w14:paraId="464BB3CE">
                  <w:pPr>
                    <w:pStyle w:val="34"/>
                    <w:jc w:val="center"/>
                    <w:rPr>
                      <w:rFonts w:hint="eastAsia" w:ascii="Times New Roman" w:hAnsi="Times New Roman" w:eastAsia="宋体" w:cs="Times New Roman"/>
                      <w:kern w:val="2"/>
                      <w:sz w:val="21"/>
                      <w:szCs w:val="21"/>
                      <w:u w:val="none"/>
                      <w:vertAlign w:val="baseline"/>
                      <w:lang w:val="en-US" w:eastAsia="zh-CN" w:bidi="ar-SA"/>
                    </w:rPr>
                  </w:pPr>
                  <w:r>
                    <w:rPr>
                      <w:rFonts w:hint="eastAsia" w:ascii="Times New Roman" w:hAnsi="Times New Roman" w:cs="Times New Roman"/>
                      <w:spacing w:val="-10"/>
                      <w:sz w:val="21"/>
                      <w:szCs w:val="21"/>
                      <w:lang w:eastAsia="zh-CN"/>
                    </w:rPr>
                    <w:t>1</w:t>
                  </w:r>
                  <w:r>
                    <w:rPr>
                      <w:rFonts w:ascii="Times New Roman" w:hAnsi="Times New Roman" w:cs="Times New Roman"/>
                      <w:spacing w:val="-10"/>
                      <w:sz w:val="21"/>
                      <w:szCs w:val="21"/>
                      <w:lang w:eastAsia="zh-CN"/>
                    </w:rPr>
                    <w:t>0</w:t>
                  </w:r>
                </w:p>
              </w:tc>
              <w:tc>
                <w:tcPr>
                  <w:tcW w:w="432" w:type="pct"/>
                  <w:tcBorders>
                    <w:tl2br w:val="nil"/>
                    <w:tr2bl w:val="nil"/>
                  </w:tcBorders>
                  <w:shd w:val="clear" w:color="auto" w:fill="auto"/>
                  <w:vAlign w:val="center"/>
                </w:tcPr>
                <w:p w14:paraId="081AF9A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间</w:t>
                  </w:r>
                </w:p>
              </w:tc>
              <w:tc>
                <w:tcPr>
                  <w:tcW w:w="718" w:type="pct"/>
                  <w:tcBorders>
                    <w:tl2br w:val="nil"/>
                    <w:tr2bl w:val="nil"/>
                  </w:tcBorders>
                  <w:shd w:val="clear" w:color="auto" w:fill="auto"/>
                  <w:vAlign w:val="center"/>
                </w:tcPr>
                <w:p w14:paraId="5CCC6E3F">
                  <w:pPr>
                    <w:jc w:val="center"/>
                    <w:rPr>
                      <w:rFonts w:hint="default" w:ascii="Times New Roman" w:hAnsi="Times New Roman" w:eastAsia="宋体" w:cs="Times New Roman"/>
                      <w:kern w:val="0"/>
                      <w:sz w:val="21"/>
                      <w:szCs w:val="21"/>
                      <w:u w:val="none"/>
                      <w:vertAlign w:val="baseline"/>
                      <w:lang w:val="en-US" w:eastAsia="zh-CN" w:bidi="ar-SA"/>
                    </w:rPr>
                  </w:pPr>
                  <w:r>
                    <w:rPr>
                      <w:rFonts w:hint="eastAsia"/>
                      <w:bCs/>
                      <w:sz w:val="21"/>
                    </w:rPr>
                    <w:t>熟化</w:t>
                  </w:r>
                </w:p>
              </w:tc>
            </w:tr>
          </w:tbl>
          <w:p w14:paraId="7465A94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27" w:name="_Toc3994"/>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6</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项目主要原辅材料</w:t>
            </w:r>
            <w:bookmarkEnd w:id="27"/>
          </w:p>
          <w:p w14:paraId="2A3828DA">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lang w:val="en-US" w:eastAsia="zh-CN"/>
              </w:rPr>
              <w:t>项目</w:t>
            </w:r>
            <w:r>
              <w:rPr>
                <w:rFonts w:hint="eastAsia" w:ascii="Times New Roman" w:hAnsi="Times New Roman" w:cs="Times New Roman"/>
                <w:b w:val="0"/>
                <w:bCs w:val="0"/>
                <w:color w:val="auto"/>
                <w:sz w:val="24"/>
                <w:szCs w:val="24"/>
                <w:u w:val="none"/>
                <w:lang w:val="en-US" w:eastAsia="zh-CN"/>
              </w:rPr>
              <w:t>的主要原辅材料及用量情况详见表2.2-4。</w:t>
            </w:r>
          </w:p>
          <w:p w14:paraId="7AE8606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表2.2-4 主要原辅材料及用量一览表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527"/>
              <w:gridCol w:w="1110"/>
              <w:gridCol w:w="1431"/>
              <w:gridCol w:w="1163"/>
              <w:gridCol w:w="848"/>
              <w:gridCol w:w="972"/>
              <w:gridCol w:w="965"/>
            </w:tblGrid>
            <w:tr w14:paraId="36869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347" w:type="pct"/>
                  <w:tcBorders>
                    <w:tl2br w:val="nil"/>
                    <w:tr2bl w:val="nil"/>
                  </w:tcBorders>
                  <w:noWrap w:val="0"/>
                  <w:vAlign w:val="center"/>
                </w:tcPr>
                <w:p w14:paraId="52F35153">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序号</w:t>
                  </w:r>
                </w:p>
              </w:tc>
              <w:tc>
                <w:tcPr>
                  <w:tcW w:w="886" w:type="pct"/>
                  <w:tcBorders>
                    <w:tl2br w:val="nil"/>
                    <w:tr2bl w:val="nil"/>
                  </w:tcBorders>
                  <w:noWrap w:val="0"/>
                  <w:vAlign w:val="center"/>
                </w:tcPr>
                <w:p w14:paraId="1CEDFEB5">
                  <w:pPr>
                    <w:pStyle w:val="16"/>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原辅材料名称</w:t>
                  </w:r>
                </w:p>
              </w:tc>
              <w:tc>
                <w:tcPr>
                  <w:tcW w:w="644" w:type="pct"/>
                  <w:tcBorders>
                    <w:tl2br w:val="nil"/>
                    <w:tr2bl w:val="nil"/>
                  </w:tcBorders>
                  <w:noWrap w:val="0"/>
                  <w:vAlign w:val="center"/>
                </w:tcPr>
                <w:p w14:paraId="6D078E5C">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原辅材料</w:t>
                  </w:r>
                  <w:r>
                    <w:rPr>
                      <w:rFonts w:hint="eastAsia" w:ascii="Times New Roman" w:hAnsi="Times New Roman" w:eastAsia="宋体" w:cs="Times New Roman"/>
                      <w:b w:val="0"/>
                      <w:bCs w:val="0"/>
                      <w:sz w:val="21"/>
                      <w:szCs w:val="21"/>
                      <w:lang w:val="en-US" w:eastAsia="zh-CN"/>
                    </w:rPr>
                    <w:t>年</w:t>
                  </w:r>
                  <w:r>
                    <w:rPr>
                      <w:rFonts w:hint="default" w:ascii="Times New Roman" w:hAnsi="Times New Roman" w:eastAsia="宋体" w:cs="Times New Roman"/>
                      <w:b w:val="0"/>
                      <w:bCs w:val="0"/>
                      <w:sz w:val="21"/>
                      <w:szCs w:val="21"/>
                      <w:lang w:val="en-US" w:eastAsia="zh-CN"/>
                    </w:rPr>
                    <w:t>用量</w:t>
                  </w:r>
                  <w:r>
                    <w:rPr>
                      <w:rFonts w:hint="eastAsia" w:ascii="Times New Roman" w:hAnsi="Times New Roman" w:cs="Times New Roman"/>
                      <w:spacing w:val="3"/>
                      <w:sz w:val="21"/>
                      <w:szCs w:val="21"/>
                      <w:lang w:eastAsia="zh-CN"/>
                    </w:rPr>
                    <w:t>t</w:t>
                  </w:r>
                  <w:r>
                    <w:rPr>
                      <w:rFonts w:ascii="Times New Roman" w:hAnsi="Times New Roman" w:cs="Times New Roman"/>
                      <w:spacing w:val="3"/>
                      <w:sz w:val="21"/>
                      <w:szCs w:val="21"/>
                      <w:lang w:eastAsia="zh-CN"/>
                    </w:rPr>
                    <w:t>/</w:t>
                  </w:r>
                  <w:r>
                    <w:rPr>
                      <w:rFonts w:hint="eastAsia" w:ascii="Times New Roman" w:hAnsi="Times New Roman" w:cs="Times New Roman"/>
                      <w:spacing w:val="3"/>
                      <w:sz w:val="21"/>
                      <w:szCs w:val="21"/>
                      <w:lang w:eastAsia="zh-CN"/>
                    </w:rPr>
                    <w:t>a</w:t>
                  </w:r>
                </w:p>
              </w:tc>
              <w:tc>
                <w:tcPr>
                  <w:tcW w:w="830" w:type="pct"/>
                  <w:tcBorders>
                    <w:tl2br w:val="nil"/>
                    <w:tr2bl w:val="nil"/>
                  </w:tcBorders>
                  <w:noWrap w:val="0"/>
                  <w:vAlign w:val="center"/>
                </w:tcPr>
                <w:p w14:paraId="2F13AAC2">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主要成分</w:t>
                  </w:r>
                </w:p>
              </w:tc>
              <w:tc>
                <w:tcPr>
                  <w:tcW w:w="675" w:type="pct"/>
                  <w:tcBorders>
                    <w:tl2br w:val="nil"/>
                    <w:tr2bl w:val="nil"/>
                  </w:tcBorders>
                  <w:noWrap w:val="0"/>
                  <w:vAlign w:val="center"/>
                </w:tcPr>
                <w:p w14:paraId="5BDB29B2">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最大储存量</w:t>
                  </w:r>
                </w:p>
              </w:tc>
              <w:tc>
                <w:tcPr>
                  <w:tcW w:w="492" w:type="pct"/>
                  <w:tcBorders>
                    <w:tl2br w:val="nil"/>
                    <w:tr2bl w:val="nil"/>
                  </w:tcBorders>
                  <w:noWrap w:val="0"/>
                  <w:vAlign w:val="center"/>
                </w:tcPr>
                <w:p w14:paraId="35F0A21F">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物理形态</w:t>
                  </w:r>
                </w:p>
              </w:tc>
              <w:tc>
                <w:tcPr>
                  <w:tcW w:w="564" w:type="pct"/>
                  <w:tcBorders>
                    <w:tl2br w:val="nil"/>
                    <w:tr2bl w:val="nil"/>
                  </w:tcBorders>
                  <w:noWrap w:val="0"/>
                  <w:vAlign w:val="center"/>
                </w:tcPr>
                <w:p w14:paraId="1AAC235D">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包装形式</w:t>
                  </w:r>
                </w:p>
              </w:tc>
              <w:tc>
                <w:tcPr>
                  <w:tcW w:w="560" w:type="pct"/>
                  <w:tcBorders>
                    <w:tl2br w:val="nil"/>
                    <w:tr2bl w:val="nil"/>
                  </w:tcBorders>
                  <w:noWrap w:val="0"/>
                  <w:vAlign w:val="center"/>
                </w:tcPr>
                <w:p w14:paraId="3A6D408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储存位置</w:t>
                  </w:r>
                </w:p>
              </w:tc>
            </w:tr>
            <w:tr w14:paraId="074F7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75D8D5E3">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886" w:type="pct"/>
                  <w:tcBorders>
                    <w:tl2br w:val="nil"/>
                    <w:tr2bl w:val="nil"/>
                  </w:tcBorders>
                  <w:noWrap w:val="0"/>
                  <w:vAlign w:val="center"/>
                </w:tcPr>
                <w:p w14:paraId="1EC99685">
                  <w:pPr>
                    <w:pStyle w:val="34"/>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sz w:val="21"/>
                      <w:szCs w:val="21"/>
                      <w:lang w:eastAsia="zh-CN"/>
                    </w:rPr>
                    <w:t>C</w:t>
                  </w:r>
                  <w:r>
                    <w:rPr>
                      <w:rFonts w:ascii="Times New Roman" w:hAnsi="Times New Roman" w:cs="Times New Roman"/>
                      <w:sz w:val="21"/>
                      <w:szCs w:val="21"/>
                      <w:lang w:eastAsia="zh-CN"/>
                    </w:rPr>
                    <w:t>PP</w:t>
                  </w:r>
                  <w:r>
                    <w:rPr>
                      <w:rFonts w:hint="eastAsia" w:ascii="Times New Roman" w:hAnsi="Times New Roman" w:cs="Times New Roman"/>
                      <w:sz w:val="21"/>
                      <w:szCs w:val="21"/>
                      <w:lang w:eastAsia="zh-CN"/>
                    </w:rPr>
                    <w:t>塑料膜</w:t>
                  </w:r>
                </w:p>
              </w:tc>
              <w:tc>
                <w:tcPr>
                  <w:tcW w:w="644" w:type="pct"/>
                  <w:tcBorders>
                    <w:tl2br w:val="nil"/>
                    <w:tr2bl w:val="nil"/>
                  </w:tcBorders>
                  <w:shd w:val="clear" w:color="auto" w:fill="auto"/>
                  <w:noWrap w:val="0"/>
                  <w:vAlign w:val="center"/>
                </w:tcPr>
                <w:p w14:paraId="558098A5">
                  <w:pPr>
                    <w:pStyle w:val="34"/>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spacing w:val="7"/>
                      <w:sz w:val="21"/>
                      <w:szCs w:val="21"/>
                      <w:lang w:eastAsia="zh-CN"/>
                    </w:rPr>
                    <w:t>9</w:t>
                  </w:r>
                  <w:r>
                    <w:rPr>
                      <w:rFonts w:ascii="Times New Roman" w:hAnsi="Times New Roman" w:cs="Times New Roman"/>
                      <w:spacing w:val="7"/>
                      <w:sz w:val="21"/>
                      <w:szCs w:val="21"/>
                      <w:lang w:eastAsia="zh-CN"/>
                    </w:rPr>
                    <w:t>00</w:t>
                  </w:r>
                </w:p>
              </w:tc>
              <w:tc>
                <w:tcPr>
                  <w:tcW w:w="830" w:type="pct"/>
                  <w:tcBorders>
                    <w:tl2br w:val="nil"/>
                    <w:tr2bl w:val="nil"/>
                  </w:tcBorders>
                  <w:noWrap w:val="0"/>
                  <w:vAlign w:val="center"/>
                </w:tcPr>
                <w:p w14:paraId="4DF311B6">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聚丙烯（PP）树脂</w:t>
                  </w:r>
                </w:p>
              </w:tc>
              <w:tc>
                <w:tcPr>
                  <w:tcW w:w="675" w:type="pct"/>
                  <w:tcBorders>
                    <w:tl2br w:val="nil"/>
                    <w:tr2bl w:val="nil"/>
                  </w:tcBorders>
                  <w:noWrap w:val="0"/>
                  <w:vAlign w:val="center"/>
                </w:tcPr>
                <w:p w14:paraId="4C6D45F2">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75</w:t>
                  </w:r>
                </w:p>
              </w:tc>
              <w:tc>
                <w:tcPr>
                  <w:tcW w:w="492" w:type="pct"/>
                  <w:tcBorders>
                    <w:tl2br w:val="nil"/>
                    <w:tr2bl w:val="nil"/>
                  </w:tcBorders>
                  <w:noWrap w:val="0"/>
                  <w:vAlign w:val="center"/>
                </w:tcPr>
                <w:p w14:paraId="54DDB56D">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564" w:type="pct"/>
                  <w:tcBorders>
                    <w:tl2br w:val="nil"/>
                    <w:tr2bl w:val="nil"/>
                  </w:tcBorders>
                  <w:noWrap w:val="0"/>
                  <w:vAlign w:val="center"/>
                </w:tcPr>
                <w:p w14:paraId="0D473F63">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560" w:type="pct"/>
                  <w:tcBorders>
                    <w:tl2br w:val="nil"/>
                    <w:tr2bl w:val="nil"/>
                  </w:tcBorders>
                  <w:noWrap w:val="0"/>
                  <w:vAlign w:val="center"/>
                </w:tcPr>
                <w:p w14:paraId="62EEC391">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2A869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0D236A9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886" w:type="pct"/>
                  <w:tcBorders>
                    <w:tl2br w:val="nil"/>
                    <w:tr2bl w:val="nil"/>
                  </w:tcBorders>
                  <w:noWrap w:val="0"/>
                  <w:vAlign w:val="center"/>
                </w:tcPr>
                <w:p w14:paraId="5E81A9A9">
                  <w:pPr>
                    <w:pStyle w:val="34"/>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sz w:val="21"/>
                      <w:szCs w:val="21"/>
                      <w:lang w:eastAsia="zh-CN"/>
                    </w:rPr>
                    <w:t>P</w:t>
                  </w:r>
                  <w:r>
                    <w:rPr>
                      <w:rFonts w:ascii="Times New Roman" w:hAnsi="Times New Roman" w:cs="Times New Roman"/>
                      <w:sz w:val="21"/>
                      <w:szCs w:val="21"/>
                      <w:lang w:eastAsia="zh-CN"/>
                    </w:rPr>
                    <w:t>E</w:t>
                  </w:r>
                  <w:r>
                    <w:rPr>
                      <w:rFonts w:hint="eastAsia" w:ascii="Times New Roman" w:hAnsi="Times New Roman" w:cs="Times New Roman"/>
                      <w:sz w:val="21"/>
                      <w:szCs w:val="21"/>
                      <w:lang w:eastAsia="zh-CN"/>
                    </w:rPr>
                    <w:t>塑料膜</w:t>
                  </w:r>
                </w:p>
              </w:tc>
              <w:tc>
                <w:tcPr>
                  <w:tcW w:w="644" w:type="pct"/>
                  <w:tcBorders>
                    <w:tl2br w:val="nil"/>
                    <w:tr2bl w:val="nil"/>
                  </w:tcBorders>
                  <w:shd w:val="clear" w:color="auto" w:fill="auto"/>
                  <w:noWrap w:val="0"/>
                  <w:vAlign w:val="center"/>
                </w:tcPr>
                <w:p w14:paraId="70EEFEEA">
                  <w:pPr>
                    <w:pStyle w:val="34"/>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spacing w:val="3"/>
                      <w:sz w:val="21"/>
                      <w:szCs w:val="21"/>
                      <w:lang w:eastAsia="zh-CN"/>
                    </w:rPr>
                    <w:t>1</w:t>
                  </w:r>
                  <w:r>
                    <w:rPr>
                      <w:rFonts w:ascii="Times New Roman" w:hAnsi="Times New Roman" w:cs="Times New Roman"/>
                      <w:spacing w:val="3"/>
                      <w:sz w:val="21"/>
                      <w:szCs w:val="21"/>
                      <w:lang w:eastAsia="zh-CN"/>
                    </w:rPr>
                    <w:t>700</w:t>
                  </w:r>
                </w:p>
              </w:tc>
              <w:tc>
                <w:tcPr>
                  <w:tcW w:w="830" w:type="pct"/>
                  <w:tcBorders>
                    <w:tl2br w:val="nil"/>
                    <w:tr2bl w:val="nil"/>
                  </w:tcBorders>
                  <w:noWrap w:val="0"/>
                  <w:vAlign w:val="center"/>
                </w:tcPr>
                <w:p w14:paraId="0400062F">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聚乙烯树脂</w:t>
                  </w:r>
                </w:p>
              </w:tc>
              <w:tc>
                <w:tcPr>
                  <w:tcW w:w="675" w:type="pct"/>
                  <w:tcBorders>
                    <w:tl2br w:val="nil"/>
                    <w:tr2bl w:val="nil"/>
                  </w:tcBorders>
                  <w:noWrap w:val="0"/>
                  <w:vAlign w:val="center"/>
                </w:tcPr>
                <w:p w14:paraId="38B2D7F7">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140</w:t>
                  </w:r>
                </w:p>
              </w:tc>
              <w:tc>
                <w:tcPr>
                  <w:tcW w:w="492" w:type="pct"/>
                  <w:tcBorders>
                    <w:tl2br w:val="nil"/>
                    <w:tr2bl w:val="nil"/>
                  </w:tcBorders>
                  <w:noWrap w:val="0"/>
                  <w:vAlign w:val="center"/>
                </w:tcPr>
                <w:p w14:paraId="79835859">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564" w:type="pct"/>
                  <w:tcBorders>
                    <w:tl2br w:val="nil"/>
                    <w:tr2bl w:val="nil"/>
                  </w:tcBorders>
                  <w:noWrap w:val="0"/>
                  <w:vAlign w:val="center"/>
                </w:tcPr>
                <w:p w14:paraId="13383A66">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560" w:type="pct"/>
                  <w:tcBorders>
                    <w:tl2br w:val="nil"/>
                    <w:tr2bl w:val="nil"/>
                  </w:tcBorders>
                  <w:noWrap w:val="0"/>
                  <w:vAlign w:val="center"/>
                </w:tcPr>
                <w:p w14:paraId="725E71F2">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04A6D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667B58BA">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886" w:type="pct"/>
                  <w:tcBorders>
                    <w:tl2br w:val="nil"/>
                    <w:tr2bl w:val="nil"/>
                  </w:tcBorders>
                  <w:noWrap w:val="0"/>
                  <w:vAlign w:val="center"/>
                </w:tcPr>
                <w:p w14:paraId="3B893378">
                  <w:pPr>
                    <w:pStyle w:val="34"/>
                    <w:jc w:val="center"/>
                    <w:rPr>
                      <w:rFonts w:hint="default" w:ascii="Times New Roman" w:hAnsi="Times New Roman" w:eastAsia="宋体" w:cs="Times New Roman"/>
                      <w:b w:val="0"/>
                      <w:bCs w:val="0"/>
                      <w:color w:val="auto"/>
                      <w:sz w:val="21"/>
                      <w:szCs w:val="21"/>
                      <w:lang w:val="en-US" w:eastAsia="zh-CN"/>
                    </w:rPr>
                  </w:pPr>
                  <w:r>
                    <w:rPr>
                      <w:rFonts w:ascii="Times New Roman" w:hAnsi="Times New Roman" w:cs="Times New Roman"/>
                      <w:sz w:val="21"/>
                      <w:szCs w:val="21"/>
                      <w:lang w:eastAsia="zh-CN"/>
                    </w:rPr>
                    <w:t>OPP</w:t>
                  </w:r>
                  <w:r>
                    <w:rPr>
                      <w:rFonts w:hint="eastAsia" w:ascii="Times New Roman" w:hAnsi="Times New Roman" w:cs="Times New Roman"/>
                      <w:sz w:val="21"/>
                      <w:szCs w:val="21"/>
                      <w:lang w:eastAsia="zh-CN"/>
                    </w:rPr>
                    <w:t>塑料膜</w:t>
                  </w:r>
                </w:p>
              </w:tc>
              <w:tc>
                <w:tcPr>
                  <w:tcW w:w="644" w:type="pct"/>
                  <w:tcBorders>
                    <w:tl2br w:val="nil"/>
                    <w:tr2bl w:val="nil"/>
                  </w:tcBorders>
                  <w:shd w:val="clear" w:color="auto" w:fill="auto"/>
                  <w:noWrap w:val="0"/>
                  <w:vAlign w:val="center"/>
                </w:tcPr>
                <w:p w14:paraId="7E02C021">
                  <w:pPr>
                    <w:jc w:val="center"/>
                    <w:rPr>
                      <w:rFonts w:hint="eastAsia" w:ascii="Times New Roman" w:hAnsi="Times New Roman" w:eastAsia="宋体" w:cs="Times New Roman"/>
                      <w:b w:val="0"/>
                      <w:bCs w:val="0"/>
                      <w:color w:val="auto"/>
                      <w:kern w:val="2"/>
                      <w:sz w:val="21"/>
                      <w:szCs w:val="21"/>
                      <w:lang w:val="en-US" w:eastAsia="zh-CN" w:bidi="ar-SA"/>
                    </w:rPr>
                  </w:pPr>
                  <w:r>
                    <w:rPr>
                      <w:rFonts w:hint="eastAsia"/>
                      <w:spacing w:val="2"/>
                      <w:position w:val="1"/>
                      <w:szCs w:val="21"/>
                    </w:rPr>
                    <w:t>8</w:t>
                  </w:r>
                  <w:r>
                    <w:rPr>
                      <w:spacing w:val="2"/>
                      <w:position w:val="1"/>
                      <w:szCs w:val="21"/>
                    </w:rPr>
                    <w:t>00</w:t>
                  </w:r>
                </w:p>
              </w:tc>
              <w:tc>
                <w:tcPr>
                  <w:tcW w:w="830" w:type="pct"/>
                  <w:tcBorders>
                    <w:tl2br w:val="nil"/>
                    <w:tr2bl w:val="nil"/>
                  </w:tcBorders>
                  <w:noWrap w:val="0"/>
                  <w:vAlign w:val="center"/>
                </w:tcPr>
                <w:p w14:paraId="21DB426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聚丙烯（i-PP）均聚物</w:t>
                  </w:r>
                </w:p>
              </w:tc>
              <w:tc>
                <w:tcPr>
                  <w:tcW w:w="675" w:type="pct"/>
                  <w:tcBorders>
                    <w:tl2br w:val="nil"/>
                    <w:tr2bl w:val="nil"/>
                  </w:tcBorders>
                  <w:noWrap w:val="0"/>
                  <w:vAlign w:val="center"/>
                </w:tcPr>
                <w:p w14:paraId="43689C66">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65</w:t>
                  </w:r>
                </w:p>
              </w:tc>
              <w:tc>
                <w:tcPr>
                  <w:tcW w:w="492" w:type="pct"/>
                  <w:tcBorders>
                    <w:tl2br w:val="nil"/>
                    <w:tr2bl w:val="nil"/>
                  </w:tcBorders>
                  <w:noWrap w:val="0"/>
                  <w:vAlign w:val="center"/>
                </w:tcPr>
                <w:p w14:paraId="2DDE0D4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564" w:type="pct"/>
                  <w:tcBorders>
                    <w:tl2br w:val="nil"/>
                    <w:tr2bl w:val="nil"/>
                  </w:tcBorders>
                  <w:noWrap w:val="0"/>
                  <w:vAlign w:val="center"/>
                </w:tcPr>
                <w:p w14:paraId="65ED06D2">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560" w:type="pct"/>
                  <w:tcBorders>
                    <w:tl2br w:val="nil"/>
                    <w:tr2bl w:val="nil"/>
                  </w:tcBorders>
                  <w:noWrap w:val="0"/>
                  <w:vAlign w:val="center"/>
                </w:tcPr>
                <w:p w14:paraId="64E21E6D">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7032C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385624C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886" w:type="pct"/>
                  <w:tcBorders>
                    <w:tl2br w:val="nil"/>
                    <w:tr2bl w:val="nil"/>
                  </w:tcBorders>
                  <w:noWrap w:val="0"/>
                  <w:vAlign w:val="center"/>
                </w:tcPr>
                <w:p w14:paraId="355811DB">
                  <w:pPr>
                    <w:pStyle w:val="34"/>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sz w:val="21"/>
                      <w:szCs w:val="21"/>
                      <w:lang w:eastAsia="zh-CN"/>
                    </w:rPr>
                    <w:t>P</w:t>
                  </w:r>
                  <w:r>
                    <w:rPr>
                      <w:rFonts w:ascii="Times New Roman" w:hAnsi="Times New Roman" w:cs="Times New Roman"/>
                      <w:sz w:val="21"/>
                      <w:szCs w:val="21"/>
                      <w:lang w:eastAsia="zh-CN"/>
                    </w:rPr>
                    <w:t>ET</w:t>
                  </w:r>
                  <w:r>
                    <w:rPr>
                      <w:rFonts w:hint="eastAsia" w:ascii="Times New Roman" w:hAnsi="Times New Roman" w:cs="Times New Roman"/>
                      <w:sz w:val="21"/>
                      <w:szCs w:val="21"/>
                      <w:lang w:eastAsia="zh-CN"/>
                    </w:rPr>
                    <w:t>塑料膜</w:t>
                  </w:r>
                </w:p>
              </w:tc>
              <w:tc>
                <w:tcPr>
                  <w:tcW w:w="644" w:type="pct"/>
                  <w:tcBorders>
                    <w:tl2br w:val="nil"/>
                    <w:tr2bl w:val="nil"/>
                  </w:tcBorders>
                  <w:shd w:val="clear" w:color="auto" w:fill="auto"/>
                  <w:noWrap w:val="0"/>
                  <w:vAlign w:val="center"/>
                </w:tcPr>
                <w:p w14:paraId="59910D7D">
                  <w:pPr>
                    <w:jc w:val="center"/>
                    <w:rPr>
                      <w:rFonts w:hint="eastAsia" w:ascii="Times New Roman" w:hAnsi="Times New Roman" w:eastAsia="宋体" w:cs="Times New Roman"/>
                      <w:b w:val="0"/>
                      <w:bCs w:val="0"/>
                      <w:color w:val="auto"/>
                      <w:kern w:val="2"/>
                      <w:sz w:val="21"/>
                      <w:szCs w:val="21"/>
                      <w:lang w:val="en-US" w:eastAsia="zh-CN" w:bidi="ar-SA"/>
                    </w:rPr>
                  </w:pPr>
                  <w:r>
                    <w:rPr>
                      <w:rFonts w:hint="eastAsia"/>
                      <w:spacing w:val="2"/>
                      <w:position w:val="1"/>
                      <w:szCs w:val="21"/>
                    </w:rPr>
                    <w:t>1</w:t>
                  </w:r>
                  <w:r>
                    <w:rPr>
                      <w:spacing w:val="2"/>
                      <w:position w:val="1"/>
                      <w:szCs w:val="21"/>
                    </w:rPr>
                    <w:t>000</w:t>
                  </w:r>
                </w:p>
              </w:tc>
              <w:tc>
                <w:tcPr>
                  <w:tcW w:w="830" w:type="pct"/>
                  <w:tcBorders>
                    <w:tl2br w:val="nil"/>
                    <w:tr2bl w:val="nil"/>
                  </w:tcBorders>
                  <w:noWrap w:val="0"/>
                  <w:vAlign w:val="center"/>
                </w:tcPr>
                <w:p w14:paraId="4CD3042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聚对苯二甲酸乙二醇酯</w:t>
                  </w:r>
                </w:p>
              </w:tc>
              <w:tc>
                <w:tcPr>
                  <w:tcW w:w="675" w:type="pct"/>
                  <w:tcBorders>
                    <w:tl2br w:val="nil"/>
                    <w:tr2bl w:val="nil"/>
                  </w:tcBorders>
                  <w:noWrap w:val="0"/>
                  <w:vAlign w:val="center"/>
                </w:tcPr>
                <w:p w14:paraId="0BC353A3">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w:t>
                  </w:r>
                </w:p>
              </w:tc>
              <w:tc>
                <w:tcPr>
                  <w:tcW w:w="492" w:type="pct"/>
                  <w:tcBorders>
                    <w:tl2br w:val="nil"/>
                    <w:tr2bl w:val="nil"/>
                  </w:tcBorders>
                  <w:noWrap w:val="0"/>
                  <w:vAlign w:val="center"/>
                </w:tcPr>
                <w:p w14:paraId="59807BD7">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564" w:type="pct"/>
                  <w:tcBorders>
                    <w:tl2br w:val="nil"/>
                    <w:tr2bl w:val="nil"/>
                  </w:tcBorders>
                  <w:noWrap w:val="0"/>
                  <w:vAlign w:val="center"/>
                </w:tcPr>
                <w:p w14:paraId="62271E57">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560" w:type="pct"/>
                  <w:tcBorders>
                    <w:tl2br w:val="nil"/>
                    <w:tr2bl w:val="nil"/>
                  </w:tcBorders>
                  <w:noWrap w:val="0"/>
                  <w:vAlign w:val="center"/>
                </w:tcPr>
                <w:p w14:paraId="298C76AD">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3FC07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145CBB61">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886" w:type="pct"/>
                  <w:tcBorders>
                    <w:tl2br w:val="nil"/>
                    <w:tr2bl w:val="nil"/>
                  </w:tcBorders>
                  <w:noWrap w:val="0"/>
                  <w:vAlign w:val="center"/>
                </w:tcPr>
                <w:p w14:paraId="3892951F">
                  <w:pPr>
                    <w:pStyle w:val="34"/>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sz w:val="21"/>
                      <w:szCs w:val="21"/>
                      <w:lang w:eastAsia="zh-CN"/>
                    </w:rPr>
                    <w:t>A</w:t>
                  </w:r>
                  <w:r>
                    <w:rPr>
                      <w:rFonts w:ascii="Times New Roman" w:hAnsi="Times New Roman" w:cs="Times New Roman"/>
                      <w:sz w:val="21"/>
                      <w:szCs w:val="21"/>
                      <w:lang w:eastAsia="zh-CN"/>
                    </w:rPr>
                    <w:t>L</w:t>
                  </w:r>
                  <w:r>
                    <w:rPr>
                      <w:rFonts w:hint="eastAsia" w:ascii="Times New Roman" w:hAnsi="Times New Roman" w:cs="Times New Roman"/>
                      <w:sz w:val="21"/>
                      <w:szCs w:val="21"/>
                      <w:lang w:eastAsia="zh-CN"/>
                    </w:rPr>
                    <w:t>金属膜</w:t>
                  </w:r>
                </w:p>
              </w:tc>
              <w:tc>
                <w:tcPr>
                  <w:tcW w:w="644" w:type="pct"/>
                  <w:tcBorders>
                    <w:tl2br w:val="nil"/>
                    <w:tr2bl w:val="nil"/>
                  </w:tcBorders>
                  <w:shd w:val="clear" w:color="auto" w:fill="auto"/>
                  <w:noWrap w:val="0"/>
                  <w:vAlign w:val="center"/>
                </w:tcPr>
                <w:p w14:paraId="0631B255">
                  <w:pPr>
                    <w:jc w:val="center"/>
                    <w:rPr>
                      <w:rFonts w:hint="eastAsia" w:ascii="Times New Roman" w:hAnsi="Times New Roman" w:eastAsia="宋体" w:cs="Times New Roman"/>
                      <w:b w:val="0"/>
                      <w:bCs w:val="0"/>
                      <w:color w:val="auto"/>
                      <w:kern w:val="2"/>
                      <w:sz w:val="21"/>
                      <w:szCs w:val="21"/>
                      <w:lang w:val="en-US" w:eastAsia="zh-CN" w:bidi="ar-SA"/>
                    </w:rPr>
                  </w:pPr>
                  <w:r>
                    <w:rPr>
                      <w:rFonts w:hint="eastAsia"/>
                      <w:spacing w:val="2"/>
                      <w:position w:val="1"/>
                      <w:szCs w:val="21"/>
                    </w:rPr>
                    <w:t>3</w:t>
                  </w:r>
                  <w:r>
                    <w:rPr>
                      <w:spacing w:val="2"/>
                      <w:position w:val="1"/>
                      <w:szCs w:val="21"/>
                    </w:rPr>
                    <w:t>00</w:t>
                  </w:r>
                </w:p>
              </w:tc>
              <w:tc>
                <w:tcPr>
                  <w:tcW w:w="830" w:type="pct"/>
                  <w:tcBorders>
                    <w:tl2br w:val="nil"/>
                    <w:tr2bl w:val="nil"/>
                  </w:tcBorders>
                  <w:noWrap w:val="0"/>
                  <w:vAlign w:val="center"/>
                </w:tcPr>
                <w:p w14:paraId="6D553C3D">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t>纯铝和镀铝</w:t>
                  </w:r>
                </w:p>
              </w:tc>
              <w:tc>
                <w:tcPr>
                  <w:tcW w:w="675" w:type="pct"/>
                  <w:tcBorders>
                    <w:tl2br w:val="nil"/>
                    <w:tr2bl w:val="nil"/>
                  </w:tcBorders>
                  <w:noWrap w:val="0"/>
                  <w:vAlign w:val="center"/>
                </w:tcPr>
                <w:p w14:paraId="74DF843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c>
                <w:tcPr>
                  <w:tcW w:w="492" w:type="pct"/>
                  <w:tcBorders>
                    <w:tl2br w:val="nil"/>
                    <w:tr2bl w:val="nil"/>
                  </w:tcBorders>
                  <w:noWrap w:val="0"/>
                  <w:vAlign w:val="center"/>
                </w:tcPr>
                <w:p w14:paraId="2606CA64">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564" w:type="pct"/>
                  <w:tcBorders>
                    <w:tl2br w:val="nil"/>
                    <w:tr2bl w:val="nil"/>
                  </w:tcBorders>
                  <w:noWrap w:val="0"/>
                  <w:vAlign w:val="center"/>
                </w:tcPr>
                <w:p w14:paraId="20D247CA">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560" w:type="pct"/>
                  <w:tcBorders>
                    <w:tl2br w:val="nil"/>
                    <w:tr2bl w:val="nil"/>
                  </w:tcBorders>
                  <w:noWrap w:val="0"/>
                  <w:vAlign w:val="center"/>
                </w:tcPr>
                <w:p w14:paraId="0512553F">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710DC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4B0C37F2">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w:t>
                  </w:r>
                </w:p>
              </w:tc>
              <w:tc>
                <w:tcPr>
                  <w:tcW w:w="886" w:type="pct"/>
                  <w:tcBorders>
                    <w:tl2br w:val="nil"/>
                    <w:tr2bl w:val="nil"/>
                  </w:tcBorders>
                  <w:noWrap w:val="0"/>
                  <w:vAlign w:val="center"/>
                </w:tcPr>
                <w:p w14:paraId="5CF8B8FB">
                  <w:pPr>
                    <w:pStyle w:val="34"/>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sz w:val="21"/>
                      <w:szCs w:val="21"/>
                      <w:lang w:eastAsia="zh-CN"/>
                    </w:rPr>
                    <w:t>P</w:t>
                  </w:r>
                  <w:r>
                    <w:rPr>
                      <w:rFonts w:ascii="Times New Roman" w:hAnsi="Times New Roman" w:cs="Times New Roman"/>
                      <w:sz w:val="21"/>
                      <w:szCs w:val="21"/>
                      <w:lang w:eastAsia="zh-CN"/>
                    </w:rPr>
                    <w:t>A</w:t>
                  </w:r>
                  <w:r>
                    <w:rPr>
                      <w:rFonts w:hint="eastAsia" w:ascii="Times New Roman" w:hAnsi="Times New Roman" w:cs="Times New Roman"/>
                      <w:sz w:val="21"/>
                      <w:szCs w:val="21"/>
                      <w:lang w:eastAsia="zh-CN"/>
                    </w:rPr>
                    <w:t>塑料膜</w:t>
                  </w:r>
                </w:p>
              </w:tc>
              <w:tc>
                <w:tcPr>
                  <w:tcW w:w="644" w:type="pct"/>
                  <w:tcBorders>
                    <w:tl2br w:val="nil"/>
                    <w:tr2bl w:val="nil"/>
                  </w:tcBorders>
                  <w:shd w:val="clear" w:color="auto" w:fill="auto"/>
                  <w:noWrap w:val="0"/>
                  <w:vAlign w:val="center"/>
                </w:tcPr>
                <w:p w14:paraId="7CF2CE69">
                  <w:pPr>
                    <w:jc w:val="center"/>
                    <w:rPr>
                      <w:rFonts w:hint="eastAsia" w:ascii="Times New Roman" w:hAnsi="Times New Roman" w:eastAsia="宋体" w:cs="Times New Roman"/>
                      <w:b w:val="0"/>
                      <w:bCs w:val="0"/>
                      <w:color w:val="auto"/>
                      <w:kern w:val="2"/>
                      <w:sz w:val="21"/>
                      <w:szCs w:val="21"/>
                      <w:lang w:val="en-US" w:eastAsia="zh-CN" w:bidi="ar-SA"/>
                    </w:rPr>
                  </w:pPr>
                  <w:r>
                    <w:rPr>
                      <w:rFonts w:hint="eastAsia"/>
                      <w:spacing w:val="2"/>
                      <w:position w:val="1"/>
                      <w:szCs w:val="21"/>
                    </w:rPr>
                    <w:t>1</w:t>
                  </w:r>
                  <w:r>
                    <w:rPr>
                      <w:spacing w:val="2"/>
                      <w:position w:val="1"/>
                      <w:szCs w:val="21"/>
                    </w:rPr>
                    <w:t>00</w:t>
                  </w:r>
                </w:p>
              </w:tc>
              <w:tc>
                <w:tcPr>
                  <w:tcW w:w="830" w:type="pct"/>
                  <w:tcBorders>
                    <w:tl2br w:val="nil"/>
                    <w:tr2bl w:val="nil"/>
                  </w:tcBorders>
                  <w:noWrap w:val="0"/>
                  <w:vAlign w:val="center"/>
                </w:tcPr>
                <w:p w14:paraId="2FD6D4B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聚酰胺树脂</w:t>
                  </w:r>
                </w:p>
              </w:tc>
              <w:tc>
                <w:tcPr>
                  <w:tcW w:w="675" w:type="pct"/>
                  <w:tcBorders>
                    <w:tl2br w:val="nil"/>
                    <w:tr2bl w:val="nil"/>
                  </w:tcBorders>
                  <w:noWrap w:val="0"/>
                  <w:vAlign w:val="center"/>
                </w:tcPr>
                <w:p w14:paraId="4001A2FA">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492" w:type="pct"/>
                  <w:tcBorders>
                    <w:tl2br w:val="nil"/>
                    <w:tr2bl w:val="nil"/>
                  </w:tcBorders>
                  <w:noWrap w:val="0"/>
                  <w:vAlign w:val="center"/>
                </w:tcPr>
                <w:p w14:paraId="63730CDD">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564" w:type="pct"/>
                  <w:tcBorders>
                    <w:tl2br w:val="nil"/>
                    <w:tr2bl w:val="nil"/>
                  </w:tcBorders>
                  <w:noWrap w:val="0"/>
                  <w:vAlign w:val="center"/>
                </w:tcPr>
                <w:p w14:paraId="025333EB">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560" w:type="pct"/>
                  <w:tcBorders>
                    <w:tl2br w:val="nil"/>
                    <w:tr2bl w:val="nil"/>
                  </w:tcBorders>
                  <w:noWrap w:val="0"/>
                  <w:vAlign w:val="center"/>
                </w:tcPr>
                <w:p w14:paraId="0F21F4E4">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1032C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6565E8D8">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w:t>
                  </w:r>
                </w:p>
              </w:tc>
              <w:tc>
                <w:tcPr>
                  <w:tcW w:w="886" w:type="pct"/>
                  <w:tcBorders>
                    <w:tl2br w:val="nil"/>
                    <w:tr2bl w:val="nil"/>
                  </w:tcBorders>
                  <w:noWrap w:val="0"/>
                  <w:vAlign w:val="center"/>
                </w:tcPr>
                <w:p w14:paraId="7431FF03">
                  <w:pPr>
                    <w:pStyle w:val="34"/>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sz w:val="21"/>
                      <w:szCs w:val="21"/>
                    </w:rPr>
                    <w:t>PE原生料米</w:t>
                  </w:r>
                </w:p>
              </w:tc>
              <w:tc>
                <w:tcPr>
                  <w:tcW w:w="644" w:type="pct"/>
                  <w:tcBorders>
                    <w:tl2br w:val="nil"/>
                    <w:tr2bl w:val="nil"/>
                  </w:tcBorders>
                  <w:shd w:val="clear" w:color="auto" w:fill="auto"/>
                  <w:noWrap w:val="0"/>
                  <w:vAlign w:val="center"/>
                </w:tcPr>
                <w:p w14:paraId="6728AAA4">
                  <w:pPr>
                    <w:jc w:val="center"/>
                    <w:rPr>
                      <w:rFonts w:hint="eastAsia" w:ascii="Times New Roman" w:hAnsi="Times New Roman" w:eastAsia="宋体" w:cs="Times New Roman"/>
                      <w:b w:val="0"/>
                      <w:bCs w:val="0"/>
                      <w:color w:val="auto"/>
                      <w:kern w:val="2"/>
                      <w:sz w:val="21"/>
                      <w:szCs w:val="21"/>
                      <w:lang w:val="en-US" w:eastAsia="zh-CN" w:bidi="ar-SA"/>
                    </w:rPr>
                  </w:pPr>
                  <w:r>
                    <w:rPr>
                      <w:rFonts w:hint="eastAsia"/>
                      <w:spacing w:val="2"/>
                      <w:position w:val="1"/>
                      <w:szCs w:val="21"/>
                    </w:rPr>
                    <w:t>1</w:t>
                  </w:r>
                  <w:r>
                    <w:rPr>
                      <w:spacing w:val="2"/>
                      <w:position w:val="1"/>
                      <w:szCs w:val="21"/>
                    </w:rPr>
                    <w:t>000</w:t>
                  </w:r>
                </w:p>
              </w:tc>
              <w:tc>
                <w:tcPr>
                  <w:tcW w:w="830" w:type="pct"/>
                  <w:tcBorders>
                    <w:tl2br w:val="nil"/>
                    <w:tr2bl w:val="nil"/>
                  </w:tcBorders>
                  <w:noWrap w:val="0"/>
                  <w:vAlign w:val="center"/>
                </w:tcPr>
                <w:p w14:paraId="28A47F7E">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聚乙烯树脂</w:t>
                  </w:r>
                </w:p>
              </w:tc>
              <w:tc>
                <w:tcPr>
                  <w:tcW w:w="675" w:type="pct"/>
                  <w:tcBorders>
                    <w:tl2br w:val="nil"/>
                    <w:tr2bl w:val="nil"/>
                  </w:tcBorders>
                  <w:noWrap w:val="0"/>
                  <w:vAlign w:val="center"/>
                </w:tcPr>
                <w:p w14:paraId="4A8186A4">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w:t>
                  </w:r>
                </w:p>
              </w:tc>
              <w:tc>
                <w:tcPr>
                  <w:tcW w:w="492" w:type="pct"/>
                  <w:tcBorders>
                    <w:tl2br w:val="nil"/>
                    <w:tr2bl w:val="nil"/>
                  </w:tcBorders>
                  <w:noWrap w:val="0"/>
                  <w:vAlign w:val="center"/>
                </w:tcPr>
                <w:p w14:paraId="653DF7F0">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564" w:type="pct"/>
                  <w:tcBorders>
                    <w:tl2br w:val="nil"/>
                    <w:tr2bl w:val="nil"/>
                  </w:tcBorders>
                  <w:noWrap w:val="0"/>
                  <w:vAlign w:val="center"/>
                </w:tcPr>
                <w:p w14:paraId="2FCCDB8B">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560" w:type="pct"/>
                  <w:tcBorders>
                    <w:tl2br w:val="nil"/>
                    <w:tr2bl w:val="nil"/>
                  </w:tcBorders>
                  <w:noWrap w:val="0"/>
                  <w:vAlign w:val="center"/>
                </w:tcPr>
                <w:p w14:paraId="4800248E">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5CB59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shd w:val="clear" w:color="auto" w:fill="auto"/>
                  <w:noWrap w:val="0"/>
                  <w:vAlign w:val="center"/>
                </w:tcPr>
                <w:p w14:paraId="1FF4C000">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8</w:t>
                  </w:r>
                </w:p>
              </w:tc>
              <w:tc>
                <w:tcPr>
                  <w:tcW w:w="886" w:type="pct"/>
                  <w:tcBorders>
                    <w:tl2br w:val="nil"/>
                    <w:tr2bl w:val="nil"/>
                  </w:tcBorders>
                  <w:noWrap w:val="0"/>
                  <w:vAlign w:val="center"/>
                </w:tcPr>
                <w:p w14:paraId="336403ED">
                  <w:pPr>
                    <w:pStyle w:val="34"/>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sz w:val="21"/>
                      <w:szCs w:val="21"/>
                    </w:rPr>
                    <w:t>凹版塑料印刷油墨</w:t>
                  </w:r>
                </w:p>
              </w:tc>
              <w:tc>
                <w:tcPr>
                  <w:tcW w:w="644" w:type="pct"/>
                  <w:tcBorders>
                    <w:tl2br w:val="nil"/>
                    <w:tr2bl w:val="nil"/>
                  </w:tcBorders>
                  <w:shd w:val="clear" w:color="auto" w:fill="auto"/>
                  <w:noWrap w:val="0"/>
                  <w:vAlign w:val="center"/>
                </w:tcPr>
                <w:p w14:paraId="352538C8">
                  <w:pPr>
                    <w:jc w:val="center"/>
                    <w:rPr>
                      <w:rFonts w:hint="default" w:ascii="Times New Roman" w:hAnsi="Times New Roman" w:eastAsia="宋体" w:cs="Times New Roman"/>
                      <w:b w:val="0"/>
                      <w:bCs w:val="0"/>
                      <w:color w:val="auto"/>
                      <w:kern w:val="2"/>
                      <w:sz w:val="21"/>
                      <w:szCs w:val="21"/>
                      <w:lang w:val="en-US" w:eastAsia="zh-CN" w:bidi="ar-SA"/>
                    </w:rPr>
                  </w:pPr>
                  <w:r>
                    <w:rPr>
                      <w:spacing w:val="2"/>
                      <w:position w:val="1"/>
                      <w:szCs w:val="21"/>
                    </w:rPr>
                    <w:t>3</w:t>
                  </w:r>
                </w:p>
              </w:tc>
              <w:tc>
                <w:tcPr>
                  <w:tcW w:w="830" w:type="pct"/>
                  <w:tcBorders>
                    <w:tl2br w:val="nil"/>
                    <w:tr2bl w:val="nil"/>
                  </w:tcBorders>
                  <w:noWrap w:val="0"/>
                  <w:vAlign w:val="center"/>
                </w:tcPr>
                <w:p w14:paraId="49FB268E">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醋酸正丙脂、乙酸乙酯、异丙醇</w:t>
                  </w:r>
                </w:p>
              </w:tc>
              <w:tc>
                <w:tcPr>
                  <w:tcW w:w="675" w:type="pct"/>
                  <w:tcBorders>
                    <w:tl2br w:val="nil"/>
                    <w:tr2bl w:val="nil"/>
                  </w:tcBorders>
                  <w:noWrap w:val="0"/>
                  <w:vAlign w:val="center"/>
                </w:tcPr>
                <w:p w14:paraId="09ADBD4F">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0.25</w:t>
                  </w:r>
                </w:p>
              </w:tc>
              <w:tc>
                <w:tcPr>
                  <w:tcW w:w="492" w:type="pct"/>
                  <w:tcBorders>
                    <w:tl2br w:val="nil"/>
                    <w:tr2bl w:val="nil"/>
                  </w:tcBorders>
                  <w:noWrap w:val="0"/>
                  <w:vAlign w:val="center"/>
                </w:tcPr>
                <w:p w14:paraId="79387145">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液</w:t>
                  </w:r>
                  <w:r>
                    <w:rPr>
                      <w:rFonts w:hint="eastAsia" w:ascii="Times New Roman" w:hAnsi="Times New Roman" w:cs="Times New Roman"/>
                      <w:b w:val="0"/>
                      <w:bCs w:val="0"/>
                      <w:color w:val="auto"/>
                      <w:sz w:val="21"/>
                      <w:szCs w:val="21"/>
                      <w:lang w:val="en-US" w:eastAsia="zh-CN"/>
                    </w:rPr>
                    <w:t>体</w:t>
                  </w:r>
                </w:p>
              </w:tc>
              <w:tc>
                <w:tcPr>
                  <w:tcW w:w="564" w:type="pct"/>
                  <w:tcBorders>
                    <w:tl2br w:val="nil"/>
                    <w:tr2bl w:val="nil"/>
                  </w:tcBorders>
                  <w:noWrap w:val="0"/>
                  <w:vAlign w:val="center"/>
                </w:tcPr>
                <w:p w14:paraId="018B44F3">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560" w:type="pct"/>
                  <w:tcBorders>
                    <w:tl2br w:val="nil"/>
                    <w:tr2bl w:val="nil"/>
                  </w:tcBorders>
                  <w:noWrap w:val="0"/>
                  <w:vAlign w:val="center"/>
                </w:tcPr>
                <w:p w14:paraId="0E090FDF">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1C4E3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shd w:val="clear" w:color="auto" w:fill="auto"/>
                  <w:noWrap w:val="0"/>
                  <w:vAlign w:val="center"/>
                </w:tcPr>
                <w:p w14:paraId="0758A7CC">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9</w:t>
                  </w:r>
                </w:p>
              </w:tc>
              <w:tc>
                <w:tcPr>
                  <w:tcW w:w="886" w:type="pct"/>
                  <w:tcBorders>
                    <w:tl2br w:val="nil"/>
                    <w:tr2bl w:val="nil"/>
                  </w:tcBorders>
                  <w:noWrap w:val="0"/>
                  <w:vAlign w:val="center"/>
                </w:tcPr>
                <w:p w14:paraId="780260C7">
                  <w:pPr>
                    <w:pStyle w:val="34"/>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spacing w:val="4"/>
                      <w:sz w:val="21"/>
                      <w:szCs w:val="21"/>
                    </w:rPr>
                    <w:t>稀释溶剂</w:t>
                  </w:r>
                </w:p>
              </w:tc>
              <w:tc>
                <w:tcPr>
                  <w:tcW w:w="644" w:type="pct"/>
                  <w:tcBorders>
                    <w:tl2br w:val="nil"/>
                    <w:tr2bl w:val="nil"/>
                  </w:tcBorders>
                  <w:shd w:val="clear" w:color="auto" w:fill="auto"/>
                  <w:noWrap w:val="0"/>
                  <w:vAlign w:val="center"/>
                </w:tcPr>
                <w:p w14:paraId="559934CE">
                  <w:pPr>
                    <w:jc w:val="center"/>
                    <w:rPr>
                      <w:rFonts w:hint="default" w:ascii="Times New Roman" w:hAnsi="Times New Roman" w:eastAsia="宋体" w:cs="Times New Roman"/>
                      <w:b w:val="0"/>
                      <w:bCs w:val="0"/>
                      <w:color w:val="auto"/>
                      <w:kern w:val="2"/>
                      <w:sz w:val="21"/>
                      <w:szCs w:val="21"/>
                      <w:highlight w:val="none"/>
                      <w:lang w:val="en-US" w:eastAsia="zh-CN" w:bidi="ar-SA"/>
                    </w:rPr>
                  </w:pPr>
                  <w:r>
                    <w:rPr>
                      <w:spacing w:val="1"/>
                      <w:szCs w:val="21"/>
                      <w:highlight w:val="none"/>
                    </w:rPr>
                    <w:t>3.2</w:t>
                  </w:r>
                </w:p>
              </w:tc>
              <w:tc>
                <w:tcPr>
                  <w:tcW w:w="830" w:type="pct"/>
                  <w:tcBorders>
                    <w:tl2br w:val="nil"/>
                    <w:tr2bl w:val="nil"/>
                  </w:tcBorders>
                  <w:noWrap w:val="0"/>
                  <w:vAlign w:val="center"/>
                </w:tcPr>
                <w:p w14:paraId="32B85053">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lang w:val="en-US" w:eastAsia="zh-CN"/>
                    </w:rPr>
                    <w:t>异丙醇、乙酸乙酯、乙酸正丙酯、乙酸正丁酯</w:t>
                  </w:r>
                </w:p>
              </w:tc>
              <w:tc>
                <w:tcPr>
                  <w:tcW w:w="675" w:type="pct"/>
                  <w:tcBorders>
                    <w:tl2br w:val="nil"/>
                    <w:tr2bl w:val="nil"/>
                  </w:tcBorders>
                  <w:noWrap w:val="0"/>
                  <w:vAlign w:val="center"/>
                </w:tcPr>
                <w:p w14:paraId="7387D71C">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0.25</w:t>
                  </w:r>
                </w:p>
              </w:tc>
              <w:tc>
                <w:tcPr>
                  <w:tcW w:w="492" w:type="pct"/>
                  <w:tcBorders>
                    <w:tl2br w:val="nil"/>
                    <w:tr2bl w:val="nil"/>
                  </w:tcBorders>
                  <w:noWrap w:val="0"/>
                  <w:vAlign w:val="center"/>
                </w:tcPr>
                <w:p w14:paraId="603DCEDD">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液</w:t>
                  </w:r>
                  <w:r>
                    <w:rPr>
                      <w:rFonts w:hint="eastAsia" w:ascii="Times New Roman" w:hAnsi="Times New Roman" w:cs="Times New Roman"/>
                      <w:b w:val="0"/>
                      <w:bCs w:val="0"/>
                      <w:color w:val="auto"/>
                      <w:sz w:val="21"/>
                      <w:szCs w:val="21"/>
                      <w:lang w:val="en-US" w:eastAsia="zh-CN"/>
                    </w:rPr>
                    <w:t>体</w:t>
                  </w:r>
                </w:p>
              </w:tc>
              <w:tc>
                <w:tcPr>
                  <w:tcW w:w="564" w:type="pct"/>
                  <w:tcBorders>
                    <w:tl2br w:val="nil"/>
                    <w:tr2bl w:val="nil"/>
                  </w:tcBorders>
                  <w:noWrap w:val="0"/>
                  <w:vAlign w:val="center"/>
                </w:tcPr>
                <w:p w14:paraId="314BC65F">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560" w:type="pct"/>
                  <w:tcBorders>
                    <w:tl2br w:val="nil"/>
                    <w:tr2bl w:val="nil"/>
                  </w:tcBorders>
                  <w:noWrap w:val="0"/>
                  <w:vAlign w:val="center"/>
                </w:tcPr>
                <w:p w14:paraId="547C281F">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41996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shd w:val="clear" w:color="auto" w:fill="auto"/>
                  <w:noWrap w:val="0"/>
                  <w:vAlign w:val="center"/>
                </w:tcPr>
                <w:p w14:paraId="04671AA8">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0</w:t>
                  </w:r>
                </w:p>
              </w:tc>
              <w:tc>
                <w:tcPr>
                  <w:tcW w:w="886" w:type="pct"/>
                  <w:tcBorders>
                    <w:tl2br w:val="nil"/>
                    <w:tr2bl w:val="nil"/>
                  </w:tcBorders>
                  <w:noWrap w:val="0"/>
                  <w:vAlign w:val="center"/>
                </w:tcPr>
                <w:p w14:paraId="45C47777">
                  <w:pPr>
                    <w:pStyle w:val="34"/>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sz w:val="21"/>
                      <w:szCs w:val="21"/>
                      <w:lang w:eastAsia="zh-CN"/>
                    </w:rPr>
                    <w:t>无溶剂</w:t>
                  </w:r>
                  <w:r>
                    <w:rPr>
                      <w:rFonts w:hint="eastAsia" w:ascii="Times New Roman" w:hAnsi="Times New Roman" w:cs="Times New Roman"/>
                      <w:sz w:val="21"/>
                      <w:szCs w:val="21"/>
                      <w:lang w:val="en-US" w:eastAsia="zh-CN"/>
                    </w:rPr>
                    <w:t>型</w:t>
                  </w:r>
                  <w:r>
                    <w:rPr>
                      <w:rFonts w:hint="eastAsia" w:ascii="Times New Roman" w:hAnsi="Times New Roman" w:cs="Times New Roman"/>
                      <w:sz w:val="21"/>
                      <w:szCs w:val="21"/>
                      <w:lang w:eastAsia="zh-CN"/>
                    </w:rPr>
                    <w:t>黏合剂（无溶剂复合胶）</w:t>
                  </w:r>
                </w:p>
              </w:tc>
              <w:tc>
                <w:tcPr>
                  <w:tcW w:w="644" w:type="pct"/>
                  <w:tcBorders>
                    <w:tl2br w:val="nil"/>
                    <w:tr2bl w:val="nil"/>
                  </w:tcBorders>
                  <w:shd w:val="clear" w:color="auto" w:fill="auto"/>
                  <w:noWrap w:val="0"/>
                  <w:vAlign w:val="center"/>
                </w:tcPr>
                <w:p w14:paraId="587718A5">
                  <w:pPr>
                    <w:jc w:val="center"/>
                    <w:rPr>
                      <w:rFonts w:hint="default" w:ascii="Times New Roman" w:hAnsi="Times New Roman" w:eastAsia="宋体" w:cs="Times New Roman"/>
                      <w:b w:val="0"/>
                      <w:bCs w:val="0"/>
                      <w:color w:val="auto"/>
                      <w:kern w:val="2"/>
                      <w:sz w:val="21"/>
                      <w:szCs w:val="21"/>
                      <w:lang w:val="en-US" w:eastAsia="zh-CN" w:bidi="ar-SA"/>
                    </w:rPr>
                  </w:pPr>
                  <w:r>
                    <w:rPr>
                      <w:spacing w:val="2"/>
                      <w:position w:val="1"/>
                      <w:szCs w:val="21"/>
                    </w:rPr>
                    <w:t>380</w:t>
                  </w:r>
                </w:p>
              </w:tc>
              <w:tc>
                <w:tcPr>
                  <w:tcW w:w="830" w:type="pct"/>
                  <w:tcBorders>
                    <w:tl2br w:val="nil"/>
                    <w:tr2bl w:val="nil"/>
                  </w:tcBorders>
                  <w:noWrap w:val="0"/>
                  <w:vAlign w:val="center"/>
                </w:tcPr>
                <w:p w14:paraId="304101D2">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聚氨酯预聚物</w:t>
                  </w:r>
                </w:p>
              </w:tc>
              <w:tc>
                <w:tcPr>
                  <w:tcW w:w="675" w:type="pct"/>
                  <w:tcBorders>
                    <w:tl2br w:val="nil"/>
                    <w:tr2bl w:val="nil"/>
                  </w:tcBorders>
                  <w:noWrap w:val="0"/>
                  <w:vAlign w:val="center"/>
                </w:tcPr>
                <w:p w14:paraId="1EF21AF6">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492" w:type="pct"/>
                  <w:tcBorders>
                    <w:tl2br w:val="nil"/>
                    <w:tr2bl w:val="nil"/>
                  </w:tcBorders>
                  <w:noWrap w:val="0"/>
                  <w:vAlign w:val="center"/>
                </w:tcPr>
                <w:p w14:paraId="44B309FF">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液</w:t>
                  </w:r>
                  <w:r>
                    <w:rPr>
                      <w:rFonts w:hint="eastAsia" w:ascii="Times New Roman" w:hAnsi="Times New Roman" w:cs="Times New Roman"/>
                      <w:b w:val="0"/>
                      <w:bCs w:val="0"/>
                      <w:color w:val="auto"/>
                      <w:sz w:val="21"/>
                      <w:szCs w:val="21"/>
                      <w:lang w:val="en-US" w:eastAsia="zh-CN"/>
                    </w:rPr>
                    <w:t>体</w:t>
                  </w:r>
                </w:p>
              </w:tc>
              <w:tc>
                <w:tcPr>
                  <w:tcW w:w="564" w:type="pct"/>
                  <w:tcBorders>
                    <w:tl2br w:val="nil"/>
                    <w:tr2bl w:val="nil"/>
                  </w:tcBorders>
                  <w:noWrap w:val="0"/>
                  <w:vAlign w:val="center"/>
                </w:tcPr>
                <w:p w14:paraId="7D16705B">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560" w:type="pct"/>
                  <w:tcBorders>
                    <w:tl2br w:val="nil"/>
                    <w:tr2bl w:val="nil"/>
                  </w:tcBorders>
                  <w:noWrap w:val="0"/>
                  <w:vAlign w:val="center"/>
                </w:tcPr>
                <w:p w14:paraId="75591000">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37B7E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shd w:val="clear" w:color="auto" w:fill="auto"/>
                  <w:noWrap w:val="0"/>
                  <w:vAlign w:val="center"/>
                </w:tcPr>
                <w:p w14:paraId="43FB7E78">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w:t>
                  </w:r>
                </w:p>
              </w:tc>
              <w:tc>
                <w:tcPr>
                  <w:tcW w:w="886" w:type="pct"/>
                  <w:tcBorders>
                    <w:tl2br w:val="nil"/>
                    <w:tr2bl w:val="nil"/>
                  </w:tcBorders>
                  <w:noWrap w:val="0"/>
                  <w:vAlign w:val="center"/>
                </w:tcPr>
                <w:p w14:paraId="6F79222F">
                  <w:pPr>
                    <w:pStyle w:val="34"/>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sz w:val="21"/>
                      <w:szCs w:val="21"/>
                      <w:lang w:eastAsia="zh-CN"/>
                    </w:rPr>
                    <w:t>溶剂型黏合剂（聚氨酯胶黏剂）</w:t>
                  </w:r>
                </w:p>
              </w:tc>
              <w:tc>
                <w:tcPr>
                  <w:tcW w:w="644" w:type="pct"/>
                  <w:tcBorders>
                    <w:tl2br w:val="nil"/>
                    <w:tr2bl w:val="nil"/>
                  </w:tcBorders>
                  <w:shd w:val="clear" w:color="auto" w:fill="auto"/>
                  <w:noWrap w:val="0"/>
                  <w:vAlign w:val="center"/>
                </w:tcPr>
                <w:p w14:paraId="5AE8E199">
                  <w:pPr>
                    <w:jc w:val="center"/>
                    <w:rPr>
                      <w:rFonts w:hint="default" w:ascii="Times New Roman" w:hAnsi="Times New Roman" w:eastAsia="宋体" w:cs="Times New Roman"/>
                      <w:b w:val="0"/>
                      <w:bCs w:val="0"/>
                      <w:color w:val="auto"/>
                      <w:kern w:val="2"/>
                      <w:sz w:val="21"/>
                      <w:szCs w:val="21"/>
                      <w:lang w:val="en-US" w:eastAsia="zh-CN" w:bidi="ar-SA"/>
                    </w:rPr>
                  </w:pPr>
                  <w:r>
                    <w:rPr>
                      <w:spacing w:val="2"/>
                      <w:position w:val="1"/>
                      <w:szCs w:val="21"/>
                    </w:rPr>
                    <w:t>1</w:t>
                  </w:r>
                </w:p>
              </w:tc>
              <w:tc>
                <w:tcPr>
                  <w:tcW w:w="830" w:type="pct"/>
                  <w:tcBorders>
                    <w:tl2br w:val="nil"/>
                    <w:tr2bl w:val="nil"/>
                  </w:tcBorders>
                  <w:noWrap w:val="0"/>
                  <w:vAlign w:val="center"/>
                </w:tcPr>
                <w:p w14:paraId="3FF60511">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聚酯多元醇、乙酸乙酯</w:t>
                  </w:r>
                </w:p>
              </w:tc>
              <w:tc>
                <w:tcPr>
                  <w:tcW w:w="675" w:type="pct"/>
                  <w:tcBorders>
                    <w:tl2br w:val="nil"/>
                    <w:tr2bl w:val="nil"/>
                  </w:tcBorders>
                  <w:noWrap w:val="0"/>
                  <w:vAlign w:val="center"/>
                </w:tcPr>
                <w:p w14:paraId="68450261">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0.2</w:t>
                  </w:r>
                </w:p>
              </w:tc>
              <w:tc>
                <w:tcPr>
                  <w:tcW w:w="492" w:type="pct"/>
                  <w:tcBorders>
                    <w:tl2br w:val="nil"/>
                    <w:tr2bl w:val="nil"/>
                  </w:tcBorders>
                  <w:noWrap w:val="0"/>
                  <w:vAlign w:val="center"/>
                </w:tcPr>
                <w:p w14:paraId="12B8BF05">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液</w:t>
                  </w:r>
                  <w:r>
                    <w:rPr>
                      <w:rFonts w:hint="eastAsia" w:ascii="Times New Roman" w:hAnsi="Times New Roman" w:cs="Times New Roman"/>
                      <w:b w:val="0"/>
                      <w:bCs w:val="0"/>
                      <w:color w:val="auto"/>
                      <w:sz w:val="21"/>
                      <w:szCs w:val="21"/>
                      <w:lang w:val="en-US" w:eastAsia="zh-CN"/>
                    </w:rPr>
                    <w:t>体</w:t>
                  </w:r>
                </w:p>
              </w:tc>
              <w:tc>
                <w:tcPr>
                  <w:tcW w:w="564" w:type="pct"/>
                  <w:tcBorders>
                    <w:tl2br w:val="nil"/>
                    <w:tr2bl w:val="nil"/>
                  </w:tcBorders>
                  <w:noWrap w:val="0"/>
                  <w:vAlign w:val="center"/>
                </w:tcPr>
                <w:p w14:paraId="2604DF63">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560" w:type="pct"/>
                  <w:tcBorders>
                    <w:tl2br w:val="nil"/>
                    <w:tr2bl w:val="nil"/>
                  </w:tcBorders>
                  <w:noWrap w:val="0"/>
                  <w:vAlign w:val="center"/>
                </w:tcPr>
                <w:p w14:paraId="0A77A65B">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414D2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shd w:val="clear" w:color="auto" w:fill="auto"/>
                  <w:noWrap w:val="0"/>
                  <w:vAlign w:val="center"/>
                </w:tcPr>
                <w:p w14:paraId="177F5CA3">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12</w:t>
                  </w:r>
                </w:p>
              </w:tc>
              <w:tc>
                <w:tcPr>
                  <w:tcW w:w="886" w:type="pct"/>
                  <w:tcBorders>
                    <w:tl2br w:val="nil"/>
                    <w:tr2bl w:val="nil"/>
                  </w:tcBorders>
                  <w:noWrap w:val="0"/>
                  <w:vAlign w:val="center"/>
                </w:tcPr>
                <w:p w14:paraId="52B2DA68">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生产用电</w:t>
                  </w:r>
                </w:p>
              </w:tc>
              <w:tc>
                <w:tcPr>
                  <w:tcW w:w="644" w:type="pct"/>
                  <w:tcBorders>
                    <w:tl2br w:val="nil"/>
                    <w:tr2bl w:val="nil"/>
                  </w:tcBorders>
                  <w:noWrap w:val="0"/>
                  <w:vAlign w:val="center"/>
                </w:tcPr>
                <w:p w14:paraId="462D6524">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szCs w:val="24"/>
                      <w:lang w:val="en-US" w:eastAsia="zh-CN"/>
                    </w:rPr>
                    <w:t>170万</w:t>
                  </w:r>
                  <w:r>
                    <w:rPr>
                      <w:rFonts w:ascii="Times New Roman" w:hAnsi="Times New Roman" w:eastAsia="宋体"/>
                      <w:szCs w:val="24"/>
                    </w:rPr>
                    <w:t>kwh/年</w:t>
                  </w:r>
                </w:p>
              </w:tc>
              <w:tc>
                <w:tcPr>
                  <w:tcW w:w="830" w:type="pct"/>
                  <w:tcBorders>
                    <w:tl2br w:val="nil"/>
                    <w:tr2bl w:val="nil"/>
                  </w:tcBorders>
                  <w:noWrap w:val="0"/>
                  <w:vAlign w:val="center"/>
                </w:tcPr>
                <w:p w14:paraId="132CC3F1">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2291" w:type="pct"/>
                  <w:gridSpan w:val="4"/>
                  <w:tcBorders>
                    <w:tl2br w:val="nil"/>
                    <w:tr2bl w:val="nil"/>
                  </w:tcBorders>
                  <w:noWrap w:val="0"/>
                  <w:vAlign w:val="center"/>
                </w:tcPr>
                <w:p w14:paraId="2E2BE55F">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03441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7" w:type="pct"/>
                  <w:tcBorders>
                    <w:tl2br w:val="nil"/>
                    <w:tr2bl w:val="nil"/>
                  </w:tcBorders>
                  <w:noWrap w:val="0"/>
                  <w:vAlign w:val="center"/>
                </w:tcPr>
                <w:p w14:paraId="20171AC3">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17</w:t>
                  </w:r>
                </w:p>
              </w:tc>
              <w:tc>
                <w:tcPr>
                  <w:tcW w:w="886" w:type="pct"/>
                  <w:tcBorders>
                    <w:tl2br w:val="nil"/>
                    <w:tr2bl w:val="nil"/>
                  </w:tcBorders>
                  <w:noWrap w:val="0"/>
                  <w:vAlign w:val="center"/>
                </w:tcPr>
                <w:p w14:paraId="650AF380">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w:t>
                  </w:r>
                  <w:r>
                    <w:rPr>
                      <w:rFonts w:hint="eastAsia" w:cs="Times New Roman"/>
                      <w:b w:val="0"/>
                      <w:bCs w:val="0"/>
                      <w:color w:val="auto"/>
                      <w:sz w:val="21"/>
                      <w:szCs w:val="21"/>
                      <w:lang w:val="en-US" w:eastAsia="zh-CN"/>
                    </w:rPr>
                    <w:t>活</w:t>
                  </w:r>
                  <w:r>
                    <w:rPr>
                      <w:rFonts w:hint="default" w:ascii="Times New Roman" w:hAnsi="Times New Roman" w:eastAsia="宋体" w:cs="Times New Roman"/>
                      <w:b w:val="0"/>
                      <w:bCs w:val="0"/>
                      <w:color w:val="auto"/>
                      <w:sz w:val="21"/>
                      <w:szCs w:val="21"/>
                      <w:lang w:val="en-US" w:eastAsia="zh-CN"/>
                    </w:rPr>
                    <w:t>用水</w:t>
                  </w:r>
                </w:p>
              </w:tc>
              <w:tc>
                <w:tcPr>
                  <w:tcW w:w="644" w:type="pct"/>
                  <w:tcBorders>
                    <w:tl2br w:val="nil"/>
                    <w:tr2bl w:val="nil"/>
                  </w:tcBorders>
                  <w:noWrap w:val="0"/>
                  <w:vAlign w:val="center"/>
                </w:tcPr>
                <w:p w14:paraId="7A09DE50">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900</w:t>
                  </w:r>
                </w:p>
              </w:tc>
              <w:tc>
                <w:tcPr>
                  <w:tcW w:w="830" w:type="pct"/>
                  <w:tcBorders>
                    <w:tl2br w:val="nil"/>
                    <w:tr2bl w:val="nil"/>
                  </w:tcBorders>
                  <w:noWrap w:val="0"/>
                  <w:vAlign w:val="center"/>
                </w:tcPr>
                <w:p w14:paraId="2F554B41">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2291" w:type="pct"/>
                  <w:gridSpan w:val="4"/>
                  <w:tcBorders>
                    <w:tl2br w:val="nil"/>
                    <w:tr2bl w:val="nil"/>
                  </w:tcBorders>
                  <w:noWrap w:val="0"/>
                  <w:vAlign w:val="center"/>
                </w:tcPr>
                <w:p w14:paraId="11B14624">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bl>
          <w:p w14:paraId="140CB3E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表2.2-</w:t>
            </w:r>
            <w:r>
              <w:rPr>
                <w:rFonts w:hint="eastAsia" w:ascii="Times New Roman" w:hAnsi="Times New Roman" w:cs="Times New Roman"/>
                <w:b/>
                <w:bCs/>
                <w:color w:val="auto"/>
                <w:sz w:val="24"/>
                <w:szCs w:val="24"/>
                <w:u w:val="none"/>
                <w:lang w:val="en-US" w:eastAsia="zh-CN"/>
              </w:rPr>
              <w:t>5</w:t>
            </w:r>
            <w:r>
              <w:rPr>
                <w:rFonts w:hint="eastAsia" w:ascii="Times New Roman" w:hAnsi="Times New Roman" w:eastAsia="宋体" w:cs="Times New Roman"/>
                <w:b/>
                <w:bCs/>
                <w:color w:val="auto"/>
                <w:sz w:val="24"/>
                <w:szCs w:val="24"/>
                <w:u w:val="none"/>
                <w:lang w:val="en-US" w:eastAsia="zh-CN"/>
              </w:rPr>
              <w:t xml:space="preserve"> 原辅材料</w:t>
            </w:r>
            <w:r>
              <w:rPr>
                <w:rFonts w:hint="eastAsia" w:ascii="Times New Roman" w:hAnsi="Times New Roman" w:cs="Times New Roman"/>
                <w:b/>
                <w:bCs/>
                <w:color w:val="auto"/>
                <w:sz w:val="24"/>
                <w:szCs w:val="24"/>
                <w:u w:val="none"/>
                <w:lang w:val="en-US" w:eastAsia="zh-CN"/>
              </w:rPr>
              <w:t>理化性质表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006"/>
              <w:gridCol w:w="1425"/>
              <w:gridCol w:w="5725"/>
            </w:tblGrid>
            <w:tr w14:paraId="06A19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66" w:type="pct"/>
                  <w:tcBorders>
                    <w:tl2br w:val="nil"/>
                    <w:tr2bl w:val="nil"/>
                  </w:tcBorders>
                  <w:vAlign w:val="center"/>
                </w:tcPr>
                <w:p w14:paraId="5B1EE3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83" w:type="pct"/>
                  <w:tcBorders>
                    <w:tl2br w:val="nil"/>
                    <w:tr2bl w:val="nil"/>
                  </w:tcBorders>
                  <w:vAlign w:val="center"/>
                </w:tcPr>
                <w:p w14:paraId="58AB94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原辅材料名称</w:t>
                  </w:r>
                </w:p>
              </w:tc>
              <w:tc>
                <w:tcPr>
                  <w:tcW w:w="4149" w:type="pct"/>
                  <w:gridSpan w:val="2"/>
                  <w:tcBorders>
                    <w:tl2br w:val="nil"/>
                    <w:tr2bl w:val="nil"/>
                  </w:tcBorders>
                  <w:vAlign w:val="center"/>
                </w:tcPr>
                <w:p w14:paraId="6439C0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理化性质</w:t>
                  </w:r>
                </w:p>
              </w:tc>
            </w:tr>
            <w:tr w14:paraId="0413A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266" w:type="pct"/>
                  <w:tcBorders>
                    <w:tl2br w:val="nil"/>
                    <w:tr2bl w:val="nil"/>
                  </w:tcBorders>
                  <w:shd w:val="clear" w:color="auto" w:fill="auto"/>
                  <w:vAlign w:val="center"/>
                </w:tcPr>
                <w:p w14:paraId="492744A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583" w:type="pct"/>
                  <w:tcBorders>
                    <w:tl2br w:val="nil"/>
                    <w:tr2bl w:val="nil"/>
                  </w:tcBorders>
                  <w:shd w:val="clear" w:color="auto" w:fill="auto"/>
                  <w:vAlign w:val="center"/>
                </w:tcPr>
                <w:p w14:paraId="77C30F60">
                  <w:pPr>
                    <w:pStyle w:val="34"/>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sz w:val="21"/>
                      <w:szCs w:val="21"/>
                    </w:rPr>
                    <w:t>凹版印刷油墨</w:t>
                  </w:r>
                </w:p>
              </w:tc>
              <w:tc>
                <w:tcPr>
                  <w:tcW w:w="4149" w:type="pct"/>
                  <w:gridSpan w:val="2"/>
                  <w:tcBorders>
                    <w:tl2br w:val="nil"/>
                    <w:tr2bl w:val="nil"/>
                  </w:tcBorders>
                  <w:vAlign w:val="center"/>
                </w:tcPr>
                <w:p w14:paraId="7BBBD61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sz w:val="21"/>
                      <w:szCs w:val="21"/>
                    </w:rPr>
                    <w:t>凹版印刷油墨</w:t>
                  </w:r>
                  <w:r>
                    <w:rPr>
                      <w:rFonts w:hint="default" w:ascii="Times New Roman" w:hAnsi="Times New Roman" w:eastAsia="宋体" w:cs="Times New Roman"/>
                      <w:color w:val="auto"/>
                      <w:sz w:val="21"/>
                      <w:szCs w:val="21"/>
                      <w:vertAlign w:val="baseline"/>
                      <w:lang w:val="en-US" w:eastAsia="zh-CN"/>
                    </w:rPr>
                    <w:t>为有色液体，具有微量溶剂气味，相对密度（水=1）为0.90—1.15，沸点范围为77—120°C，闪点（密闭式）为20°C，爆炸上限为12%（V/V），爆炸下限为2%（V/V），引燃温度为510°C，不溶于水，可溶于醋酸乙酯、醋酸正丙酯、醋酸丁酯等有机溶剂</w:t>
                  </w:r>
                  <w:r>
                    <w:rPr>
                      <w:rFonts w:hint="eastAsia" w:ascii="Times New Roman" w:hAnsi="Times New Roman" w:eastAsia="宋体" w:cs="Times New Roman"/>
                      <w:color w:val="auto"/>
                      <w:sz w:val="21"/>
                      <w:szCs w:val="21"/>
                      <w:vertAlign w:val="baseline"/>
                      <w:lang w:val="en-US" w:eastAsia="zh-CN"/>
                    </w:rPr>
                    <w:t>。</w:t>
                  </w:r>
                </w:p>
                <w:p w14:paraId="318DE8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根据凹版印刷油墨生产厂家提供的油墨的MSDS和VOCs检测报告可知，</w:t>
                  </w:r>
                  <w:r>
                    <w:rPr>
                      <w:rFonts w:hint="eastAsia" w:cs="Times New Roman"/>
                      <w:color w:val="auto"/>
                      <w:sz w:val="21"/>
                      <w:szCs w:val="21"/>
                      <w:u w:val="single"/>
                      <w:vertAlign w:val="baseline"/>
                      <w:lang w:val="en-US" w:eastAsia="zh-CN"/>
                    </w:rPr>
                    <w:t>凹版印刷油墨中VOCs的含量为53.9%，满足“《油墨中可挥发性有机化合物（VOCs）含量的限值》（GB 38507-2020）（VOCs含量≤75%）”要求</w:t>
                  </w:r>
                  <w:r>
                    <w:rPr>
                      <w:rFonts w:hint="eastAsia" w:cs="Times New Roman"/>
                      <w:color w:val="auto"/>
                      <w:sz w:val="21"/>
                      <w:szCs w:val="21"/>
                      <w:vertAlign w:val="baseline"/>
                      <w:lang w:val="en-US" w:eastAsia="zh-CN"/>
                    </w:rPr>
                    <w:t>且无附录A中所列的禁用溶剂。</w:t>
                  </w:r>
                </w:p>
              </w:tc>
            </w:tr>
            <w:tr w14:paraId="41333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66" w:type="pct"/>
                  <w:vMerge w:val="restart"/>
                  <w:tcBorders>
                    <w:tl2br w:val="nil"/>
                    <w:tr2bl w:val="nil"/>
                  </w:tcBorders>
                  <w:shd w:val="clear" w:color="auto" w:fill="auto"/>
                  <w:vAlign w:val="center"/>
                </w:tcPr>
                <w:p w14:paraId="78ECC4B1">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2</w:t>
                  </w:r>
                </w:p>
              </w:tc>
              <w:tc>
                <w:tcPr>
                  <w:tcW w:w="583" w:type="pct"/>
                  <w:vMerge w:val="restart"/>
                  <w:tcBorders>
                    <w:tl2br w:val="nil"/>
                    <w:tr2bl w:val="nil"/>
                  </w:tcBorders>
                  <w:shd w:val="clear" w:color="auto" w:fill="auto"/>
                  <w:vAlign w:val="center"/>
                </w:tcPr>
                <w:p w14:paraId="37B09758">
                  <w:pPr>
                    <w:pStyle w:val="34"/>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spacing w:val="4"/>
                      <w:sz w:val="21"/>
                      <w:szCs w:val="21"/>
                    </w:rPr>
                    <w:t>稀释溶剂</w:t>
                  </w:r>
                </w:p>
              </w:tc>
              <w:tc>
                <w:tcPr>
                  <w:tcW w:w="826" w:type="pct"/>
                  <w:vMerge w:val="restart"/>
                  <w:tcBorders>
                    <w:tl2br w:val="nil"/>
                    <w:tr2bl w:val="nil"/>
                  </w:tcBorders>
                  <w:vAlign w:val="center"/>
                </w:tcPr>
                <w:p w14:paraId="15E4B576">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t>项目稀释溶剂主要为异丙醇、乙酸乙酯、乙酸正丙酯、乙酸正丁酯依生产工艺按比例混合后用于稀释。</w:t>
                  </w:r>
                </w:p>
                <w:p w14:paraId="0BDF81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p>
              </w:tc>
              <w:tc>
                <w:tcPr>
                  <w:tcW w:w="3322" w:type="pct"/>
                  <w:tcBorders>
                    <w:tl2br w:val="nil"/>
                    <w:tr2bl w:val="nil"/>
                  </w:tcBorders>
                  <w:vAlign w:val="center"/>
                </w:tcPr>
                <w:p w14:paraId="77DE6734">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lang w:val="en-US" w:eastAsia="zh-CN"/>
                    </w:rPr>
                  </w:pPr>
                  <w:r>
                    <w:rPr>
                      <w:rFonts w:hint="eastAsia"/>
                      <w:sz w:val="21"/>
                      <w:lang w:val="en-US" w:eastAsia="zh-CN"/>
                    </w:rPr>
                    <w:t>异丙醇是一种无色透明液体，具有类似乙醇和丙酮混合物的气味，相对密度（水=1）为0.79，沸点为82.5°C，闪点（闭杯）为12°C，爆炸上限为12.7%（V/V），爆炸下限为2.0%（V/V），引燃温度为399°C，溶于水，可溶于乙醇、乙醚等多数有机溶剂。</w:t>
                  </w:r>
                </w:p>
              </w:tc>
            </w:tr>
            <w:tr w14:paraId="7F835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66" w:type="pct"/>
                  <w:vMerge w:val="continue"/>
                  <w:tcBorders>
                    <w:tl2br w:val="nil"/>
                    <w:tr2bl w:val="nil"/>
                  </w:tcBorders>
                  <w:shd w:val="clear" w:color="auto" w:fill="auto"/>
                  <w:vAlign w:val="center"/>
                </w:tcPr>
                <w:p w14:paraId="02CF27C1">
                  <w:pPr>
                    <w:keepNext w:val="0"/>
                    <w:keepLines w:val="0"/>
                    <w:pageBreakBefore w:val="0"/>
                    <w:widowControl w:val="0"/>
                    <w:kinsoku/>
                    <w:wordWrap/>
                    <w:overflowPunct/>
                    <w:topLinePunct w:val="0"/>
                    <w:autoSpaceDE/>
                    <w:autoSpaceDN/>
                    <w:bidi w:val="0"/>
                    <w:adjustRightInd/>
                    <w:snapToGrid/>
                    <w:jc w:val="center"/>
                    <w:textAlignment w:val="auto"/>
                  </w:pPr>
                </w:p>
              </w:tc>
              <w:tc>
                <w:tcPr>
                  <w:tcW w:w="583" w:type="pct"/>
                  <w:vMerge w:val="continue"/>
                  <w:tcBorders>
                    <w:tl2br w:val="nil"/>
                    <w:tr2bl w:val="nil"/>
                  </w:tcBorders>
                  <w:shd w:val="clear" w:color="auto" w:fill="auto"/>
                  <w:vAlign w:val="center"/>
                </w:tcPr>
                <w:p w14:paraId="561299D9">
                  <w:pPr>
                    <w:keepNext w:val="0"/>
                    <w:keepLines w:val="0"/>
                    <w:pageBreakBefore w:val="0"/>
                    <w:widowControl w:val="0"/>
                    <w:kinsoku/>
                    <w:wordWrap/>
                    <w:overflowPunct/>
                    <w:topLinePunct w:val="0"/>
                    <w:autoSpaceDE/>
                    <w:autoSpaceDN/>
                    <w:bidi w:val="0"/>
                    <w:adjustRightInd/>
                    <w:snapToGrid/>
                    <w:jc w:val="center"/>
                    <w:textAlignment w:val="auto"/>
                  </w:pPr>
                </w:p>
              </w:tc>
              <w:tc>
                <w:tcPr>
                  <w:tcW w:w="826" w:type="pct"/>
                  <w:vMerge w:val="continue"/>
                  <w:tcBorders>
                    <w:tl2br w:val="nil"/>
                    <w:tr2bl w:val="nil"/>
                  </w:tcBorders>
                  <w:vAlign w:val="center"/>
                </w:tcPr>
                <w:p w14:paraId="15CA7774">
                  <w:pPr>
                    <w:keepNext w:val="0"/>
                    <w:keepLines w:val="0"/>
                    <w:pageBreakBefore w:val="0"/>
                    <w:widowControl w:val="0"/>
                    <w:kinsoku/>
                    <w:wordWrap/>
                    <w:overflowPunct/>
                    <w:topLinePunct w:val="0"/>
                    <w:autoSpaceDE/>
                    <w:autoSpaceDN/>
                    <w:bidi w:val="0"/>
                    <w:adjustRightInd/>
                    <w:snapToGrid/>
                    <w:jc w:val="center"/>
                    <w:textAlignment w:val="auto"/>
                  </w:pPr>
                </w:p>
              </w:tc>
              <w:tc>
                <w:tcPr>
                  <w:tcW w:w="3322" w:type="pct"/>
                  <w:tcBorders>
                    <w:tl2br w:val="nil"/>
                    <w:tr2bl w:val="nil"/>
                  </w:tcBorders>
                  <w:vAlign w:val="center"/>
                </w:tcPr>
                <w:p w14:paraId="18C29C9F">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lang w:val="en-US" w:eastAsia="zh-CN"/>
                    </w:rPr>
                  </w:pPr>
                  <w:r>
                    <w:rPr>
                      <w:rFonts w:hint="eastAsia"/>
                      <w:sz w:val="21"/>
                      <w:lang w:val="en-US" w:eastAsia="zh-CN"/>
                    </w:rPr>
                    <w:t>乙酸乙酯是一种无色澄清液体，具有芳香气味，相对密度（水=1）为0.90，沸点为77.2°C，闪点（闭杯）为-4°C，爆炸上限为11.5%（V/V），爆炸下限为2.0%（V/V），引燃温度为426°C，微溶于水，可溶于醇、酮、醚等多数有机溶剂。</w:t>
                  </w:r>
                </w:p>
              </w:tc>
            </w:tr>
            <w:tr w14:paraId="68358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66" w:type="pct"/>
                  <w:vMerge w:val="continue"/>
                  <w:tcBorders>
                    <w:tl2br w:val="nil"/>
                    <w:tr2bl w:val="nil"/>
                  </w:tcBorders>
                  <w:shd w:val="clear" w:color="auto" w:fill="auto"/>
                  <w:vAlign w:val="center"/>
                </w:tcPr>
                <w:p w14:paraId="1712355F">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c>
                <w:tcPr>
                  <w:tcW w:w="583" w:type="pct"/>
                  <w:vMerge w:val="continue"/>
                  <w:tcBorders>
                    <w:tl2br w:val="nil"/>
                    <w:tr2bl w:val="nil"/>
                  </w:tcBorders>
                  <w:shd w:val="clear" w:color="auto" w:fill="auto"/>
                  <w:vAlign w:val="center"/>
                </w:tcPr>
                <w:p w14:paraId="7394575C">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c>
                <w:tcPr>
                  <w:tcW w:w="826" w:type="pct"/>
                  <w:vMerge w:val="continue"/>
                  <w:tcBorders>
                    <w:tl2br w:val="nil"/>
                    <w:tr2bl w:val="nil"/>
                  </w:tcBorders>
                  <w:vAlign w:val="center"/>
                </w:tcPr>
                <w:p w14:paraId="6F2946EF">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c>
                <w:tcPr>
                  <w:tcW w:w="3322" w:type="pct"/>
                  <w:tcBorders>
                    <w:tl2br w:val="nil"/>
                    <w:tr2bl w:val="nil"/>
                  </w:tcBorders>
                  <w:vAlign w:val="center"/>
                </w:tcPr>
                <w:p w14:paraId="1A659BBB">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lang w:val="en-US" w:eastAsia="zh-CN"/>
                    </w:rPr>
                  </w:pPr>
                  <w:r>
                    <w:rPr>
                      <w:rFonts w:hint="eastAsia"/>
                      <w:sz w:val="21"/>
                      <w:lang w:val="en-US" w:eastAsia="zh-CN"/>
                    </w:rPr>
                    <w:t>乙酸正丙酯是一种无色澄清液体，具有芳香气味，相对密度（水=1）为0.88，沸点为101.6°C，闪点（闭杯）为14°C，爆炸上限为8.0%（V/V），爆炸下限为1.7%（V/V），引燃温度为450°C，微溶于水，可溶于醇、酮、酯、油类等多数有机溶剂。</w:t>
                  </w:r>
                </w:p>
              </w:tc>
            </w:tr>
            <w:tr w14:paraId="4CDE5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66" w:type="pct"/>
                  <w:vMerge w:val="continue"/>
                  <w:tcBorders>
                    <w:tl2br w:val="nil"/>
                    <w:tr2bl w:val="nil"/>
                  </w:tcBorders>
                  <w:shd w:val="clear" w:color="auto" w:fill="auto"/>
                  <w:vAlign w:val="center"/>
                </w:tcPr>
                <w:p w14:paraId="27C53924">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c>
                <w:tcPr>
                  <w:tcW w:w="583" w:type="pct"/>
                  <w:vMerge w:val="continue"/>
                  <w:tcBorders>
                    <w:tl2br w:val="nil"/>
                    <w:tr2bl w:val="nil"/>
                  </w:tcBorders>
                  <w:shd w:val="clear" w:color="auto" w:fill="auto"/>
                  <w:vAlign w:val="center"/>
                </w:tcPr>
                <w:p w14:paraId="52639788">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c>
                <w:tcPr>
                  <w:tcW w:w="826" w:type="pct"/>
                  <w:vMerge w:val="continue"/>
                  <w:tcBorders>
                    <w:tl2br w:val="nil"/>
                    <w:tr2bl w:val="nil"/>
                  </w:tcBorders>
                  <w:vAlign w:val="center"/>
                </w:tcPr>
                <w:p w14:paraId="5F10E05F">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p>
              </w:tc>
              <w:tc>
                <w:tcPr>
                  <w:tcW w:w="3322" w:type="pct"/>
                  <w:tcBorders>
                    <w:tl2br w:val="nil"/>
                    <w:tr2bl w:val="nil"/>
                  </w:tcBorders>
                  <w:vAlign w:val="center"/>
                </w:tcPr>
                <w:p w14:paraId="20B3E04C">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lang w:val="en-US" w:eastAsia="zh-CN"/>
                    </w:rPr>
                  </w:pPr>
                  <w:r>
                    <w:rPr>
                      <w:rFonts w:hint="eastAsia"/>
                      <w:sz w:val="21"/>
                      <w:lang w:val="en-US" w:eastAsia="zh-CN"/>
                    </w:rPr>
                    <w:t>乙酸正丁酯是一种无色透明液体，具有果子香味，相对密度（水=1）为0.88，沸点为126.1°C，闪点（闭杯）为22°C，爆炸上限为7.5%（V/V），爆炸下限为1.2%（V/V），引燃温度为370°C，微溶于水，可溶于醇、醚等多数有机溶剂。</w:t>
                  </w:r>
                </w:p>
              </w:tc>
            </w:tr>
            <w:tr w14:paraId="0511E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7" w:hRule="atLeast"/>
              </w:trPr>
              <w:tc>
                <w:tcPr>
                  <w:tcW w:w="266" w:type="pct"/>
                  <w:tcBorders>
                    <w:tl2br w:val="nil"/>
                    <w:tr2bl w:val="nil"/>
                  </w:tcBorders>
                  <w:shd w:val="clear" w:color="auto" w:fill="auto"/>
                  <w:vAlign w:val="center"/>
                </w:tcPr>
                <w:p w14:paraId="164F98A9">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3</w:t>
                  </w:r>
                </w:p>
              </w:tc>
              <w:tc>
                <w:tcPr>
                  <w:tcW w:w="583" w:type="pct"/>
                  <w:tcBorders>
                    <w:tl2br w:val="nil"/>
                    <w:tr2bl w:val="nil"/>
                  </w:tcBorders>
                  <w:shd w:val="clear" w:color="auto" w:fill="auto"/>
                  <w:vAlign w:val="center"/>
                </w:tcPr>
                <w:p w14:paraId="69CBF569">
                  <w:pPr>
                    <w:pStyle w:val="34"/>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sz w:val="21"/>
                      <w:szCs w:val="21"/>
                      <w:lang w:eastAsia="zh-CN"/>
                    </w:rPr>
                    <w:t>无溶剂聚氨酯</w:t>
                  </w:r>
                  <w:r>
                    <w:rPr>
                      <w:rFonts w:hint="eastAsia" w:ascii="Times New Roman" w:hAnsi="Times New Roman" w:cs="Times New Roman"/>
                      <w:sz w:val="21"/>
                      <w:szCs w:val="21"/>
                      <w:lang w:eastAsia="zh-CN"/>
                    </w:rPr>
                    <w:t>黏</w:t>
                  </w:r>
                  <w:r>
                    <w:rPr>
                      <w:rFonts w:hint="eastAsia" w:ascii="Times New Roman" w:hAnsi="Times New Roman" w:eastAsia="宋体" w:cs="Times New Roman"/>
                      <w:sz w:val="21"/>
                      <w:szCs w:val="21"/>
                      <w:lang w:eastAsia="zh-CN"/>
                    </w:rPr>
                    <w:t>合剂</w:t>
                  </w:r>
                  <w:r>
                    <w:rPr>
                      <w:rFonts w:hint="eastAsia" w:ascii="Times New Roman" w:hAnsi="Times New Roman" w:cs="Times New Roman"/>
                      <w:sz w:val="21"/>
                      <w:szCs w:val="21"/>
                      <w:lang w:eastAsia="zh-CN"/>
                    </w:rPr>
                    <w:t>（无溶剂复合胶）</w:t>
                  </w:r>
                </w:p>
              </w:tc>
              <w:tc>
                <w:tcPr>
                  <w:tcW w:w="4149" w:type="pct"/>
                  <w:gridSpan w:val="2"/>
                  <w:tcBorders>
                    <w:tl2br w:val="nil"/>
                    <w:tr2bl w:val="nil"/>
                  </w:tcBorders>
                  <w:vAlign w:val="center"/>
                </w:tcPr>
                <w:p w14:paraId="02B6C1E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该</w:t>
                  </w:r>
                  <w:r>
                    <w:rPr>
                      <w:rFonts w:hint="eastAsia" w:ascii="Times New Roman" w:hAnsi="Times New Roman" w:eastAsia="宋体" w:cs="Times New Roman"/>
                      <w:sz w:val="21"/>
                      <w:szCs w:val="21"/>
                      <w:lang w:eastAsia="zh-CN"/>
                    </w:rPr>
                    <w:t>无溶剂聚氨酯</w:t>
                  </w:r>
                  <w:r>
                    <w:rPr>
                      <w:rFonts w:hint="eastAsia" w:cs="Times New Roman"/>
                      <w:sz w:val="21"/>
                      <w:szCs w:val="21"/>
                      <w:lang w:eastAsia="zh-CN"/>
                    </w:rPr>
                    <w:t>黏</w:t>
                  </w:r>
                  <w:r>
                    <w:rPr>
                      <w:rFonts w:hint="eastAsia" w:ascii="Times New Roman" w:hAnsi="Times New Roman" w:eastAsia="宋体" w:cs="Times New Roman"/>
                      <w:sz w:val="21"/>
                      <w:szCs w:val="21"/>
                      <w:lang w:eastAsia="zh-CN"/>
                    </w:rPr>
                    <w:t>合剂</w:t>
                  </w:r>
                  <w:r>
                    <w:rPr>
                      <w:rFonts w:hint="default" w:ascii="Times New Roman" w:hAnsi="Times New Roman" w:eastAsia="宋体" w:cs="Times New Roman"/>
                      <w:color w:val="auto"/>
                      <w:sz w:val="21"/>
                      <w:szCs w:val="21"/>
                      <w:vertAlign w:val="baseline"/>
                      <w:lang w:val="en-US" w:eastAsia="zh-CN"/>
                    </w:rPr>
                    <w:t>为淡黄色透明液体，</w:t>
                  </w:r>
                  <w:r>
                    <w:rPr>
                      <w:rFonts w:hint="eastAsia" w:cs="Times New Roman"/>
                      <w:color w:val="auto"/>
                      <w:sz w:val="21"/>
                      <w:szCs w:val="21"/>
                      <w:vertAlign w:val="baseline"/>
                      <w:lang w:val="en-US" w:eastAsia="zh-CN"/>
                    </w:rPr>
                    <w:t>黏</w:t>
                  </w:r>
                  <w:r>
                    <w:rPr>
                      <w:rFonts w:hint="default" w:ascii="Times New Roman" w:hAnsi="Times New Roman" w:eastAsia="宋体" w:cs="Times New Roman"/>
                      <w:color w:val="auto"/>
                      <w:sz w:val="21"/>
                      <w:szCs w:val="21"/>
                      <w:vertAlign w:val="baseline"/>
                      <w:lang w:val="en-US" w:eastAsia="zh-CN"/>
                    </w:rPr>
                    <w:t>度为500～5000 mPa·s，相对密度（水=1）为0.98～1.2，闪点≥205°C，引燃温度≥300°C，属于非易燃品</w:t>
                  </w:r>
                  <w:r>
                    <w:rPr>
                      <w:rFonts w:hint="eastAsia" w:ascii="Times New Roman" w:hAnsi="Times New Roman" w:eastAsia="宋体" w:cs="Times New Roman"/>
                      <w:color w:val="auto"/>
                      <w:sz w:val="21"/>
                      <w:szCs w:val="21"/>
                      <w:vertAlign w:val="baseline"/>
                      <w:lang w:val="en-US" w:eastAsia="zh-CN"/>
                    </w:rPr>
                    <w:t>。</w:t>
                  </w:r>
                </w:p>
                <w:p w14:paraId="158D3BAE">
                  <w:pPr>
                    <w:pStyle w:val="2"/>
                    <w:rPr>
                      <w:rFonts w:hint="default"/>
                      <w:lang w:val="en-US" w:eastAsia="zh-CN"/>
                    </w:rPr>
                  </w:pPr>
                  <w:r>
                    <w:rPr>
                      <w:rFonts w:hint="eastAsia" w:cs="Times New Roman"/>
                      <w:color w:val="auto"/>
                      <w:sz w:val="21"/>
                      <w:szCs w:val="21"/>
                      <w:vertAlign w:val="baseline"/>
                      <w:lang w:val="en-US" w:eastAsia="zh-CN"/>
                    </w:rPr>
                    <w:t>根据</w:t>
                  </w:r>
                  <w:r>
                    <w:rPr>
                      <w:rFonts w:hint="eastAsia" w:ascii="Times New Roman" w:hAnsi="Times New Roman" w:eastAsia="宋体" w:cs="Times New Roman"/>
                      <w:sz w:val="21"/>
                      <w:szCs w:val="21"/>
                      <w:lang w:eastAsia="zh-CN"/>
                    </w:rPr>
                    <w:t>无溶剂聚氨酯</w:t>
                  </w:r>
                  <w:r>
                    <w:rPr>
                      <w:rFonts w:hint="eastAsia" w:cs="Times New Roman"/>
                      <w:sz w:val="21"/>
                      <w:szCs w:val="21"/>
                      <w:lang w:eastAsia="zh-CN"/>
                    </w:rPr>
                    <w:t>黏</w:t>
                  </w:r>
                  <w:r>
                    <w:rPr>
                      <w:rFonts w:hint="eastAsia" w:ascii="Times New Roman" w:hAnsi="Times New Roman" w:eastAsia="宋体" w:cs="Times New Roman"/>
                      <w:sz w:val="21"/>
                      <w:szCs w:val="21"/>
                      <w:lang w:eastAsia="zh-CN"/>
                    </w:rPr>
                    <w:t>合剂</w:t>
                  </w:r>
                  <w:r>
                    <w:rPr>
                      <w:rFonts w:hint="eastAsia" w:ascii="Times New Roman" w:hAnsi="Times New Roman" w:cs="Times New Roman"/>
                      <w:sz w:val="21"/>
                      <w:szCs w:val="21"/>
                      <w:lang w:eastAsia="zh-CN"/>
                    </w:rPr>
                    <w:t>（无溶剂复合胶）</w:t>
                  </w:r>
                  <w:r>
                    <w:rPr>
                      <w:rFonts w:hint="eastAsia" w:ascii="Times New Roman" w:hAnsi="Times New Roman" w:cs="Times New Roman"/>
                      <w:sz w:val="21"/>
                      <w:szCs w:val="21"/>
                      <w:lang w:val="en-US" w:eastAsia="zh-CN"/>
                    </w:rPr>
                    <w:t>生产厂家提供的</w:t>
                  </w:r>
                  <w:r>
                    <w:rPr>
                      <w:rFonts w:hint="eastAsia" w:ascii="Times New Roman" w:hAnsi="Times New Roman" w:eastAsia="宋体" w:cs="Times New Roman"/>
                      <w:sz w:val="21"/>
                      <w:szCs w:val="21"/>
                      <w:lang w:eastAsia="zh-CN"/>
                    </w:rPr>
                    <w:t>无溶剂聚氨酯</w:t>
                  </w:r>
                  <w:r>
                    <w:rPr>
                      <w:rFonts w:hint="eastAsia" w:cs="Times New Roman"/>
                      <w:sz w:val="21"/>
                      <w:szCs w:val="21"/>
                      <w:lang w:eastAsia="zh-CN"/>
                    </w:rPr>
                    <w:t>黏</w:t>
                  </w:r>
                  <w:r>
                    <w:rPr>
                      <w:rFonts w:hint="eastAsia" w:ascii="Times New Roman" w:hAnsi="Times New Roman" w:eastAsia="宋体" w:cs="Times New Roman"/>
                      <w:sz w:val="21"/>
                      <w:szCs w:val="21"/>
                      <w:lang w:eastAsia="zh-CN"/>
                    </w:rPr>
                    <w:t>合剂</w:t>
                  </w:r>
                  <w:r>
                    <w:rPr>
                      <w:rFonts w:hint="eastAsia" w:ascii="Times New Roman" w:hAnsi="Times New Roman" w:eastAsia="宋体" w:cs="Times New Roman"/>
                      <w:sz w:val="21"/>
                      <w:szCs w:val="21"/>
                      <w:lang w:val="en-US" w:eastAsia="zh-CN"/>
                    </w:rPr>
                    <w:t>的MSDS和VOCs检测报告可知，</w:t>
                  </w:r>
                  <w:r>
                    <w:rPr>
                      <w:rFonts w:hint="eastAsia" w:ascii="Times New Roman" w:hAnsi="Times New Roman" w:eastAsia="宋体" w:cs="Times New Roman"/>
                      <w:sz w:val="21"/>
                      <w:szCs w:val="21"/>
                      <w:u w:val="single"/>
                      <w:lang w:eastAsia="zh-CN"/>
                    </w:rPr>
                    <w:t>无溶剂聚氨酯</w:t>
                  </w:r>
                  <w:r>
                    <w:rPr>
                      <w:rFonts w:hint="eastAsia" w:cs="Times New Roman"/>
                      <w:sz w:val="21"/>
                      <w:szCs w:val="21"/>
                      <w:u w:val="single"/>
                      <w:lang w:eastAsia="zh-CN"/>
                    </w:rPr>
                    <w:t>黏</w:t>
                  </w:r>
                  <w:r>
                    <w:rPr>
                      <w:rFonts w:hint="eastAsia" w:ascii="Times New Roman" w:hAnsi="Times New Roman" w:eastAsia="宋体" w:cs="Times New Roman"/>
                      <w:sz w:val="21"/>
                      <w:szCs w:val="21"/>
                      <w:u w:val="single"/>
                      <w:lang w:eastAsia="zh-CN"/>
                    </w:rPr>
                    <w:t>合剂</w:t>
                  </w:r>
                  <w:r>
                    <w:rPr>
                      <w:rFonts w:hint="eastAsia" w:ascii="Times New Roman" w:hAnsi="Times New Roman" w:eastAsia="宋体" w:cs="Times New Roman"/>
                      <w:sz w:val="21"/>
                      <w:szCs w:val="21"/>
                      <w:u w:val="single"/>
                      <w:lang w:val="en-US" w:eastAsia="zh-CN"/>
                    </w:rPr>
                    <w:t>中VOCs含量为6.4g/kg，满足《胶</w:t>
                  </w:r>
                  <w:r>
                    <w:rPr>
                      <w:rFonts w:hint="eastAsia" w:cs="Times New Roman"/>
                      <w:sz w:val="21"/>
                      <w:szCs w:val="21"/>
                      <w:u w:val="single"/>
                      <w:lang w:val="en-US" w:eastAsia="zh-CN"/>
                    </w:rPr>
                    <w:t>黏</w:t>
                  </w:r>
                  <w:r>
                    <w:rPr>
                      <w:rFonts w:hint="eastAsia" w:ascii="Times New Roman" w:hAnsi="Times New Roman" w:eastAsia="宋体" w:cs="Times New Roman"/>
                      <w:sz w:val="21"/>
                      <w:szCs w:val="21"/>
                      <w:u w:val="single"/>
                      <w:lang w:val="en-US" w:eastAsia="zh-CN"/>
                    </w:rPr>
                    <w:t>剂挥发性有机化合物限量》（GB33372-2020）</w:t>
                  </w:r>
                  <w:r>
                    <w:rPr>
                      <w:rFonts w:hint="eastAsia" w:cs="Times New Roman"/>
                      <w:color w:val="auto"/>
                      <w:sz w:val="21"/>
                      <w:szCs w:val="21"/>
                      <w:u w:val="single"/>
                      <w:vertAlign w:val="baseline"/>
                      <w:lang w:val="en-US" w:eastAsia="zh-CN"/>
                    </w:rPr>
                    <w:t>（VOCs含量≤50</w:t>
                  </w:r>
                  <w:r>
                    <w:rPr>
                      <w:rFonts w:hint="eastAsia" w:ascii="Times New Roman" w:hAnsi="Times New Roman" w:eastAsia="宋体" w:cs="Times New Roman"/>
                      <w:sz w:val="21"/>
                      <w:szCs w:val="21"/>
                      <w:u w:val="single"/>
                      <w:lang w:val="en-US" w:eastAsia="zh-CN"/>
                    </w:rPr>
                    <w:t>g/kg</w:t>
                  </w:r>
                  <w:r>
                    <w:rPr>
                      <w:rFonts w:hint="eastAsia" w:cs="Times New Roman"/>
                      <w:color w:val="auto"/>
                      <w:sz w:val="21"/>
                      <w:szCs w:val="21"/>
                      <w:u w:val="single"/>
                      <w:vertAlign w:val="baseline"/>
                      <w:lang w:val="en-US" w:eastAsia="zh-CN"/>
                    </w:rPr>
                    <w:t>）要求。</w:t>
                  </w:r>
                </w:p>
              </w:tc>
            </w:tr>
            <w:tr w14:paraId="46887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2" w:hRule="atLeast"/>
              </w:trPr>
              <w:tc>
                <w:tcPr>
                  <w:tcW w:w="266" w:type="pct"/>
                  <w:tcBorders>
                    <w:tl2br w:val="nil"/>
                    <w:tr2bl w:val="nil"/>
                  </w:tcBorders>
                  <w:shd w:val="clear" w:color="auto" w:fill="auto"/>
                  <w:vAlign w:val="center"/>
                </w:tcPr>
                <w:p w14:paraId="7A0178F4">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4</w:t>
                  </w:r>
                </w:p>
              </w:tc>
              <w:tc>
                <w:tcPr>
                  <w:tcW w:w="583" w:type="pct"/>
                  <w:tcBorders>
                    <w:tl2br w:val="nil"/>
                    <w:tr2bl w:val="nil"/>
                  </w:tcBorders>
                  <w:shd w:val="clear" w:color="auto" w:fill="auto"/>
                  <w:vAlign w:val="center"/>
                </w:tcPr>
                <w:p w14:paraId="0D3FABC0">
                  <w:pPr>
                    <w:pStyle w:val="34"/>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sz w:val="21"/>
                      <w:szCs w:val="21"/>
                      <w:lang w:eastAsia="zh-CN"/>
                    </w:rPr>
                    <w:t>溶剂型黏合剂（聚氨酯胶黏剂）</w:t>
                  </w:r>
                </w:p>
              </w:tc>
              <w:tc>
                <w:tcPr>
                  <w:tcW w:w="4149" w:type="pct"/>
                  <w:gridSpan w:val="2"/>
                  <w:tcBorders>
                    <w:tl2br w:val="nil"/>
                    <w:tr2bl w:val="nil"/>
                  </w:tcBorders>
                  <w:vAlign w:val="center"/>
                </w:tcPr>
                <w:p w14:paraId="784178A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该</w:t>
                  </w:r>
                  <w:r>
                    <w:rPr>
                      <w:rFonts w:hint="eastAsia" w:ascii="Times New Roman" w:hAnsi="Times New Roman" w:cs="Times New Roman"/>
                      <w:sz w:val="21"/>
                      <w:szCs w:val="21"/>
                      <w:lang w:eastAsia="zh-CN"/>
                    </w:rPr>
                    <w:t>溶剂型</w:t>
                  </w:r>
                  <w:r>
                    <w:rPr>
                      <w:rFonts w:hint="eastAsia" w:cs="Times New Roman"/>
                      <w:sz w:val="21"/>
                      <w:szCs w:val="21"/>
                      <w:lang w:eastAsia="zh-CN"/>
                    </w:rPr>
                    <w:t>黏</w:t>
                  </w:r>
                  <w:r>
                    <w:rPr>
                      <w:rFonts w:hint="eastAsia" w:ascii="Times New Roman" w:hAnsi="Times New Roman" w:cs="Times New Roman"/>
                      <w:sz w:val="21"/>
                      <w:szCs w:val="21"/>
                      <w:lang w:eastAsia="zh-CN"/>
                    </w:rPr>
                    <w:t>合剂（聚氨酯胶</w:t>
                  </w:r>
                  <w:r>
                    <w:rPr>
                      <w:rFonts w:hint="eastAsia" w:cs="Times New Roman"/>
                      <w:sz w:val="21"/>
                      <w:szCs w:val="21"/>
                      <w:lang w:eastAsia="zh-CN"/>
                    </w:rPr>
                    <w:t>黏</w:t>
                  </w:r>
                  <w:r>
                    <w:rPr>
                      <w:rFonts w:hint="eastAsia" w:ascii="Times New Roman" w:hAnsi="Times New Roman" w:cs="Times New Roman"/>
                      <w:sz w:val="21"/>
                      <w:szCs w:val="21"/>
                      <w:lang w:eastAsia="zh-CN"/>
                    </w:rPr>
                    <w:t>剂）</w:t>
                  </w:r>
                  <w:r>
                    <w:rPr>
                      <w:rFonts w:hint="default" w:ascii="Times New Roman" w:hAnsi="Times New Roman" w:eastAsia="宋体" w:cs="Times New Roman"/>
                      <w:color w:val="auto"/>
                      <w:sz w:val="21"/>
                      <w:szCs w:val="21"/>
                      <w:vertAlign w:val="baseline"/>
                      <w:lang w:val="en-US" w:eastAsia="zh-CN"/>
                    </w:rPr>
                    <w:t>为无色或浅黄色透明</w:t>
                  </w:r>
                  <w:r>
                    <w:rPr>
                      <w:rFonts w:hint="eastAsia" w:cs="Times New Roman"/>
                      <w:color w:val="auto"/>
                      <w:sz w:val="21"/>
                      <w:szCs w:val="21"/>
                      <w:vertAlign w:val="baseline"/>
                      <w:lang w:val="en-US" w:eastAsia="zh-CN"/>
                    </w:rPr>
                    <w:t>黏</w:t>
                  </w:r>
                  <w:r>
                    <w:rPr>
                      <w:rFonts w:hint="default" w:ascii="Times New Roman" w:hAnsi="Times New Roman" w:eastAsia="宋体" w:cs="Times New Roman"/>
                      <w:color w:val="auto"/>
                      <w:sz w:val="21"/>
                      <w:szCs w:val="21"/>
                      <w:vertAlign w:val="baseline"/>
                      <w:lang w:val="en-US" w:eastAsia="zh-CN"/>
                    </w:rPr>
                    <w:t>稠液体，pH值为6，熔点-16°C，相对密度（水=1）1.21，沸点约75°C，闪点-5°C，自燃温度426°C，爆炸上限11.5%，爆炸下限2.0%，不溶于水，易溶于酮类、酯类等有机溶剂</w:t>
                  </w:r>
                  <w:r>
                    <w:rPr>
                      <w:rFonts w:hint="eastAsia" w:ascii="Times New Roman" w:hAnsi="Times New Roman" w:eastAsia="宋体" w:cs="Times New Roman"/>
                      <w:color w:val="auto"/>
                      <w:sz w:val="21"/>
                      <w:szCs w:val="21"/>
                      <w:vertAlign w:val="baseline"/>
                      <w:lang w:val="en-US" w:eastAsia="zh-CN"/>
                    </w:rPr>
                    <w:t>。</w:t>
                  </w:r>
                </w:p>
                <w:p w14:paraId="755E25B4">
                  <w:pPr>
                    <w:pStyle w:val="2"/>
                    <w:rPr>
                      <w:rFonts w:hint="default"/>
                      <w:lang w:val="en-US" w:eastAsia="zh-CN"/>
                    </w:rPr>
                  </w:pPr>
                  <w:r>
                    <w:rPr>
                      <w:rFonts w:hint="eastAsia" w:cs="Times New Roman"/>
                      <w:color w:val="auto"/>
                      <w:sz w:val="21"/>
                      <w:szCs w:val="21"/>
                      <w:vertAlign w:val="baseline"/>
                      <w:lang w:val="en-US" w:eastAsia="zh-CN"/>
                    </w:rPr>
                    <w:t>根据</w:t>
                  </w:r>
                  <w:r>
                    <w:rPr>
                      <w:rFonts w:hint="eastAsia" w:ascii="Times New Roman" w:hAnsi="Times New Roman" w:cs="Times New Roman"/>
                      <w:sz w:val="21"/>
                      <w:szCs w:val="21"/>
                      <w:lang w:eastAsia="zh-CN"/>
                    </w:rPr>
                    <w:t>溶剂型</w:t>
                  </w:r>
                  <w:r>
                    <w:rPr>
                      <w:rFonts w:hint="eastAsia" w:cs="Times New Roman"/>
                      <w:sz w:val="21"/>
                      <w:szCs w:val="21"/>
                      <w:lang w:eastAsia="zh-CN"/>
                    </w:rPr>
                    <w:t>黏</w:t>
                  </w:r>
                  <w:r>
                    <w:rPr>
                      <w:rFonts w:hint="eastAsia" w:ascii="Times New Roman" w:hAnsi="Times New Roman" w:cs="Times New Roman"/>
                      <w:sz w:val="21"/>
                      <w:szCs w:val="21"/>
                      <w:lang w:eastAsia="zh-CN"/>
                    </w:rPr>
                    <w:t>合剂（聚氨酯胶</w:t>
                  </w:r>
                  <w:r>
                    <w:rPr>
                      <w:rFonts w:hint="eastAsia" w:cs="Times New Roman"/>
                      <w:sz w:val="21"/>
                      <w:szCs w:val="21"/>
                      <w:lang w:eastAsia="zh-CN"/>
                    </w:rPr>
                    <w:t>黏</w:t>
                  </w:r>
                  <w:r>
                    <w:rPr>
                      <w:rFonts w:hint="eastAsia" w:ascii="Times New Roman" w:hAnsi="Times New Roman" w:cs="Times New Roman"/>
                      <w:sz w:val="21"/>
                      <w:szCs w:val="21"/>
                      <w:lang w:eastAsia="zh-CN"/>
                    </w:rPr>
                    <w:t>剂）</w:t>
                  </w:r>
                  <w:r>
                    <w:rPr>
                      <w:rFonts w:hint="eastAsia" w:ascii="Times New Roman" w:hAnsi="Times New Roman" w:cs="Times New Roman"/>
                      <w:sz w:val="21"/>
                      <w:szCs w:val="21"/>
                      <w:lang w:val="en-US" w:eastAsia="zh-CN"/>
                    </w:rPr>
                    <w:t>生产厂家提供的</w:t>
                  </w:r>
                  <w:r>
                    <w:rPr>
                      <w:rFonts w:hint="eastAsia" w:ascii="Times New Roman" w:hAnsi="Times New Roman" w:cs="Times New Roman"/>
                      <w:sz w:val="21"/>
                      <w:szCs w:val="21"/>
                      <w:lang w:eastAsia="zh-CN"/>
                    </w:rPr>
                    <w:t>溶剂型</w:t>
                  </w:r>
                  <w:r>
                    <w:rPr>
                      <w:rFonts w:hint="eastAsia" w:cs="Times New Roman"/>
                      <w:sz w:val="21"/>
                      <w:szCs w:val="21"/>
                      <w:lang w:eastAsia="zh-CN"/>
                    </w:rPr>
                    <w:t>黏</w:t>
                  </w:r>
                  <w:r>
                    <w:rPr>
                      <w:rFonts w:hint="eastAsia" w:ascii="Times New Roman" w:hAnsi="Times New Roman" w:cs="Times New Roman"/>
                      <w:sz w:val="21"/>
                      <w:szCs w:val="21"/>
                      <w:lang w:eastAsia="zh-CN"/>
                    </w:rPr>
                    <w:t>合剂（聚氨酯胶</w:t>
                  </w:r>
                  <w:r>
                    <w:rPr>
                      <w:rFonts w:hint="eastAsia" w:cs="Times New Roman"/>
                      <w:sz w:val="21"/>
                      <w:szCs w:val="21"/>
                      <w:lang w:eastAsia="zh-CN"/>
                    </w:rPr>
                    <w:t>黏</w:t>
                  </w:r>
                  <w:r>
                    <w:rPr>
                      <w:rFonts w:hint="eastAsia" w:ascii="Times New Roman" w:hAnsi="Times New Roman" w:cs="Times New Roman"/>
                      <w:sz w:val="21"/>
                      <w:szCs w:val="21"/>
                      <w:lang w:eastAsia="zh-CN"/>
                    </w:rPr>
                    <w:t>剂）</w:t>
                  </w:r>
                  <w:r>
                    <w:rPr>
                      <w:rFonts w:hint="eastAsia" w:ascii="Times New Roman" w:hAnsi="Times New Roman" w:eastAsia="宋体" w:cs="Times New Roman"/>
                      <w:sz w:val="21"/>
                      <w:szCs w:val="21"/>
                      <w:lang w:val="en-US" w:eastAsia="zh-CN"/>
                    </w:rPr>
                    <w:t>的MSDS和VOCs检测报告可知，</w:t>
                  </w:r>
                  <w:r>
                    <w:rPr>
                      <w:rFonts w:hint="eastAsia" w:ascii="Times New Roman" w:hAnsi="Times New Roman" w:cs="Times New Roman"/>
                      <w:sz w:val="21"/>
                      <w:szCs w:val="21"/>
                      <w:u w:val="single"/>
                      <w:lang w:eastAsia="zh-CN"/>
                    </w:rPr>
                    <w:t>溶剂型</w:t>
                  </w:r>
                  <w:r>
                    <w:rPr>
                      <w:rFonts w:hint="eastAsia" w:cs="Times New Roman"/>
                      <w:sz w:val="21"/>
                      <w:szCs w:val="21"/>
                      <w:u w:val="single"/>
                      <w:lang w:eastAsia="zh-CN"/>
                    </w:rPr>
                    <w:t>黏</w:t>
                  </w:r>
                  <w:r>
                    <w:rPr>
                      <w:rFonts w:hint="eastAsia" w:ascii="Times New Roman" w:hAnsi="Times New Roman" w:cs="Times New Roman"/>
                      <w:sz w:val="21"/>
                      <w:szCs w:val="21"/>
                      <w:u w:val="single"/>
                      <w:lang w:eastAsia="zh-CN"/>
                    </w:rPr>
                    <w:t>合剂（聚氨酯胶</w:t>
                  </w:r>
                  <w:r>
                    <w:rPr>
                      <w:rFonts w:hint="eastAsia" w:cs="Times New Roman"/>
                      <w:sz w:val="21"/>
                      <w:szCs w:val="21"/>
                      <w:u w:val="single"/>
                      <w:lang w:eastAsia="zh-CN"/>
                    </w:rPr>
                    <w:t>黏</w:t>
                  </w:r>
                  <w:r>
                    <w:rPr>
                      <w:rFonts w:hint="eastAsia" w:ascii="Times New Roman" w:hAnsi="Times New Roman" w:cs="Times New Roman"/>
                      <w:sz w:val="21"/>
                      <w:szCs w:val="21"/>
                      <w:u w:val="single"/>
                      <w:lang w:eastAsia="zh-CN"/>
                    </w:rPr>
                    <w:t>剂）</w:t>
                  </w:r>
                  <w:r>
                    <w:rPr>
                      <w:rFonts w:hint="eastAsia" w:ascii="Times New Roman" w:hAnsi="Times New Roman" w:eastAsia="宋体" w:cs="Times New Roman"/>
                      <w:sz w:val="21"/>
                      <w:szCs w:val="21"/>
                      <w:u w:val="single"/>
                      <w:lang w:val="en-US" w:eastAsia="zh-CN"/>
                    </w:rPr>
                    <w:t>中VOCs含量为209g/L，满足《胶</w:t>
                  </w:r>
                  <w:r>
                    <w:rPr>
                      <w:rFonts w:hint="eastAsia" w:cs="Times New Roman"/>
                      <w:sz w:val="21"/>
                      <w:szCs w:val="21"/>
                      <w:u w:val="single"/>
                      <w:lang w:val="en-US" w:eastAsia="zh-CN"/>
                    </w:rPr>
                    <w:t>黏</w:t>
                  </w:r>
                  <w:r>
                    <w:rPr>
                      <w:rFonts w:hint="eastAsia" w:ascii="Times New Roman" w:hAnsi="Times New Roman" w:eastAsia="宋体" w:cs="Times New Roman"/>
                      <w:sz w:val="21"/>
                      <w:szCs w:val="21"/>
                      <w:u w:val="single"/>
                      <w:lang w:val="en-US" w:eastAsia="zh-CN"/>
                    </w:rPr>
                    <w:t>剂挥发性有机化合物限量》（GB33372-2020）</w:t>
                  </w:r>
                  <w:r>
                    <w:rPr>
                      <w:rFonts w:hint="eastAsia" w:cs="Times New Roman"/>
                      <w:color w:val="auto"/>
                      <w:sz w:val="21"/>
                      <w:szCs w:val="21"/>
                      <w:u w:val="single"/>
                      <w:vertAlign w:val="baseline"/>
                      <w:lang w:val="en-US" w:eastAsia="zh-CN"/>
                    </w:rPr>
                    <w:t>（VOCs含量≤400</w:t>
                  </w:r>
                  <w:r>
                    <w:rPr>
                      <w:rFonts w:hint="eastAsia" w:ascii="Times New Roman" w:hAnsi="Times New Roman" w:eastAsia="宋体" w:cs="Times New Roman"/>
                      <w:sz w:val="21"/>
                      <w:szCs w:val="21"/>
                      <w:u w:val="single"/>
                      <w:lang w:val="en-US" w:eastAsia="zh-CN"/>
                    </w:rPr>
                    <w:t>g/L</w:t>
                  </w:r>
                  <w:r>
                    <w:rPr>
                      <w:rFonts w:hint="eastAsia" w:cs="Times New Roman"/>
                      <w:color w:val="auto"/>
                      <w:sz w:val="21"/>
                      <w:szCs w:val="21"/>
                      <w:u w:val="single"/>
                      <w:vertAlign w:val="baseline"/>
                      <w:lang w:val="en-US" w:eastAsia="zh-CN"/>
                    </w:rPr>
                    <w:t>）要求。</w:t>
                  </w:r>
                </w:p>
              </w:tc>
            </w:tr>
          </w:tbl>
          <w:p w14:paraId="2515087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28" w:name="_Toc3875"/>
            <w:r>
              <w:rPr>
                <w:rFonts w:hint="eastAsia" w:ascii="Times New Roman" w:hAnsi="Times New Roman" w:eastAsia="宋体" w:cs="Times New Roman"/>
                <w:b/>
                <w:bCs/>
                <w:color w:val="auto"/>
                <w:sz w:val="24"/>
                <w:szCs w:val="24"/>
                <w:u w:val="none"/>
                <w:lang w:val="en-US" w:eastAsia="zh-CN"/>
              </w:rPr>
              <w:t>2.2.7项目水平衡</w:t>
            </w:r>
            <w:bookmarkEnd w:id="28"/>
          </w:p>
          <w:p w14:paraId="388298D6">
            <w:pPr>
              <w:pStyle w:val="86"/>
              <w:bidi w:val="0"/>
              <w:rPr>
                <w:rFonts w:hint="default" w:ascii="Times New Roman" w:hAnsi="Times New Roman" w:eastAsia="宋体" w:cs="Times New Roman"/>
                <w:color w:val="auto"/>
                <w:kern w:val="0"/>
                <w:sz w:val="24"/>
                <w:szCs w:val="24"/>
                <w:lang w:val="en-US" w:eastAsia="zh-CN" w:bidi="ar"/>
              </w:rPr>
            </w:pPr>
            <w:bookmarkStart w:id="29" w:name="_Toc81"/>
            <w:r>
              <w:rPr>
                <w:rFonts w:hint="eastAsia" w:ascii="Times New Roman" w:hAnsi="Times New Roman" w:eastAsia="宋体" w:cs="Times New Roman"/>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项目使用干净抹布蘸取稀释剂来清洁印刷机的印版，不使用清水清洗，故该工序无清洗废水产生和排放。项目外排废水主要为职工生活污水。</w:t>
            </w:r>
          </w:p>
          <w:bookmarkEnd w:id="29"/>
          <w:p w14:paraId="0684283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color w:val="auto"/>
                <w:kern w:val="0"/>
                <w:sz w:val="24"/>
                <w:lang w:bidi="ar"/>
              </w:rPr>
            </w:pPr>
            <w:r>
              <w:rPr>
                <w:rFonts w:hint="eastAsia"/>
                <w:color w:val="auto"/>
                <w:sz w:val="24"/>
              </w:rPr>
              <w:t>根据</w:t>
            </w:r>
            <w:r>
              <w:rPr>
                <w:color w:val="auto"/>
                <w:sz w:val="24"/>
              </w:rPr>
              <w:t>《建筑给水排水设计标准》</w:t>
            </w:r>
            <w:r>
              <w:rPr>
                <w:rFonts w:hint="eastAsia"/>
                <w:color w:val="auto"/>
                <w:sz w:val="24"/>
                <w:lang w:eastAsia="zh-CN"/>
              </w:rPr>
              <w:t>（</w:t>
            </w:r>
            <w:r>
              <w:rPr>
                <w:color w:val="auto"/>
                <w:sz w:val="24"/>
              </w:rPr>
              <w:t>GB50015-2019</w:t>
            </w:r>
            <w:r>
              <w:rPr>
                <w:rFonts w:hint="eastAsia"/>
                <w:color w:val="auto"/>
                <w:sz w:val="24"/>
                <w:lang w:eastAsia="zh-CN"/>
              </w:rPr>
              <w:t>）</w:t>
            </w:r>
            <w:r>
              <w:rPr>
                <w:color w:val="auto"/>
                <w:sz w:val="24"/>
              </w:rPr>
              <w:t>，本项目</w:t>
            </w:r>
            <w:r>
              <w:rPr>
                <w:rFonts w:hint="eastAsia"/>
                <w:color w:val="auto"/>
                <w:sz w:val="24"/>
              </w:rPr>
              <w:t>不</w:t>
            </w:r>
            <w:r>
              <w:rPr>
                <w:color w:val="auto"/>
                <w:sz w:val="24"/>
              </w:rPr>
              <w:t>住宿员工用水量按</w:t>
            </w:r>
            <w:r>
              <w:rPr>
                <w:rFonts w:hint="eastAsia"/>
                <w:color w:val="auto"/>
                <w:sz w:val="24"/>
              </w:rPr>
              <w:t>50</w:t>
            </w:r>
            <w:r>
              <w:rPr>
                <w:color w:val="auto"/>
                <w:sz w:val="24"/>
              </w:rPr>
              <w:t>L/人·d计</w:t>
            </w:r>
            <w:r>
              <w:rPr>
                <w:color w:val="auto"/>
                <w:kern w:val="0"/>
                <w:sz w:val="24"/>
                <w:lang w:bidi="ar"/>
              </w:rPr>
              <w:t>，项目职工人数</w:t>
            </w:r>
            <w:r>
              <w:rPr>
                <w:rFonts w:hint="eastAsia"/>
                <w:color w:val="auto"/>
                <w:kern w:val="0"/>
                <w:sz w:val="24"/>
                <w:lang w:val="en-US" w:eastAsia="zh-CN" w:bidi="ar"/>
              </w:rPr>
              <w:t>60</w:t>
            </w:r>
            <w:r>
              <w:rPr>
                <w:color w:val="auto"/>
                <w:kern w:val="0"/>
                <w:sz w:val="24"/>
                <w:lang w:bidi="ar"/>
              </w:rPr>
              <w:t>人，均不住厂，则生活用水量约</w:t>
            </w:r>
            <w:r>
              <w:rPr>
                <w:rFonts w:hint="eastAsia"/>
                <w:color w:val="auto"/>
                <w:kern w:val="0"/>
                <w:sz w:val="24"/>
                <w:lang w:val="en-US" w:eastAsia="zh-CN" w:bidi="ar"/>
              </w:rPr>
              <w:t>3</w:t>
            </w:r>
            <w:r>
              <w:rPr>
                <w:color w:val="auto"/>
                <w:kern w:val="0"/>
                <w:sz w:val="24"/>
                <w:lang w:bidi="ar"/>
              </w:rPr>
              <w:t>t/d（</w:t>
            </w:r>
            <w:r>
              <w:rPr>
                <w:rFonts w:hint="eastAsia"/>
                <w:color w:val="auto"/>
                <w:kern w:val="0"/>
                <w:sz w:val="24"/>
                <w:lang w:val="en-US" w:eastAsia="zh-CN" w:bidi="ar"/>
              </w:rPr>
              <w:t>900</w:t>
            </w:r>
            <w:r>
              <w:rPr>
                <w:color w:val="auto"/>
                <w:kern w:val="0"/>
                <w:sz w:val="24"/>
                <w:lang w:bidi="ar"/>
              </w:rPr>
              <w:t>t/a），项目废水排放系数按照0.8计算，则废水产生量为</w:t>
            </w:r>
            <w:r>
              <w:rPr>
                <w:rFonts w:hint="eastAsia"/>
                <w:color w:val="auto"/>
                <w:kern w:val="0"/>
                <w:sz w:val="24"/>
                <w:lang w:val="en-US" w:eastAsia="zh-CN" w:bidi="ar"/>
              </w:rPr>
              <w:t>2.4</w:t>
            </w:r>
            <w:r>
              <w:rPr>
                <w:color w:val="auto"/>
                <w:kern w:val="0"/>
                <w:sz w:val="24"/>
                <w:lang w:bidi="ar"/>
              </w:rPr>
              <w:t>t/d（</w:t>
            </w:r>
            <w:r>
              <w:rPr>
                <w:rFonts w:hint="eastAsia"/>
                <w:color w:val="auto"/>
                <w:kern w:val="0"/>
                <w:sz w:val="24"/>
                <w:lang w:val="en-US" w:eastAsia="zh-CN" w:bidi="ar"/>
              </w:rPr>
              <w:t>720</w:t>
            </w:r>
            <w:r>
              <w:rPr>
                <w:color w:val="auto"/>
                <w:kern w:val="0"/>
                <w:sz w:val="24"/>
                <w:lang w:bidi="ar"/>
              </w:rPr>
              <w:t>t/a）</w:t>
            </w:r>
            <w:r>
              <w:rPr>
                <w:rFonts w:hint="eastAsia"/>
                <w:color w:val="auto"/>
                <w:kern w:val="0"/>
                <w:sz w:val="24"/>
                <w:lang w:eastAsia="zh-CN" w:bidi="ar"/>
              </w:rPr>
              <w:t>，</w:t>
            </w:r>
            <w:r>
              <w:rPr>
                <w:rFonts w:hint="eastAsia"/>
                <w:color w:val="auto"/>
                <w:kern w:val="0"/>
                <w:sz w:val="24"/>
                <w:lang w:val="en-US" w:eastAsia="zh-CN" w:bidi="ar"/>
              </w:rPr>
              <w:t>生活污水依托厂内已建的化粪池处理后进入市政污水管网纳入</w:t>
            </w:r>
            <w:r>
              <w:rPr>
                <w:rFonts w:hint="eastAsia" w:ascii="Times New Roman" w:hAnsi="Times New Roman" w:eastAsia="宋体" w:cs="Times New Roman"/>
                <w:color w:val="auto"/>
                <w:spacing w:val="0"/>
                <w:sz w:val="24"/>
                <w:szCs w:val="24"/>
                <w:highlight w:val="none"/>
                <w:u w:val="none"/>
                <w:lang w:eastAsia="zh-CN"/>
              </w:rPr>
              <w:t>福清市融元污水处理厂</w:t>
            </w:r>
            <w:r>
              <w:rPr>
                <w:rFonts w:hint="eastAsia"/>
                <w:color w:val="auto"/>
                <w:kern w:val="0"/>
                <w:sz w:val="24"/>
                <w:lang w:val="en-US" w:eastAsia="zh-CN" w:bidi="ar"/>
              </w:rPr>
              <w:t>集中处理</w:t>
            </w:r>
            <w:r>
              <w:rPr>
                <w:rFonts w:hint="eastAsia"/>
                <w:color w:val="auto"/>
                <w:kern w:val="0"/>
                <w:sz w:val="24"/>
                <w:lang w:bidi="ar"/>
              </w:rPr>
              <w:t>。</w:t>
            </w:r>
          </w:p>
          <w:p w14:paraId="52ABDC43">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Times New Roman" w:hAnsi="Times New Roman" w:eastAsia="宋体" w:cs="Times New Roman"/>
                <w:b w:val="0"/>
                <w:bCs/>
                <w:color w:val="auto"/>
                <w:sz w:val="24"/>
                <w:lang w:val="en-US" w:eastAsia="zh-CN"/>
              </w:rPr>
            </w:pPr>
            <w:bookmarkStart w:id="30" w:name="_Toc11791"/>
            <w:r>
              <w:rPr>
                <w:rFonts w:hint="eastAsia" w:ascii="Times New Roman" w:hAnsi="Times New Roman" w:eastAsia="宋体" w:cs="Times New Roman"/>
                <w:b w:val="0"/>
                <w:bCs/>
                <w:color w:val="auto"/>
                <w:sz w:val="24"/>
                <w:lang w:val="en-US" w:eastAsia="zh-CN"/>
              </w:rPr>
              <w:t>项目水平衡图详见图2.1-1。</w:t>
            </w:r>
            <w:bookmarkEnd w:id="30"/>
          </w:p>
          <w:p w14:paraId="2372C171">
            <w:pPr>
              <w:pStyle w:val="41"/>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drawing>
                <wp:inline distT="0" distB="0" distL="114300" distR="114300">
                  <wp:extent cx="4870450" cy="1184910"/>
                  <wp:effectExtent l="0" t="0" r="0" b="0"/>
                  <wp:docPr id="41" name="ECB019B1-382A-4266-B25C-5B523AA43C14-1" descr="C:/Users/Administrator/AppData/Local/Temp/wps.ZzZnR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B019B1-382A-4266-B25C-5B523AA43C14-1" descr="C:/Users/Administrator/AppData/Local/Temp/wps.ZzZnRYwps"/>
                          <pic:cNvPicPr>
                            <a:picLocks noChangeAspect="1"/>
                          </pic:cNvPicPr>
                        </pic:nvPicPr>
                        <pic:blipFill>
                          <a:blip r:embed="rId9"/>
                          <a:stretch>
                            <a:fillRect/>
                          </a:stretch>
                        </pic:blipFill>
                        <pic:spPr>
                          <a:xfrm>
                            <a:off x="0" y="0"/>
                            <a:ext cx="4870450" cy="1184910"/>
                          </a:xfrm>
                          <a:prstGeom prst="rect">
                            <a:avLst/>
                          </a:prstGeom>
                        </pic:spPr>
                      </pic:pic>
                    </a:graphicData>
                  </a:graphic>
                </wp:inline>
              </w:drawing>
            </w:r>
          </w:p>
          <w:p w14:paraId="007FAA55">
            <w:pPr>
              <w:pStyle w:val="41"/>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auto"/>
                <w:sz w:val="24"/>
                <w:szCs w:val="24"/>
                <w:lang w:val="en-US" w:eastAsia="zh-CN"/>
              </w:rPr>
            </w:pPr>
            <w:bookmarkStart w:id="31" w:name="_Toc7512"/>
            <w:r>
              <w:rPr>
                <w:rFonts w:hint="default" w:ascii="Times New Roman" w:hAnsi="Times New Roman" w:eastAsia="宋体" w:cs="Times New Roman"/>
                <w:b/>
                <w:bCs w:val="0"/>
                <w:color w:val="auto"/>
                <w:sz w:val="24"/>
                <w:szCs w:val="24"/>
                <w:lang w:val="en-US" w:eastAsia="zh-CN"/>
              </w:rPr>
              <w:t>图2.1-1 项目水平衡图（单位：t/</w:t>
            </w:r>
            <w:r>
              <w:rPr>
                <w:rFonts w:hint="eastAsia" w:cs="Times New Roman"/>
                <w:b/>
                <w:bCs w:val="0"/>
                <w:color w:val="auto"/>
                <w:sz w:val="24"/>
                <w:szCs w:val="24"/>
                <w:lang w:val="en-US" w:eastAsia="zh-CN"/>
              </w:rPr>
              <w:t>a</w:t>
            </w:r>
            <w:r>
              <w:rPr>
                <w:rFonts w:hint="default" w:ascii="Times New Roman" w:hAnsi="Times New Roman" w:eastAsia="宋体" w:cs="Times New Roman"/>
                <w:b/>
                <w:bCs w:val="0"/>
                <w:color w:val="auto"/>
                <w:sz w:val="24"/>
                <w:szCs w:val="24"/>
                <w:lang w:val="en-US" w:eastAsia="zh-CN"/>
              </w:rPr>
              <w:t>）</w:t>
            </w:r>
            <w:bookmarkEnd w:id="31"/>
          </w:p>
          <w:p w14:paraId="5004762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w:t>
            </w:r>
            <w:r>
              <w:rPr>
                <w:rFonts w:hint="eastAsia" w:ascii="Times New Roman" w:hAnsi="Times New Roman" w:eastAsia="宋体" w:cs="Times New Roman"/>
                <w:b/>
                <w:bCs/>
                <w:color w:val="auto"/>
                <w:sz w:val="24"/>
                <w:szCs w:val="24"/>
                <w:u w:val="none"/>
                <w:lang w:val="en-US" w:eastAsia="zh-CN"/>
              </w:rPr>
              <w:t>2</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8项目</w:t>
            </w:r>
            <w:r>
              <w:rPr>
                <w:rFonts w:hint="default" w:ascii="Times New Roman" w:hAnsi="Times New Roman" w:eastAsia="宋体" w:cs="Times New Roman"/>
                <w:b/>
                <w:bCs/>
                <w:color w:val="auto"/>
                <w:sz w:val="24"/>
                <w:szCs w:val="24"/>
                <w:u w:val="none"/>
                <w:lang w:val="en-US" w:eastAsia="zh-CN"/>
              </w:rPr>
              <w:t>VOCs平衡</w:t>
            </w:r>
          </w:p>
          <w:p w14:paraId="3ACB15B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本项目VOCs产排情况详见下表。</w:t>
            </w:r>
          </w:p>
          <w:p w14:paraId="2764CB94">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表2.2-6 项目VOCs产排情况一览表</w:t>
            </w:r>
          </w:p>
          <w:tbl>
            <w:tblPr>
              <w:tblStyle w:val="24"/>
              <w:tblW w:w="8725" w:type="dxa"/>
              <w:tblInd w:w="-12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5"/>
              <w:gridCol w:w="705"/>
              <w:gridCol w:w="780"/>
              <w:gridCol w:w="645"/>
              <w:gridCol w:w="750"/>
              <w:gridCol w:w="720"/>
              <w:gridCol w:w="900"/>
              <w:gridCol w:w="930"/>
              <w:gridCol w:w="813"/>
              <w:gridCol w:w="805"/>
              <w:gridCol w:w="912"/>
            </w:tblGrid>
            <w:tr w14:paraId="13E801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atLeast"/>
              </w:trPr>
              <w:tc>
                <w:tcPr>
                  <w:tcW w:w="438" w:type="pct"/>
                  <w:tcBorders>
                    <w:top w:val="single" w:color="000000" w:sz="12" w:space="0"/>
                    <w:bottom w:val="single" w:color="000000" w:sz="12" w:space="0"/>
                    <w:tl2br w:val="nil"/>
                    <w:tr2bl w:val="nil"/>
                  </w:tcBorders>
                  <w:shd w:val="clear" w:color="auto" w:fill="auto"/>
                  <w:noWrap/>
                  <w:vAlign w:val="center"/>
                </w:tcPr>
                <w:p w14:paraId="40412451">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原料名称</w:t>
                  </w:r>
                </w:p>
              </w:tc>
              <w:tc>
                <w:tcPr>
                  <w:tcW w:w="404" w:type="pct"/>
                  <w:tcBorders>
                    <w:top w:val="single" w:color="000000" w:sz="12" w:space="0"/>
                    <w:bottom w:val="single" w:color="000000" w:sz="12" w:space="0"/>
                    <w:tl2br w:val="nil"/>
                    <w:tr2bl w:val="nil"/>
                  </w:tcBorders>
                  <w:shd w:val="clear" w:color="auto" w:fill="auto"/>
                  <w:noWrap/>
                  <w:vAlign w:val="center"/>
                </w:tcPr>
                <w:p w14:paraId="2C2AE387">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年用量/年产量（t/a）</w:t>
                  </w:r>
                </w:p>
              </w:tc>
              <w:tc>
                <w:tcPr>
                  <w:tcW w:w="446" w:type="pct"/>
                  <w:tcBorders>
                    <w:top w:val="single" w:color="000000" w:sz="12" w:space="0"/>
                    <w:bottom w:val="single" w:color="000000" w:sz="12" w:space="0"/>
                    <w:tl2br w:val="nil"/>
                    <w:tr2bl w:val="nil"/>
                  </w:tcBorders>
                  <w:shd w:val="clear" w:color="auto" w:fill="auto"/>
                  <w:noWrap/>
                  <w:vAlign w:val="center"/>
                </w:tcPr>
                <w:p w14:paraId="381F3201">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挥发分%</w:t>
                  </w:r>
                </w:p>
              </w:tc>
              <w:tc>
                <w:tcPr>
                  <w:tcW w:w="369" w:type="pct"/>
                  <w:tcBorders>
                    <w:top w:val="single" w:color="000000" w:sz="12" w:space="0"/>
                    <w:bottom w:val="single" w:color="000000" w:sz="12" w:space="0"/>
                    <w:tl2br w:val="nil"/>
                    <w:tr2bl w:val="nil"/>
                  </w:tcBorders>
                  <w:shd w:val="clear" w:color="auto" w:fill="auto"/>
                  <w:vAlign w:val="center"/>
                </w:tcPr>
                <w:p w14:paraId="6A37AF8E">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产物系数</w:t>
                  </w:r>
                  <w:r>
                    <w:rPr>
                      <w:rFonts w:hint="eastAsia" w:ascii="Times New Roman" w:hAnsi="Times New Roman" w:eastAsia="宋体" w:cs="宋体"/>
                      <w:i w:val="0"/>
                      <w:iCs w:val="0"/>
                      <w:color w:val="000000"/>
                      <w:kern w:val="0"/>
                      <w:sz w:val="21"/>
                      <w:szCs w:val="22"/>
                      <w:u w:val="none"/>
                      <w:lang w:val="en-US" w:eastAsia="zh-CN" w:bidi="ar"/>
                    </w:rPr>
                    <w:br w:type="textWrapping"/>
                  </w:r>
                  <w:r>
                    <w:rPr>
                      <w:rFonts w:hint="eastAsia" w:ascii="Times New Roman" w:hAnsi="Times New Roman" w:eastAsia="宋体" w:cs="宋体"/>
                      <w:i w:val="0"/>
                      <w:iCs w:val="0"/>
                      <w:color w:val="000000"/>
                      <w:kern w:val="0"/>
                      <w:sz w:val="21"/>
                      <w:szCs w:val="22"/>
                      <w:u w:val="none"/>
                      <w:lang w:val="en-US" w:eastAsia="zh-CN" w:bidi="ar"/>
                    </w:rPr>
                    <w:t>（kg/吨-产品）</w:t>
                  </w:r>
                </w:p>
              </w:tc>
              <w:tc>
                <w:tcPr>
                  <w:tcW w:w="429" w:type="pct"/>
                  <w:tcBorders>
                    <w:top w:val="single" w:color="000000" w:sz="12" w:space="0"/>
                    <w:bottom w:val="single" w:color="000000" w:sz="12" w:space="0"/>
                    <w:tl2br w:val="nil"/>
                    <w:tr2bl w:val="nil"/>
                  </w:tcBorders>
                  <w:shd w:val="clear" w:color="auto" w:fill="auto"/>
                  <w:vAlign w:val="center"/>
                </w:tcPr>
                <w:p w14:paraId="1D00960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挥发性有机物</w:t>
                  </w:r>
                  <w:r>
                    <w:rPr>
                      <w:rFonts w:hint="eastAsia" w:ascii="Times New Roman" w:hAnsi="Times New Roman" w:eastAsia="宋体" w:cs="宋体"/>
                      <w:i w:val="0"/>
                      <w:iCs w:val="0"/>
                      <w:color w:val="000000"/>
                      <w:kern w:val="0"/>
                      <w:sz w:val="21"/>
                      <w:szCs w:val="22"/>
                      <w:u w:val="none"/>
                      <w:lang w:val="en-US" w:eastAsia="zh-CN" w:bidi="ar"/>
                    </w:rPr>
                    <w:br w:type="textWrapping"/>
                  </w:r>
                  <w:r>
                    <w:rPr>
                      <w:rFonts w:hint="eastAsia" w:ascii="Times New Roman" w:hAnsi="Times New Roman" w:eastAsia="宋体" w:cs="宋体"/>
                      <w:i w:val="0"/>
                      <w:iCs w:val="0"/>
                      <w:color w:val="000000"/>
                      <w:kern w:val="0"/>
                      <w:sz w:val="21"/>
                      <w:szCs w:val="22"/>
                      <w:u w:val="none"/>
                      <w:lang w:val="en-US" w:eastAsia="zh-CN" w:bidi="ar"/>
                    </w:rPr>
                    <w:t>产生量（t/a）</w:t>
                  </w:r>
                </w:p>
              </w:tc>
              <w:tc>
                <w:tcPr>
                  <w:tcW w:w="412" w:type="pct"/>
                  <w:tcBorders>
                    <w:top w:val="single" w:color="000000" w:sz="12" w:space="0"/>
                    <w:bottom w:val="single" w:color="000000" w:sz="12" w:space="0"/>
                    <w:tl2br w:val="nil"/>
                    <w:tr2bl w:val="nil"/>
                  </w:tcBorders>
                  <w:shd w:val="clear" w:color="auto" w:fill="auto"/>
                  <w:vAlign w:val="center"/>
                </w:tcPr>
                <w:p w14:paraId="711368C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无组织排放</w:t>
                  </w:r>
                  <w:r>
                    <w:rPr>
                      <w:rFonts w:hint="eastAsia" w:ascii="Times New Roman" w:hAnsi="Times New Roman" w:eastAsia="宋体" w:cs="宋体"/>
                      <w:i w:val="0"/>
                      <w:iCs w:val="0"/>
                      <w:color w:val="000000"/>
                      <w:kern w:val="0"/>
                      <w:sz w:val="21"/>
                      <w:szCs w:val="22"/>
                      <w:u w:val="none"/>
                      <w:lang w:val="en-US" w:eastAsia="zh-CN" w:bidi="ar"/>
                    </w:rPr>
                    <w:br w:type="textWrapping"/>
                  </w:r>
                  <w:r>
                    <w:rPr>
                      <w:rFonts w:hint="eastAsia" w:ascii="Times New Roman" w:hAnsi="Times New Roman" w:eastAsia="宋体" w:cs="宋体"/>
                      <w:i w:val="0"/>
                      <w:iCs w:val="0"/>
                      <w:color w:val="000000"/>
                      <w:kern w:val="0"/>
                      <w:sz w:val="21"/>
                      <w:szCs w:val="22"/>
                      <w:u w:val="none"/>
                      <w:lang w:val="en-US" w:eastAsia="zh-CN" w:bidi="ar"/>
                    </w:rPr>
                    <w:t>（t/a）</w:t>
                  </w:r>
                </w:p>
              </w:tc>
              <w:tc>
                <w:tcPr>
                  <w:tcW w:w="515" w:type="pct"/>
                  <w:tcBorders>
                    <w:top w:val="single" w:color="000000" w:sz="12" w:space="0"/>
                    <w:bottom w:val="single" w:color="000000" w:sz="12" w:space="0"/>
                    <w:tl2br w:val="nil"/>
                    <w:tr2bl w:val="nil"/>
                  </w:tcBorders>
                  <w:shd w:val="clear" w:color="auto" w:fill="auto"/>
                  <w:vAlign w:val="center"/>
                </w:tcPr>
                <w:p w14:paraId="2D09E8A7">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有组织废气</w:t>
                  </w:r>
                  <w:r>
                    <w:rPr>
                      <w:rFonts w:hint="eastAsia" w:ascii="Times New Roman" w:hAnsi="Times New Roman" w:eastAsia="宋体" w:cs="宋体"/>
                      <w:i w:val="0"/>
                      <w:iCs w:val="0"/>
                      <w:color w:val="000000"/>
                      <w:kern w:val="0"/>
                      <w:sz w:val="21"/>
                      <w:szCs w:val="22"/>
                      <w:u w:val="none"/>
                      <w:lang w:val="en-US" w:eastAsia="zh-CN" w:bidi="ar"/>
                    </w:rPr>
                    <w:br w:type="textWrapping"/>
                  </w:r>
                  <w:r>
                    <w:rPr>
                      <w:rFonts w:hint="eastAsia" w:ascii="Times New Roman" w:hAnsi="Times New Roman" w:eastAsia="宋体" w:cs="宋体"/>
                      <w:i w:val="0"/>
                      <w:iCs w:val="0"/>
                      <w:color w:val="000000"/>
                      <w:kern w:val="0"/>
                      <w:sz w:val="21"/>
                      <w:szCs w:val="22"/>
                      <w:u w:val="none"/>
                      <w:lang w:val="en-US" w:eastAsia="zh-CN" w:bidi="ar"/>
                    </w:rPr>
                    <w:t>处理量（t/a）</w:t>
                  </w:r>
                </w:p>
              </w:tc>
              <w:tc>
                <w:tcPr>
                  <w:tcW w:w="532" w:type="pct"/>
                  <w:tcBorders>
                    <w:top w:val="single" w:color="000000" w:sz="12" w:space="0"/>
                    <w:bottom w:val="single" w:color="000000" w:sz="12" w:space="0"/>
                    <w:tl2br w:val="nil"/>
                    <w:tr2bl w:val="nil"/>
                  </w:tcBorders>
                  <w:shd w:val="clear" w:color="auto" w:fill="auto"/>
                  <w:vAlign w:val="center"/>
                </w:tcPr>
                <w:p w14:paraId="706D41C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有组织排放</w:t>
                  </w:r>
                  <w:r>
                    <w:rPr>
                      <w:rFonts w:hint="eastAsia" w:ascii="Times New Roman" w:hAnsi="Times New Roman" w:eastAsia="宋体" w:cs="宋体"/>
                      <w:i w:val="0"/>
                      <w:iCs w:val="0"/>
                      <w:color w:val="000000"/>
                      <w:kern w:val="0"/>
                      <w:sz w:val="21"/>
                      <w:szCs w:val="22"/>
                      <w:u w:val="none"/>
                      <w:lang w:val="en-US" w:eastAsia="zh-CN" w:bidi="ar"/>
                    </w:rPr>
                    <w:br w:type="textWrapping"/>
                  </w:r>
                  <w:r>
                    <w:rPr>
                      <w:rFonts w:hint="eastAsia" w:ascii="Times New Roman" w:hAnsi="Times New Roman" w:eastAsia="宋体" w:cs="宋体"/>
                      <w:i w:val="0"/>
                      <w:iCs w:val="0"/>
                      <w:color w:val="000000"/>
                      <w:kern w:val="0"/>
                      <w:sz w:val="21"/>
                      <w:szCs w:val="22"/>
                      <w:u w:val="none"/>
                      <w:lang w:val="en-US" w:eastAsia="zh-CN" w:bidi="ar"/>
                    </w:rPr>
                    <w:t>（t/a）</w:t>
                  </w:r>
                </w:p>
              </w:tc>
              <w:tc>
                <w:tcPr>
                  <w:tcW w:w="465" w:type="pct"/>
                  <w:tcBorders>
                    <w:top w:val="single" w:color="000000" w:sz="12" w:space="0"/>
                    <w:bottom w:val="single" w:color="000000" w:sz="12" w:space="0"/>
                    <w:tl2br w:val="nil"/>
                    <w:tr2bl w:val="nil"/>
                  </w:tcBorders>
                  <w:shd w:val="clear" w:color="auto" w:fill="auto"/>
                  <w:vAlign w:val="center"/>
                </w:tcPr>
                <w:p w14:paraId="7F550FC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挥发性有机物</w:t>
                  </w:r>
                  <w:r>
                    <w:rPr>
                      <w:rFonts w:hint="eastAsia" w:ascii="Times New Roman" w:hAnsi="Times New Roman" w:eastAsia="宋体" w:cs="宋体"/>
                      <w:i w:val="0"/>
                      <w:iCs w:val="0"/>
                      <w:color w:val="000000"/>
                      <w:kern w:val="0"/>
                      <w:sz w:val="21"/>
                      <w:szCs w:val="22"/>
                      <w:u w:val="none"/>
                      <w:lang w:val="en-US" w:eastAsia="zh-CN" w:bidi="ar"/>
                    </w:rPr>
                    <w:br w:type="textWrapping"/>
                  </w:r>
                  <w:r>
                    <w:rPr>
                      <w:rFonts w:hint="eastAsia" w:ascii="Times New Roman" w:hAnsi="Times New Roman" w:eastAsia="宋体" w:cs="宋体"/>
                      <w:i w:val="0"/>
                      <w:iCs w:val="0"/>
                      <w:color w:val="000000"/>
                      <w:kern w:val="0"/>
                      <w:sz w:val="21"/>
                      <w:szCs w:val="22"/>
                      <w:u w:val="none"/>
                      <w:lang w:val="en-US" w:eastAsia="zh-CN" w:bidi="ar"/>
                    </w:rPr>
                    <w:t>排放量（t/a）</w:t>
                  </w:r>
                </w:p>
              </w:tc>
              <w:tc>
                <w:tcPr>
                  <w:tcW w:w="461" w:type="pct"/>
                  <w:tcBorders>
                    <w:top w:val="single" w:color="000000" w:sz="12" w:space="0"/>
                    <w:bottom w:val="single" w:color="000000" w:sz="12" w:space="0"/>
                    <w:tl2br w:val="nil"/>
                    <w:tr2bl w:val="nil"/>
                  </w:tcBorders>
                  <w:shd w:val="clear" w:color="auto" w:fill="auto"/>
                  <w:noWrap/>
                  <w:vAlign w:val="center"/>
                </w:tcPr>
                <w:p w14:paraId="05E136F7">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工序</w:t>
                  </w:r>
                </w:p>
              </w:tc>
              <w:tc>
                <w:tcPr>
                  <w:tcW w:w="522" w:type="pct"/>
                  <w:tcBorders>
                    <w:top w:val="single" w:color="000000" w:sz="12" w:space="0"/>
                    <w:bottom w:val="single" w:color="000000" w:sz="12" w:space="0"/>
                    <w:tl2br w:val="nil"/>
                    <w:tr2bl w:val="nil"/>
                  </w:tcBorders>
                  <w:shd w:val="clear" w:color="auto" w:fill="auto"/>
                  <w:noWrap/>
                  <w:vAlign w:val="center"/>
                </w:tcPr>
                <w:p w14:paraId="6F051AB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核算方法</w:t>
                  </w:r>
                </w:p>
              </w:tc>
            </w:tr>
            <w:tr w14:paraId="519570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38" w:type="pct"/>
                  <w:tcBorders>
                    <w:top w:val="single" w:color="000000" w:sz="12" w:space="0"/>
                    <w:tl2br w:val="nil"/>
                    <w:tr2bl w:val="nil"/>
                  </w:tcBorders>
                  <w:shd w:val="clear" w:color="auto" w:fill="auto"/>
                  <w:noWrap/>
                  <w:vAlign w:val="center"/>
                </w:tcPr>
                <w:p w14:paraId="1112711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凹版印刷油墨</w:t>
                  </w:r>
                </w:p>
              </w:tc>
              <w:tc>
                <w:tcPr>
                  <w:tcW w:w="404" w:type="pct"/>
                  <w:tcBorders>
                    <w:top w:val="single" w:color="000000" w:sz="12" w:space="0"/>
                    <w:tl2br w:val="nil"/>
                    <w:tr2bl w:val="nil"/>
                  </w:tcBorders>
                  <w:shd w:val="clear" w:color="auto" w:fill="auto"/>
                  <w:noWrap/>
                  <w:vAlign w:val="center"/>
                </w:tcPr>
                <w:p w14:paraId="2A6DA3EE">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3</w:t>
                  </w:r>
                </w:p>
              </w:tc>
              <w:tc>
                <w:tcPr>
                  <w:tcW w:w="446" w:type="pct"/>
                  <w:tcBorders>
                    <w:top w:val="single" w:color="000000" w:sz="12" w:space="0"/>
                    <w:tl2br w:val="nil"/>
                    <w:tr2bl w:val="nil"/>
                  </w:tcBorders>
                  <w:shd w:val="clear" w:color="auto" w:fill="auto"/>
                  <w:noWrap/>
                  <w:vAlign w:val="center"/>
                </w:tcPr>
                <w:p w14:paraId="7F3831A1">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65%</w:t>
                  </w:r>
                </w:p>
              </w:tc>
              <w:tc>
                <w:tcPr>
                  <w:tcW w:w="369" w:type="pct"/>
                  <w:tcBorders>
                    <w:top w:val="single" w:color="000000" w:sz="12" w:space="0"/>
                    <w:tl2br w:val="nil"/>
                    <w:tr2bl w:val="nil"/>
                  </w:tcBorders>
                  <w:shd w:val="clear" w:color="auto" w:fill="auto"/>
                  <w:noWrap/>
                  <w:vAlign w:val="center"/>
                </w:tcPr>
                <w:p w14:paraId="47FBB5A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w:t>
                  </w:r>
                </w:p>
              </w:tc>
              <w:tc>
                <w:tcPr>
                  <w:tcW w:w="429" w:type="pct"/>
                  <w:tcBorders>
                    <w:top w:val="single" w:color="000000" w:sz="12" w:space="0"/>
                    <w:tl2br w:val="nil"/>
                    <w:tr2bl w:val="nil"/>
                  </w:tcBorders>
                  <w:shd w:val="clear" w:color="auto" w:fill="auto"/>
                  <w:noWrap/>
                  <w:vAlign w:val="center"/>
                </w:tcPr>
                <w:p w14:paraId="14CCA24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1.95</w:t>
                  </w:r>
                </w:p>
              </w:tc>
              <w:tc>
                <w:tcPr>
                  <w:tcW w:w="412" w:type="pct"/>
                  <w:tcBorders>
                    <w:top w:val="single" w:color="000000" w:sz="12" w:space="0"/>
                    <w:tl2br w:val="nil"/>
                    <w:tr2bl w:val="nil"/>
                  </w:tcBorders>
                  <w:shd w:val="clear" w:color="auto" w:fill="auto"/>
                  <w:noWrap/>
                  <w:vAlign w:val="center"/>
                </w:tcPr>
                <w:p w14:paraId="1B653BC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0.195</w:t>
                  </w:r>
                </w:p>
              </w:tc>
              <w:tc>
                <w:tcPr>
                  <w:tcW w:w="515" w:type="pct"/>
                  <w:tcBorders>
                    <w:top w:val="single" w:color="000000" w:sz="12" w:space="0"/>
                    <w:tl2br w:val="nil"/>
                    <w:tr2bl w:val="nil"/>
                  </w:tcBorders>
                  <w:shd w:val="clear" w:color="auto" w:fill="auto"/>
                  <w:noWrap/>
                  <w:vAlign w:val="center"/>
                </w:tcPr>
                <w:p w14:paraId="2973BF9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宋体"/>
                      <w:i w:val="0"/>
                      <w:iCs w:val="0"/>
                      <w:color w:val="000000"/>
                      <w:sz w:val="21"/>
                      <w:szCs w:val="22"/>
                      <w:u w:val="none"/>
                      <w:lang w:val="en-US"/>
                    </w:rPr>
                  </w:pPr>
                  <w:r>
                    <w:rPr>
                      <w:rFonts w:hint="eastAsia" w:ascii="Times New Roman" w:hAnsi="Times New Roman" w:eastAsia="宋体" w:cs="宋体"/>
                      <w:i w:val="0"/>
                      <w:iCs w:val="0"/>
                      <w:color w:val="000000"/>
                      <w:kern w:val="0"/>
                      <w:sz w:val="21"/>
                      <w:szCs w:val="22"/>
                      <w:u w:val="none"/>
                      <w:lang w:val="en-US" w:eastAsia="zh-CN" w:bidi="ar"/>
                    </w:rPr>
                    <w:t>1.3163</w:t>
                  </w:r>
                </w:p>
              </w:tc>
              <w:tc>
                <w:tcPr>
                  <w:tcW w:w="532" w:type="pct"/>
                  <w:tcBorders>
                    <w:top w:val="single" w:color="000000" w:sz="12" w:space="0"/>
                    <w:tl2br w:val="nil"/>
                    <w:tr2bl w:val="nil"/>
                  </w:tcBorders>
                  <w:shd w:val="clear" w:color="auto" w:fill="auto"/>
                  <w:noWrap/>
                  <w:vAlign w:val="center"/>
                </w:tcPr>
                <w:p w14:paraId="240D0D0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宋体"/>
                      <w:i w:val="0"/>
                      <w:iCs w:val="0"/>
                      <w:color w:val="000000"/>
                      <w:sz w:val="21"/>
                      <w:szCs w:val="22"/>
                      <w:u w:val="none"/>
                      <w:lang w:val="en-US"/>
                    </w:rPr>
                  </w:pPr>
                  <w:r>
                    <w:rPr>
                      <w:rFonts w:hint="eastAsia" w:ascii="Times New Roman" w:hAnsi="Times New Roman" w:eastAsia="宋体" w:cs="宋体"/>
                      <w:i w:val="0"/>
                      <w:iCs w:val="0"/>
                      <w:color w:val="000000"/>
                      <w:kern w:val="0"/>
                      <w:sz w:val="21"/>
                      <w:szCs w:val="22"/>
                      <w:u w:val="none"/>
                      <w:lang w:val="en-US" w:eastAsia="zh-CN" w:bidi="ar"/>
                    </w:rPr>
                    <w:t>0.4388</w:t>
                  </w:r>
                </w:p>
              </w:tc>
              <w:tc>
                <w:tcPr>
                  <w:tcW w:w="465" w:type="pct"/>
                  <w:tcBorders>
                    <w:top w:val="single" w:color="000000" w:sz="12" w:space="0"/>
                    <w:tl2br w:val="nil"/>
                    <w:tr2bl w:val="nil"/>
                  </w:tcBorders>
                  <w:shd w:val="clear" w:color="auto" w:fill="auto"/>
                  <w:noWrap/>
                  <w:vAlign w:val="center"/>
                </w:tcPr>
                <w:p w14:paraId="61F655C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宋体"/>
                      <w:i w:val="0"/>
                      <w:iCs w:val="0"/>
                      <w:color w:val="000000"/>
                      <w:sz w:val="21"/>
                      <w:szCs w:val="22"/>
                      <w:u w:val="none"/>
                      <w:lang w:val="en-US"/>
                    </w:rPr>
                  </w:pPr>
                  <w:r>
                    <w:rPr>
                      <w:rFonts w:hint="eastAsia" w:ascii="Times New Roman" w:hAnsi="Times New Roman" w:eastAsia="宋体" w:cs="宋体"/>
                      <w:i w:val="0"/>
                      <w:iCs w:val="0"/>
                      <w:color w:val="000000"/>
                      <w:kern w:val="0"/>
                      <w:sz w:val="21"/>
                      <w:szCs w:val="22"/>
                      <w:u w:val="none"/>
                      <w:lang w:val="en-US" w:eastAsia="zh-CN" w:bidi="ar"/>
                    </w:rPr>
                    <w:t>0.6338</w:t>
                  </w:r>
                </w:p>
              </w:tc>
              <w:tc>
                <w:tcPr>
                  <w:tcW w:w="461" w:type="pct"/>
                  <w:vMerge w:val="restart"/>
                  <w:tcBorders>
                    <w:top w:val="single" w:color="000000" w:sz="12" w:space="0"/>
                    <w:tl2br w:val="nil"/>
                    <w:tr2bl w:val="nil"/>
                  </w:tcBorders>
                  <w:shd w:val="clear" w:color="auto" w:fill="auto"/>
                  <w:noWrap/>
                  <w:vAlign w:val="center"/>
                </w:tcPr>
                <w:p w14:paraId="696466C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印刷</w:t>
                  </w:r>
                </w:p>
              </w:tc>
              <w:tc>
                <w:tcPr>
                  <w:tcW w:w="522" w:type="pct"/>
                  <w:vMerge w:val="restart"/>
                  <w:tcBorders>
                    <w:top w:val="single" w:color="000000" w:sz="12" w:space="0"/>
                    <w:tl2br w:val="nil"/>
                    <w:tr2bl w:val="nil"/>
                  </w:tcBorders>
                  <w:shd w:val="clear" w:color="auto" w:fill="auto"/>
                  <w:noWrap/>
                  <w:vAlign w:val="center"/>
                </w:tcPr>
                <w:p w14:paraId="25285CDE">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物料平衡法</w:t>
                  </w:r>
                </w:p>
              </w:tc>
            </w:tr>
            <w:tr w14:paraId="1EFBA2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38" w:type="pct"/>
                  <w:tcBorders>
                    <w:tl2br w:val="nil"/>
                    <w:tr2bl w:val="nil"/>
                  </w:tcBorders>
                  <w:shd w:val="clear" w:color="auto" w:fill="auto"/>
                  <w:noWrap/>
                  <w:vAlign w:val="center"/>
                </w:tcPr>
                <w:p w14:paraId="02DEB51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稀释剂</w:t>
                  </w:r>
                </w:p>
              </w:tc>
              <w:tc>
                <w:tcPr>
                  <w:tcW w:w="404" w:type="pct"/>
                  <w:tcBorders>
                    <w:tl2br w:val="nil"/>
                    <w:tr2bl w:val="nil"/>
                  </w:tcBorders>
                  <w:shd w:val="clear" w:color="auto" w:fill="auto"/>
                  <w:noWrap/>
                  <w:vAlign w:val="center"/>
                </w:tcPr>
                <w:p w14:paraId="1FF9E03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3.2</w:t>
                  </w:r>
                </w:p>
              </w:tc>
              <w:tc>
                <w:tcPr>
                  <w:tcW w:w="446" w:type="pct"/>
                  <w:tcBorders>
                    <w:tl2br w:val="nil"/>
                    <w:tr2bl w:val="nil"/>
                  </w:tcBorders>
                  <w:shd w:val="clear" w:color="auto" w:fill="auto"/>
                  <w:noWrap/>
                  <w:vAlign w:val="center"/>
                </w:tcPr>
                <w:p w14:paraId="53B4E8E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100%</w:t>
                  </w:r>
                </w:p>
              </w:tc>
              <w:tc>
                <w:tcPr>
                  <w:tcW w:w="369" w:type="pct"/>
                  <w:tcBorders>
                    <w:tl2br w:val="nil"/>
                    <w:tr2bl w:val="nil"/>
                  </w:tcBorders>
                  <w:shd w:val="clear" w:color="auto" w:fill="auto"/>
                  <w:noWrap/>
                  <w:vAlign w:val="center"/>
                </w:tcPr>
                <w:p w14:paraId="3FD9DD7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w:t>
                  </w:r>
                </w:p>
              </w:tc>
              <w:tc>
                <w:tcPr>
                  <w:tcW w:w="429" w:type="pct"/>
                  <w:tcBorders>
                    <w:tl2br w:val="nil"/>
                    <w:tr2bl w:val="nil"/>
                  </w:tcBorders>
                  <w:shd w:val="clear" w:color="auto" w:fill="auto"/>
                  <w:noWrap/>
                  <w:vAlign w:val="center"/>
                </w:tcPr>
                <w:p w14:paraId="21F739C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3.2</w:t>
                  </w:r>
                </w:p>
              </w:tc>
              <w:tc>
                <w:tcPr>
                  <w:tcW w:w="412" w:type="pct"/>
                  <w:tcBorders>
                    <w:tl2br w:val="nil"/>
                    <w:tr2bl w:val="nil"/>
                  </w:tcBorders>
                  <w:shd w:val="clear" w:color="auto" w:fill="auto"/>
                  <w:noWrap/>
                  <w:vAlign w:val="center"/>
                </w:tcPr>
                <w:p w14:paraId="6CCBD0BE">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0.32</w:t>
                  </w:r>
                </w:p>
              </w:tc>
              <w:tc>
                <w:tcPr>
                  <w:tcW w:w="515" w:type="pct"/>
                  <w:tcBorders>
                    <w:tl2br w:val="nil"/>
                    <w:tr2bl w:val="nil"/>
                  </w:tcBorders>
                  <w:shd w:val="clear" w:color="auto" w:fill="auto"/>
                  <w:noWrap/>
                  <w:vAlign w:val="center"/>
                </w:tcPr>
                <w:p w14:paraId="0769FCAA">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2.16</w:t>
                  </w:r>
                </w:p>
              </w:tc>
              <w:tc>
                <w:tcPr>
                  <w:tcW w:w="532" w:type="pct"/>
                  <w:tcBorders>
                    <w:tl2br w:val="nil"/>
                    <w:tr2bl w:val="nil"/>
                  </w:tcBorders>
                  <w:shd w:val="clear" w:color="auto" w:fill="auto"/>
                  <w:noWrap/>
                  <w:vAlign w:val="center"/>
                </w:tcPr>
                <w:p w14:paraId="456E1BC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0.72</w:t>
                  </w:r>
                </w:p>
              </w:tc>
              <w:tc>
                <w:tcPr>
                  <w:tcW w:w="465" w:type="pct"/>
                  <w:tcBorders>
                    <w:tl2br w:val="nil"/>
                    <w:tr2bl w:val="nil"/>
                  </w:tcBorders>
                  <w:shd w:val="clear" w:color="auto" w:fill="auto"/>
                  <w:noWrap/>
                  <w:vAlign w:val="center"/>
                </w:tcPr>
                <w:p w14:paraId="3D187F2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1.04</w:t>
                  </w:r>
                </w:p>
              </w:tc>
              <w:tc>
                <w:tcPr>
                  <w:tcW w:w="461" w:type="pct"/>
                  <w:vMerge w:val="continue"/>
                  <w:tcBorders>
                    <w:tl2br w:val="nil"/>
                    <w:tr2bl w:val="nil"/>
                  </w:tcBorders>
                  <w:shd w:val="clear" w:color="auto" w:fill="auto"/>
                  <w:noWrap/>
                  <w:vAlign w:val="center"/>
                </w:tcPr>
                <w:p w14:paraId="50E7555D">
                  <w:pPr>
                    <w:keepNext w:val="0"/>
                    <w:keepLines w:val="0"/>
                    <w:pageBreakBefore w:val="0"/>
                    <w:widowControl/>
                    <w:kinsoku/>
                    <w:wordWrap w:val="0"/>
                    <w:overflowPunct/>
                    <w:topLinePunct w:val="0"/>
                    <w:autoSpaceDE/>
                    <w:autoSpaceDN/>
                    <w:bidi w:val="0"/>
                    <w:adjustRightInd/>
                    <w:snapToGrid/>
                    <w:jc w:val="center"/>
                    <w:rPr>
                      <w:rFonts w:hint="eastAsia" w:ascii="Times New Roman" w:hAnsi="Times New Roman" w:eastAsia="宋体" w:cs="宋体"/>
                      <w:i w:val="0"/>
                      <w:iCs w:val="0"/>
                      <w:color w:val="000000"/>
                      <w:sz w:val="21"/>
                      <w:szCs w:val="22"/>
                      <w:u w:val="none"/>
                    </w:rPr>
                  </w:pPr>
                </w:p>
              </w:tc>
              <w:tc>
                <w:tcPr>
                  <w:tcW w:w="522" w:type="pct"/>
                  <w:vMerge w:val="continue"/>
                  <w:tcBorders>
                    <w:tl2br w:val="nil"/>
                    <w:tr2bl w:val="nil"/>
                  </w:tcBorders>
                  <w:shd w:val="clear" w:color="auto" w:fill="auto"/>
                  <w:noWrap/>
                  <w:vAlign w:val="center"/>
                </w:tcPr>
                <w:p w14:paraId="17A96809">
                  <w:pPr>
                    <w:keepNext w:val="0"/>
                    <w:keepLines w:val="0"/>
                    <w:pageBreakBefore w:val="0"/>
                    <w:widowControl/>
                    <w:kinsoku/>
                    <w:wordWrap w:val="0"/>
                    <w:overflowPunct/>
                    <w:topLinePunct w:val="0"/>
                    <w:autoSpaceDE/>
                    <w:autoSpaceDN/>
                    <w:bidi w:val="0"/>
                    <w:adjustRightInd/>
                    <w:snapToGrid/>
                    <w:jc w:val="center"/>
                    <w:rPr>
                      <w:rFonts w:hint="eastAsia" w:ascii="Times New Roman" w:hAnsi="Times New Roman" w:eastAsia="宋体" w:cs="宋体"/>
                      <w:i w:val="0"/>
                      <w:iCs w:val="0"/>
                      <w:color w:val="000000"/>
                      <w:sz w:val="21"/>
                      <w:szCs w:val="22"/>
                      <w:u w:val="none"/>
                    </w:rPr>
                  </w:pPr>
                </w:p>
              </w:tc>
            </w:tr>
            <w:tr w14:paraId="1F40C0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38" w:type="pct"/>
                  <w:tcBorders>
                    <w:tl2br w:val="nil"/>
                    <w:tr2bl w:val="nil"/>
                  </w:tcBorders>
                  <w:shd w:val="clear" w:color="auto" w:fill="auto"/>
                  <w:noWrap/>
                  <w:vAlign w:val="center"/>
                </w:tcPr>
                <w:p w14:paraId="124C484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溶剂型</w:t>
                  </w:r>
                  <w:r>
                    <w:rPr>
                      <w:rFonts w:hint="eastAsia" w:cs="宋体"/>
                      <w:i w:val="0"/>
                      <w:iCs w:val="0"/>
                      <w:color w:val="000000"/>
                      <w:kern w:val="0"/>
                      <w:sz w:val="21"/>
                      <w:szCs w:val="22"/>
                      <w:u w:val="none"/>
                      <w:lang w:val="en-US" w:eastAsia="zh-CN" w:bidi="ar"/>
                    </w:rPr>
                    <w:t>黏</w:t>
                  </w:r>
                  <w:r>
                    <w:rPr>
                      <w:rFonts w:hint="eastAsia" w:ascii="Times New Roman" w:hAnsi="Times New Roman" w:eastAsia="宋体" w:cs="宋体"/>
                      <w:i w:val="0"/>
                      <w:iCs w:val="0"/>
                      <w:color w:val="000000"/>
                      <w:kern w:val="0"/>
                      <w:sz w:val="21"/>
                      <w:szCs w:val="22"/>
                      <w:u w:val="none"/>
                      <w:lang w:val="en-US" w:eastAsia="zh-CN" w:bidi="ar"/>
                    </w:rPr>
                    <w:t>合剂</w:t>
                  </w:r>
                </w:p>
              </w:tc>
              <w:tc>
                <w:tcPr>
                  <w:tcW w:w="404" w:type="pct"/>
                  <w:tcBorders>
                    <w:tl2br w:val="nil"/>
                    <w:tr2bl w:val="nil"/>
                  </w:tcBorders>
                  <w:shd w:val="clear" w:color="auto" w:fill="auto"/>
                  <w:noWrap/>
                  <w:vAlign w:val="center"/>
                </w:tcPr>
                <w:p w14:paraId="145F90D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1</w:t>
                  </w:r>
                </w:p>
              </w:tc>
              <w:tc>
                <w:tcPr>
                  <w:tcW w:w="446" w:type="pct"/>
                  <w:tcBorders>
                    <w:tl2br w:val="nil"/>
                    <w:tr2bl w:val="nil"/>
                  </w:tcBorders>
                  <w:shd w:val="clear" w:color="auto" w:fill="auto"/>
                  <w:noWrap/>
                  <w:vAlign w:val="center"/>
                </w:tcPr>
                <w:p w14:paraId="498575E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25%</w:t>
                  </w:r>
                </w:p>
              </w:tc>
              <w:tc>
                <w:tcPr>
                  <w:tcW w:w="369" w:type="pct"/>
                  <w:tcBorders>
                    <w:tl2br w:val="nil"/>
                    <w:tr2bl w:val="nil"/>
                  </w:tcBorders>
                  <w:shd w:val="clear" w:color="auto" w:fill="auto"/>
                  <w:noWrap/>
                  <w:vAlign w:val="center"/>
                </w:tcPr>
                <w:p w14:paraId="6DDC1A1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w:t>
                  </w:r>
                </w:p>
              </w:tc>
              <w:tc>
                <w:tcPr>
                  <w:tcW w:w="429" w:type="pct"/>
                  <w:tcBorders>
                    <w:tl2br w:val="nil"/>
                    <w:tr2bl w:val="nil"/>
                  </w:tcBorders>
                  <w:shd w:val="clear" w:color="auto" w:fill="auto"/>
                  <w:noWrap/>
                  <w:vAlign w:val="center"/>
                </w:tcPr>
                <w:p w14:paraId="0171CD8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0.25</w:t>
                  </w:r>
                </w:p>
              </w:tc>
              <w:tc>
                <w:tcPr>
                  <w:tcW w:w="412" w:type="pct"/>
                  <w:tcBorders>
                    <w:tl2br w:val="nil"/>
                    <w:tr2bl w:val="nil"/>
                  </w:tcBorders>
                  <w:shd w:val="clear" w:color="auto" w:fill="auto"/>
                  <w:noWrap/>
                  <w:vAlign w:val="center"/>
                </w:tcPr>
                <w:p w14:paraId="3DFA305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0.025</w:t>
                  </w:r>
                </w:p>
              </w:tc>
              <w:tc>
                <w:tcPr>
                  <w:tcW w:w="515" w:type="pct"/>
                  <w:tcBorders>
                    <w:tl2br w:val="nil"/>
                    <w:tr2bl w:val="nil"/>
                  </w:tcBorders>
                  <w:shd w:val="clear" w:color="auto" w:fill="auto"/>
                  <w:noWrap/>
                  <w:vAlign w:val="center"/>
                </w:tcPr>
                <w:p w14:paraId="3B4A50F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宋体"/>
                      <w:i w:val="0"/>
                      <w:iCs w:val="0"/>
                      <w:color w:val="000000"/>
                      <w:sz w:val="21"/>
                      <w:szCs w:val="22"/>
                      <w:u w:val="none"/>
                      <w:lang w:val="en-US"/>
                    </w:rPr>
                  </w:pPr>
                  <w:r>
                    <w:rPr>
                      <w:rFonts w:hint="eastAsia" w:ascii="Times New Roman" w:hAnsi="Times New Roman" w:eastAsia="宋体" w:cs="宋体"/>
                      <w:i w:val="0"/>
                      <w:iCs w:val="0"/>
                      <w:color w:val="000000"/>
                      <w:kern w:val="0"/>
                      <w:sz w:val="21"/>
                      <w:szCs w:val="22"/>
                      <w:u w:val="none"/>
                      <w:lang w:val="en-US" w:eastAsia="zh-CN" w:bidi="ar"/>
                    </w:rPr>
                    <w:t>0.1688</w:t>
                  </w:r>
                </w:p>
              </w:tc>
              <w:tc>
                <w:tcPr>
                  <w:tcW w:w="532" w:type="pct"/>
                  <w:tcBorders>
                    <w:tl2br w:val="nil"/>
                    <w:tr2bl w:val="nil"/>
                  </w:tcBorders>
                  <w:shd w:val="clear" w:color="auto" w:fill="auto"/>
                  <w:noWrap/>
                  <w:vAlign w:val="center"/>
                </w:tcPr>
                <w:p w14:paraId="52AEB1C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宋体"/>
                      <w:i w:val="0"/>
                      <w:iCs w:val="0"/>
                      <w:color w:val="000000"/>
                      <w:sz w:val="21"/>
                      <w:szCs w:val="22"/>
                      <w:u w:val="none"/>
                      <w:lang w:val="en-US"/>
                    </w:rPr>
                  </w:pPr>
                  <w:r>
                    <w:rPr>
                      <w:rFonts w:hint="eastAsia" w:ascii="Times New Roman" w:hAnsi="Times New Roman" w:eastAsia="宋体" w:cs="宋体"/>
                      <w:i w:val="0"/>
                      <w:iCs w:val="0"/>
                      <w:color w:val="000000"/>
                      <w:kern w:val="0"/>
                      <w:sz w:val="21"/>
                      <w:szCs w:val="22"/>
                      <w:u w:val="none"/>
                      <w:lang w:val="en-US" w:eastAsia="zh-CN" w:bidi="ar"/>
                    </w:rPr>
                    <w:t>0.0563</w:t>
                  </w:r>
                </w:p>
              </w:tc>
              <w:tc>
                <w:tcPr>
                  <w:tcW w:w="465" w:type="pct"/>
                  <w:tcBorders>
                    <w:tl2br w:val="nil"/>
                    <w:tr2bl w:val="nil"/>
                  </w:tcBorders>
                  <w:shd w:val="clear" w:color="auto" w:fill="auto"/>
                  <w:noWrap/>
                  <w:vAlign w:val="center"/>
                </w:tcPr>
                <w:p w14:paraId="4023921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0.0812</w:t>
                  </w:r>
                </w:p>
              </w:tc>
              <w:tc>
                <w:tcPr>
                  <w:tcW w:w="461" w:type="pct"/>
                  <w:tcBorders>
                    <w:tl2br w:val="nil"/>
                    <w:tr2bl w:val="nil"/>
                  </w:tcBorders>
                  <w:shd w:val="clear" w:color="auto" w:fill="auto"/>
                  <w:noWrap/>
                  <w:vAlign w:val="center"/>
                </w:tcPr>
                <w:p w14:paraId="10FAA22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复合/熟化</w:t>
                  </w:r>
                </w:p>
              </w:tc>
              <w:tc>
                <w:tcPr>
                  <w:tcW w:w="522" w:type="pct"/>
                  <w:vMerge w:val="continue"/>
                  <w:tcBorders>
                    <w:tl2br w:val="nil"/>
                    <w:tr2bl w:val="nil"/>
                  </w:tcBorders>
                  <w:shd w:val="clear" w:color="auto" w:fill="auto"/>
                  <w:noWrap/>
                  <w:vAlign w:val="center"/>
                </w:tcPr>
                <w:p w14:paraId="21490AEE">
                  <w:pPr>
                    <w:keepNext w:val="0"/>
                    <w:keepLines w:val="0"/>
                    <w:pageBreakBefore w:val="0"/>
                    <w:widowControl/>
                    <w:kinsoku/>
                    <w:wordWrap w:val="0"/>
                    <w:overflowPunct/>
                    <w:topLinePunct w:val="0"/>
                    <w:autoSpaceDE/>
                    <w:autoSpaceDN/>
                    <w:bidi w:val="0"/>
                    <w:adjustRightInd/>
                    <w:snapToGrid/>
                    <w:jc w:val="center"/>
                    <w:rPr>
                      <w:rFonts w:hint="eastAsia" w:ascii="Times New Roman" w:hAnsi="Times New Roman" w:eastAsia="宋体" w:cs="宋体"/>
                      <w:i w:val="0"/>
                      <w:iCs w:val="0"/>
                      <w:color w:val="000000"/>
                      <w:sz w:val="21"/>
                      <w:szCs w:val="22"/>
                      <w:u w:val="none"/>
                    </w:rPr>
                  </w:pPr>
                </w:p>
              </w:tc>
            </w:tr>
            <w:tr w14:paraId="0F7195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38" w:type="pct"/>
                  <w:tcBorders>
                    <w:tl2br w:val="nil"/>
                    <w:tr2bl w:val="nil"/>
                  </w:tcBorders>
                  <w:shd w:val="clear" w:color="auto" w:fill="auto"/>
                  <w:noWrap/>
                  <w:vAlign w:val="center"/>
                </w:tcPr>
                <w:p w14:paraId="6CFF6EB1">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PE原生料米</w:t>
                  </w:r>
                </w:p>
              </w:tc>
              <w:tc>
                <w:tcPr>
                  <w:tcW w:w="404" w:type="pct"/>
                  <w:tcBorders>
                    <w:tl2br w:val="nil"/>
                    <w:tr2bl w:val="nil"/>
                  </w:tcBorders>
                  <w:shd w:val="clear" w:color="auto" w:fill="auto"/>
                  <w:noWrap/>
                  <w:vAlign w:val="center"/>
                </w:tcPr>
                <w:p w14:paraId="23510DEA">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1000</w:t>
                  </w:r>
                </w:p>
              </w:tc>
              <w:tc>
                <w:tcPr>
                  <w:tcW w:w="446" w:type="pct"/>
                  <w:tcBorders>
                    <w:tl2br w:val="nil"/>
                    <w:tr2bl w:val="nil"/>
                  </w:tcBorders>
                  <w:shd w:val="clear" w:color="auto" w:fill="auto"/>
                  <w:noWrap/>
                  <w:vAlign w:val="center"/>
                </w:tcPr>
                <w:p w14:paraId="4EB0008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w:t>
                  </w:r>
                </w:p>
              </w:tc>
              <w:tc>
                <w:tcPr>
                  <w:tcW w:w="369" w:type="pct"/>
                  <w:tcBorders>
                    <w:tl2br w:val="nil"/>
                    <w:tr2bl w:val="nil"/>
                  </w:tcBorders>
                  <w:shd w:val="clear" w:color="auto" w:fill="auto"/>
                  <w:noWrap/>
                  <w:vAlign w:val="center"/>
                </w:tcPr>
                <w:p w14:paraId="545E9C2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2.5</w:t>
                  </w:r>
                </w:p>
              </w:tc>
              <w:tc>
                <w:tcPr>
                  <w:tcW w:w="429" w:type="pct"/>
                  <w:tcBorders>
                    <w:tl2br w:val="nil"/>
                    <w:tr2bl w:val="nil"/>
                  </w:tcBorders>
                  <w:shd w:val="clear" w:color="auto" w:fill="auto"/>
                  <w:noWrap/>
                  <w:vAlign w:val="center"/>
                </w:tcPr>
                <w:p w14:paraId="3CDABA81">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2.5</w:t>
                  </w:r>
                </w:p>
              </w:tc>
              <w:tc>
                <w:tcPr>
                  <w:tcW w:w="412" w:type="pct"/>
                  <w:tcBorders>
                    <w:tl2br w:val="nil"/>
                    <w:tr2bl w:val="nil"/>
                  </w:tcBorders>
                  <w:shd w:val="clear" w:color="auto" w:fill="auto"/>
                  <w:noWrap/>
                  <w:vAlign w:val="center"/>
                </w:tcPr>
                <w:p w14:paraId="79E3105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0.25</w:t>
                  </w:r>
                </w:p>
              </w:tc>
              <w:tc>
                <w:tcPr>
                  <w:tcW w:w="515" w:type="pct"/>
                  <w:tcBorders>
                    <w:tl2br w:val="nil"/>
                    <w:tr2bl w:val="nil"/>
                  </w:tcBorders>
                  <w:shd w:val="clear" w:color="auto" w:fill="auto"/>
                  <w:noWrap/>
                  <w:vAlign w:val="center"/>
                </w:tcPr>
                <w:p w14:paraId="06F767F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1.6875</w:t>
                  </w:r>
                </w:p>
              </w:tc>
              <w:tc>
                <w:tcPr>
                  <w:tcW w:w="532" w:type="pct"/>
                  <w:tcBorders>
                    <w:tl2br w:val="nil"/>
                    <w:tr2bl w:val="nil"/>
                  </w:tcBorders>
                  <w:shd w:val="clear" w:color="auto" w:fill="auto"/>
                  <w:noWrap/>
                  <w:vAlign w:val="center"/>
                </w:tcPr>
                <w:p w14:paraId="3446B6AC">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0.5625</w:t>
                  </w:r>
                </w:p>
              </w:tc>
              <w:tc>
                <w:tcPr>
                  <w:tcW w:w="465" w:type="pct"/>
                  <w:tcBorders>
                    <w:tl2br w:val="nil"/>
                    <w:tr2bl w:val="nil"/>
                  </w:tcBorders>
                  <w:shd w:val="clear" w:color="auto" w:fill="auto"/>
                  <w:noWrap/>
                  <w:vAlign w:val="center"/>
                </w:tcPr>
                <w:p w14:paraId="23E956F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0.8125</w:t>
                  </w:r>
                </w:p>
              </w:tc>
              <w:tc>
                <w:tcPr>
                  <w:tcW w:w="461" w:type="pct"/>
                  <w:tcBorders>
                    <w:tl2br w:val="nil"/>
                    <w:tr2bl w:val="nil"/>
                  </w:tcBorders>
                  <w:shd w:val="clear" w:color="auto" w:fill="auto"/>
                  <w:noWrap/>
                  <w:vAlign w:val="center"/>
                </w:tcPr>
                <w:p w14:paraId="30B974B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吹膜</w:t>
                  </w:r>
                </w:p>
              </w:tc>
              <w:tc>
                <w:tcPr>
                  <w:tcW w:w="522" w:type="pct"/>
                  <w:vMerge w:val="restart"/>
                  <w:tcBorders>
                    <w:tl2br w:val="nil"/>
                    <w:tr2bl w:val="nil"/>
                  </w:tcBorders>
                  <w:shd w:val="clear" w:color="auto" w:fill="auto"/>
                  <w:noWrap/>
                  <w:vAlign w:val="center"/>
                </w:tcPr>
                <w:p w14:paraId="481EBBA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产物系数法</w:t>
                  </w:r>
                </w:p>
              </w:tc>
            </w:tr>
            <w:tr w14:paraId="3629F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38" w:type="pct"/>
                  <w:tcBorders>
                    <w:tl2br w:val="nil"/>
                    <w:tr2bl w:val="nil"/>
                  </w:tcBorders>
                  <w:shd w:val="clear" w:color="auto" w:fill="auto"/>
                  <w:noWrap/>
                  <w:vAlign w:val="center"/>
                </w:tcPr>
                <w:p w14:paraId="4BF78F5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宋体"/>
                      <w:i w:val="0"/>
                      <w:iCs w:val="0"/>
                      <w:color w:val="000000"/>
                      <w:sz w:val="21"/>
                      <w:szCs w:val="22"/>
                      <w:u w:val="none"/>
                      <w:lang w:val="en-US"/>
                    </w:rPr>
                  </w:pPr>
                  <w:r>
                    <w:rPr>
                      <w:rFonts w:hint="eastAsia" w:ascii="Times New Roman" w:hAnsi="Times New Roman" w:eastAsia="宋体" w:cs="宋体"/>
                      <w:i w:val="0"/>
                      <w:iCs w:val="0"/>
                      <w:color w:val="000000"/>
                      <w:kern w:val="0"/>
                      <w:sz w:val="21"/>
                      <w:szCs w:val="22"/>
                      <w:u w:val="none"/>
                      <w:lang w:val="en-US" w:eastAsia="zh-CN" w:bidi="ar"/>
                    </w:rPr>
                    <w:t>塑料包装袋产能*</w:t>
                  </w:r>
                </w:p>
              </w:tc>
              <w:tc>
                <w:tcPr>
                  <w:tcW w:w="404" w:type="pct"/>
                  <w:tcBorders>
                    <w:tl2br w:val="nil"/>
                    <w:tr2bl w:val="nil"/>
                  </w:tcBorders>
                  <w:shd w:val="clear" w:color="auto" w:fill="auto"/>
                  <w:noWrap/>
                  <w:vAlign w:val="center"/>
                </w:tcPr>
                <w:p w14:paraId="387817B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1700</w:t>
                  </w:r>
                </w:p>
              </w:tc>
              <w:tc>
                <w:tcPr>
                  <w:tcW w:w="446" w:type="pct"/>
                  <w:tcBorders>
                    <w:tl2br w:val="nil"/>
                    <w:tr2bl w:val="nil"/>
                  </w:tcBorders>
                  <w:shd w:val="clear" w:color="auto" w:fill="auto"/>
                  <w:noWrap/>
                  <w:vAlign w:val="center"/>
                </w:tcPr>
                <w:p w14:paraId="58E5FDB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w:t>
                  </w:r>
                </w:p>
              </w:tc>
              <w:tc>
                <w:tcPr>
                  <w:tcW w:w="369" w:type="pct"/>
                  <w:tcBorders>
                    <w:tl2br w:val="nil"/>
                    <w:tr2bl w:val="nil"/>
                  </w:tcBorders>
                  <w:shd w:val="clear" w:color="auto" w:fill="auto"/>
                  <w:noWrap/>
                  <w:vAlign w:val="center"/>
                </w:tcPr>
                <w:p w14:paraId="53F4B2A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2.5</w:t>
                  </w:r>
                </w:p>
              </w:tc>
              <w:tc>
                <w:tcPr>
                  <w:tcW w:w="429" w:type="pct"/>
                  <w:tcBorders>
                    <w:tl2br w:val="nil"/>
                    <w:tr2bl w:val="nil"/>
                  </w:tcBorders>
                  <w:shd w:val="clear" w:color="auto" w:fill="auto"/>
                  <w:noWrap/>
                  <w:vAlign w:val="center"/>
                </w:tcPr>
                <w:p w14:paraId="0AA418C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0.34</w:t>
                  </w:r>
                </w:p>
              </w:tc>
              <w:tc>
                <w:tcPr>
                  <w:tcW w:w="412" w:type="pct"/>
                  <w:tcBorders>
                    <w:tl2br w:val="nil"/>
                    <w:tr2bl w:val="nil"/>
                  </w:tcBorders>
                  <w:shd w:val="clear" w:color="auto" w:fill="auto"/>
                  <w:noWrap/>
                  <w:vAlign w:val="center"/>
                </w:tcPr>
                <w:p w14:paraId="2DFD484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0.034</w:t>
                  </w:r>
                </w:p>
              </w:tc>
              <w:tc>
                <w:tcPr>
                  <w:tcW w:w="515" w:type="pct"/>
                  <w:tcBorders>
                    <w:tl2br w:val="nil"/>
                    <w:tr2bl w:val="nil"/>
                  </w:tcBorders>
                  <w:shd w:val="clear" w:color="auto" w:fill="auto"/>
                  <w:noWrap/>
                  <w:vAlign w:val="center"/>
                </w:tcPr>
                <w:p w14:paraId="22A49F1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0.2295</w:t>
                  </w:r>
                </w:p>
              </w:tc>
              <w:tc>
                <w:tcPr>
                  <w:tcW w:w="532" w:type="pct"/>
                  <w:tcBorders>
                    <w:tl2br w:val="nil"/>
                    <w:tr2bl w:val="nil"/>
                  </w:tcBorders>
                  <w:shd w:val="clear" w:color="auto" w:fill="auto"/>
                  <w:noWrap/>
                  <w:vAlign w:val="center"/>
                </w:tcPr>
                <w:p w14:paraId="0E2EC1B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0.0765</w:t>
                  </w:r>
                </w:p>
              </w:tc>
              <w:tc>
                <w:tcPr>
                  <w:tcW w:w="465" w:type="pct"/>
                  <w:tcBorders>
                    <w:tl2br w:val="nil"/>
                    <w:tr2bl w:val="nil"/>
                  </w:tcBorders>
                  <w:shd w:val="clear" w:color="auto" w:fill="auto"/>
                  <w:noWrap/>
                  <w:vAlign w:val="center"/>
                </w:tcPr>
                <w:p w14:paraId="04CB5F3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0.1105</w:t>
                  </w:r>
                </w:p>
              </w:tc>
              <w:tc>
                <w:tcPr>
                  <w:tcW w:w="461" w:type="pct"/>
                  <w:tcBorders>
                    <w:tl2br w:val="nil"/>
                    <w:tr2bl w:val="nil"/>
                  </w:tcBorders>
                  <w:shd w:val="clear" w:color="auto" w:fill="auto"/>
                  <w:noWrap/>
                  <w:vAlign w:val="center"/>
                </w:tcPr>
                <w:p w14:paraId="71D70A9C">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制袋</w:t>
                  </w:r>
                </w:p>
              </w:tc>
              <w:tc>
                <w:tcPr>
                  <w:tcW w:w="522" w:type="pct"/>
                  <w:vMerge w:val="continue"/>
                  <w:tcBorders>
                    <w:tl2br w:val="nil"/>
                    <w:tr2bl w:val="nil"/>
                  </w:tcBorders>
                  <w:shd w:val="clear" w:color="auto" w:fill="auto"/>
                  <w:noWrap/>
                  <w:vAlign w:val="center"/>
                </w:tcPr>
                <w:p w14:paraId="1DD15A2E">
                  <w:pPr>
                    <w:keepNext w:val="0"/>
                    <w:keepLines w:val="0"/>
                    <w:pageBreakBefore w:val="0"/>
                    <w:widowControl/>
                    <w:kinsoku/>
                    <w:wordWrap w:val="0"/>
                    <w:overflowPunct/>
                    <w:topLinePunct w:val="0"/>
                    <w:autoSpaceDE/>
                    <w:autoSpaceDN/>
                    <w:bidi w:val="0"/>
                    <w:adjustRightInd/>
                    <w:snapToGrid/>
                    <w:jc w:val="center"/>
                    <w:rPr>
                      <w:rFonts w:hint="eastAsia" w:ascii="Times New Roman" w:hAnsi="Times New Roman" w:eastAsia="宋体" w:cs="宋体"/>
                      <w:i w:val="0"/>
                      <w:iCs w:val="0"/>
                      <w:color w:val="000000"/>
                      <w:sz w:val="21"/>
                      <w:szCs w:val="22"/>
                      <w:u w:val="none"/>
                    </w:rPr>
                  </w:pPr>
                </w:p>
              </w:tc>
            </w:tr>
            <w:tr w14:paraId="5C6369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3550" w:type="pct"/>
                  <w:gridSpan w:val="8"/>
                  <w:tcBorders>
                    <w:tl2br w:val="nil"/>
                    <w:tr2bl w:val="nil"/>
                  </w:tcBorders>
                  <w:shd w:val="clear" w:color="auto" w:fill="auto"/>
                  <w:noWrap/>
                  <w:vAlign w:val="center"/>
                </w:tcPr>
                <w:p w14:paraId="69B777D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Times New Roman" w:hAnsi="Times New Roman" w:eastAsia="宋体" w:cs="宋体"/>
                      <w:i w:val="0"/>
                      <w:iCs w:val="0"/>
                      <w:color w:val="000000"/>
                      <w:kern w:val="0"/>
                      <w:sz w:val="21"/>
                      <w:szCs w:val="22"/>
                      <w:u w:val="none"/>
                      <w:lang w:val="en-US" w:eastAsia="zh-CN" w:bidi="ar"/>
                    </w:rPr>
                  </w:pPr>
                  <w:r>
                    <w:rPr>
                      <w:rFonts w:hint="eastAsia" w:ascii="Times New Roman" w:hAnsi="Times New Roman" w:eastAsia="宋体" w:cs="宋体"/>
                      <w:i w:val="0"/>
                      <w:iCs w:val="0"/>
                      <w:color w:val="000000"/>
                      <w:kern w:val="0"/>
                      <w:sz w:val="21"/>
                      <w:szCs w:val="22"/>
                      <w:u w:val="none"/>
                      <w:lang w:val="en-US" w:eastAsia="zh-CN" w:bidi="ar"/>
                    </w:rPr>
                    <w:t>VOCs总排放量（t/a）</w:t>
                  </w:r>
                </w:p>
              </w:tc>
              <w:tc>
                <w:tcPr>
                  <w:tcW w:w="1449" w:type="pct"/>
                  <w:gridSpan w:val="3"/>
                  <w:tcBorders>
                    <w:tl2br w:val="nil"/>
                    <w:tr2bl w:val="nil"/>
                  </w:tcBorders>
                  <w:shd w:val="clear" w:color="auto" w:fill="auto"/>
                  <w:noWrap/>
                  <w:vAlign w:val="center"/>
                </w:tcPr>
                <w:p w14:paraId="2463BC3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eastAsia" w:ascii="微软雅黑" w:hAnsi="微软雅黑" w:eastAsia="微软雅黑" w:cs="微软雅黑"/>
                      <w:i w:val="0"/>
                      <w:iCs w:val="0"/>
                      <w:color w:val="333333"/>
                      <w:kern w:val="2"/>
                      <w:sz w:val="22"/>
                      <w:szCs w:val="22"/>
                      <w:u w:val="none"/>
                      <w:lang w:val="en-US" w:eastAsia="zh-CN" w:bidi="ar-SA"/>
                    </w:rPr>
                  </w:pPr>
                  <w:r>
                    <w:rPr>
                      <w:rFonts w:hint="eastAsia" w:ascii="Times New Roman" w:hAnsi="Times New Roman" w:eastAsia="宋体" w:cs="宋体"/>
                      <w:i w:val="0"/>
                      <w:iCs w:val="0"/>
                      <w:color w:val="000000"/>
                      <w:kern w:val="0"/>
                      <w:sz w:val="21"/>
                      <w:szCs w:val="22"/>
                      <w:u w:val="none"/>
                      <w:lang w:val="en-US" w:eastAsia="zh-CN" w:bidi="ar"/>
                    </w:rPr>
                    <w:t>2.678</w:t>
                  </w:r>
                </w:p>
              </w:tc>
            </w:tr>
            <w:tr w14:paraId="54F042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000" w:type="pct"/>
                  <w:gridSpan w:val="11"/>
                  <w:tcBorders>
                    <w:tl2br w:val="nil"/>
                    <w:tr2bl w:val="nil"/>
                  </w:tcBorders>
                  <w:shd w:val="clear" w:color="auto" w:fill="auto"/>
                  <w:noWrap/>
                  <w:vAlign w:val="center"/>
                </w:tcPr>
                <w:p w14:paraId="199EB701">
                  <w:pPr>
                    <w:keepNext w:val="0"/>
                    <w:keepLines w:val="0"/>
                    <w:pageBreakBefore w:val="0"/>
                    <w:widowControl/>
                    <w:suppressLineNumbers w:val="0"/>
                    <w:kinsoku/>
                    <w:wordWrap w:val="0"/>
                    <w:overflowPunct/>
                    <w:topLinePunct w:val="0"/>
                    <w:autoSpaceDE/>
                    <w:autoSpaceDN/>
                    <w:bidi w:val="0"/>
                    <w:adjustRightInd/>
                    <w:snapToGrid/>
                    <w:jc w:val="both"/>
                    <w:textAlignment w:val="center"/>
                    <w:rPr>
                      <w:rFonts w:hint="eastAsia" w:ascii="Times New Roman" w:hAnsi="Times New Roman" w:eastAsia="宋体" w:cs="宋体"/>
                      <w:i w:val="0"/>
                      <w:iCs w:val="0"/>
                      <w:color w:val="000000"/>
                      <w:sz w:val="21"/>
                      <w:szCs w:val="22"/>
                      <w:u w:val="none"/>
                    </w:rPr>
                  </w:pPr>
                  <w:r>
                    <w:rPr>
                      <w:rFonts w:hint="eastAsia" w:ascii="Times New Roman" w:hAnsi="Times New Roman" w:eastAsia="宋体" w:cs="宋体"/>
                      <w:i w:val="0"/>
                      <w:iCs w:val="0"/>
                      <w:color w:val="000000"/>
                      <w:kern w:val="0"/>
                      <w:sz w:val="21"/>
                      <w:szCs w:val="22"/>
                      <w:u w:val="none"/>
                      <w:lang w:val="en-US" w:eastAsia="zh-CN" w:bidi="ar"/>
                    </w:rPr>
                    <w:t>*注：本项目年产塑料包装袋1700吨，按实际热封面积比例8%折算挥发性有机物产生量。</w:t>
                  </w:r>
                </w:p>
              </w:tc>
            </w:tr>
          </w:tbl>
          <w:p w14:paraId="1672FC1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32" w:name="_Toc32588"/>
            <w:r>
              <w:rPr>
                <w:rFonts w:hint="eastAsia" w:ascii="Times New Roman" w:hAnsi="Times New Roman" w:eastAsia="宋体" w:cs="Times New Roman"/>
                <w:b/>
                <w:bCs/>
                <w:color w:val="auto"/>
                <w:sz w:val="24"/>
                <w:szCs w:val="24"/>
                <w:u w:val="none"/>
                <w:lang w:val="en-US" w:eastAsia="zh-CN"/>
              </w:rPr>
              <w:t>2.2.</w:t>
            </w:r>
            <w:r>
              <w:rPr>
                <w:rFonts w:hint="eastAsia" w:cs="Times New Roman"/>
                <w:b/>
                <w:bCs/>
                <w:color w:val="auto"/>
                <w:sz w:val="24"/>
                <w:szCs w:val="24"/>
                <w:u w:val="none"/>
                <w:lang w:val="en-US" w:eastAsia="zh-CN"/>
              </w:rPr>
              <w:t>9</w:t>
            </w:r>
            <w:r>
              <w:rPr>
                <w:rFonts w:hint="eastAsia" w:ascii="Times New Roman" w:hAnsi="Times New Roman" w:eastAsia="宋体" w:cs="Times New Roman"/>
                <w:b/>
                <w:bCs/>
                <w:color w:val="auto"/>
                <w:sz w:val="24"/>
                <w:szCs w:val="24"/>
                <w:u w:val="none"/>
                <w:lang w:val="en-US" w:eastAsia="zh-CN"/>
              </w:rPr>
              <w:t>项目平面布置合理性分析</w:t>
            </w:r>
            <w:bookmarkEnd w:id="32"/>
          </w:p>
          <w:p w14:paraId="64912F36">
            <w:pPr>
              <w:spacing w:line="360" w:lineRule="auto"/>
              <w:ind w:firstLine="480" w:firstLineChars="200"/>
              <w:rPr>
                <w:color w:val="auto"/>
                <w:sz w:val="24"/>
                <w:highlight w:val="none"/>
              </w:rPr>
            </w:pPr>
            <w:r>
              <w:rPr>
                <w:color w:val="auto"/>
                <w:sz w:val="24"/>
              </w:rPr>
              <w:t>项目</w:t>
            </w:r>
            <w:r>
              <w:rPr>
                <w:rFonts w:hint="eastAsia" w:ascii="Times New Roman" w:hAnsi="Times New Roman" w:eastAsia="宋体" w:cs="Times New Roman"/>
                <w:color w:val="auto"/>
                <w:sz w:val="21"/>
                <w:szCs w:val="21"/>
                <w:highlight w:val="none"/>
                <w:vertAlign w:val="baseline"/>
                <w:lang w:val="en-US" w:eastAsia="zh-CN"/>
              </w:rPr>
              <w:t>一</w:t>
            </w:r>
            <w:r>
              <w:rPr>
                <w:rFonts w:hint="eastAsia"/>
                <w:color w:val="auto"/>
                <w:sz w:val="24"/>
                <w:lang w:val="en-US" w:eastAsia="zh-CN"/>
              </w:rPr>
              <w:t>层主要为印刷区和质检区、二层为制袋区、熟化区和分切区</w:t>
            </w:r>
            <w:r>
              <w:rPr>
                <w:rFonts w:hint="eastAsia"/>
                <w:color w:val="auto"/>
                <w:sz w:val="24"/>
              </w:rPr>
              <w:t>等</w:t>
            </w:r>
            <w:r>
              <w:rPr>
                <w:color w:val="auto"/>
                <w:sz w:val="24"/>
              </w:rPr>
              <w:t>，此平面布置方案功能划分相对清晰，各</w:t>
            </w:r>
            <w:r>
              <w:rPr>
                <w:rFonts w:hint="eastAsia"/>
                <w:color w:val="auto"/>
                <w:sz w:val="24"/>
                <w:lang w:eastAsia="zh-CN"/>
              </w:rPr>
              <w:t>区域</w:t>
            </w:r>
            <w:r>
              <w:rPr>
                <w:color w:val="auto"/>
                <w:sz w:val="24"/>
              </w:rPr>
              <w:t>之间物流顺畅，运输距离较短，有利于生产布置。在满足生产条件要求的前提下，充分利用厂区空间进行设备布置，布局紧凑，生产流程比较流畅，布局基本合理。</w:t>
            </w:r>
            <w:r>
              <w:rPr>
                <w:color w:val="auto"/>
                <w:sz w:val="24"/>
                <w:highlight w:val="none"/>
              </w:rPr>
              <w:t>车间平面布置图详见</w:t>
            </w:r>
            <w:r>
              <w:rPr>
                <w:b/>
                <w:bCs/>
                <w:color w:val="auto"/>
                <w:sz w:val="24"/>
                <w:highlight w:val="none"/>
              </w:rPr>
              <w:t>附图</w:t>
            </w:r>
            <w:r>
              <w:rPr>
                <w:rFonts w:hint="eastAsia"/>
                <w:b/>
                <w:bCs/>
                <w:color w:val="auto"/>
                <w:sz w:val="24"/>
                <w:highlight w:val="none"/>
                <w:lang w:val="en-US" w:eastAsia="zh-CN"/>
              </w:rPr>
              <w:t>五</w:t>
            </w:r>
            <w:r>
              <w:rPr>
                <w:color w:val="auto"/>
                <w:sz w:val="24"/>
                <w:highlight w:val="none"/>
              </w:rPr>
              <w:t>。</w:t>
            </w:r>
          </w:p>
          <w:p w14:paraId="0A01031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当地</w:t>
            </w:r>
            <w:r>
              <w:rPr>
                <w:rFonts w:hint="default" w:ascii="Times New Roman" w:hAnsi="Times New Roman" w:eastAsia="宋体" w:cs="Times New Roman"/>
                <w:color w:val="auto"/>
                <w:sz w:val="24"/>
                <w:szCs w:val="24"/>
                <w:highlight w:val="none"/>
                <w:lang w:eastAsia="zh-CN"/>
              </w:rPr>
              <w:t>常年主导风向为</w:t>
            </w:r>
            <w:r>
              <w:rPr>
                <w:rFonts w:hint="eastAsia" w:ascii="Times New Roman" w:hAnsi="Times New Roman" w:eastAsia="宋体"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rPr>
              <w:t>，说明其下风向</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西南侧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受污染</w:t>
            </w:r>
            <w:r>
              <w:rPr>
                <w:rFonts w:hint="eastAsia" w:ascii="Times New Roman" w:hAnsi="Times New Roman" w:eastAsia="宋体" w:cs="Times New Roman"/>
                <w:color w:val="auto"/>
                <w:sz w:val="24"/>
                <w:szCs w:val="24"/>
                <w:highlight w:val="none"/>
                <w:lang w:eastAsia="zh-CN"/>
              </w:rPr>
              <w:t>的概率</w:t>
            </w:r>
            <w:r>
              <w:rPr>
                <w:rFonts w:hint="eastAsia" w:cs="Times New Roman"/>
                <w:color w:val="auto"/>
                <w:sz w:val="24"/>
                <w:szCs w:val="24"/>
                <w:highlight w:val="none"/>
                <w:lang w:val="en-US" w:eastAsia="zh-CN"/>
              </w:rPr>
              <w:t>较</w:t>
            </w:r>
            <w:r>
              <w:rPr>
                <w:rFonts w:hint="default" w:ascii="Times New Roman" w:hAnsi="Times New Roman" w:eastAsia="宋体" w:cs="Times New Roman"/>
                <w:color w:val="auto"/>
                <w:sz w:val="24"/>
                <w:szCs w:val="24"/>
                <w:highlight w:val="none"/>
              </w:rPr>
              <w:t>高</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将</w:t>
            </w:r>
            <w:r>
              <w:rPr>
                <w:rFonts w:hint="eastAsia"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eastAsia="zh-CN"/>
              </w:rPr>
              <w:t>排气筒设置</w:t>
            </w:r>
            <w:r>
              <w:rPr>
                <w:rFonts w:hint="eastAsia" w:ascii="Times New Roman" w:hAnsi="Times New Roman" w:eastAsia="宋体" w:cs="Times New Roman"/>
                <w:color w:val="auto"/>
                <w:sz w:val="24"/>
                <w:szCs w:val="24"/>
                <w:highlight w:val="none"/>
                <w:lang w:val="en-US" w:eastAsia="zh-CN"/>
              </w:rPr>
              <w:t>在厂房</w:t>
            </w:r>
            <w:r>
              <w:rPr>
                <w:rFonts w:hint="default" w:ascii="Times New Roman" w:hAnsi="Times New Roman" w:eastAsia="宋体" w:cs="Times New Roman"/>
                <w:color w:val="auto"/>
                <w:sz w:val="24"/>
                <w:szCs w:val="24"/>
                <w:highlight w:val="none"/>
                <w:lang w:eastAsia="zh-CN"/>
              </w:rPr>
              <w:t>屋顶</w:t>
            </w:r>
            <w:r>
              <w:rPr>
                <w:rFonts w:hint="eastAsia" w:ascii="Times New Roman" w:hAnsi="Times New Roman" w:eastAsia="宋体" w:cs="Times New Roman"/>
                <w:color w:val="auto"/>
                <w:sz w:val="24"/>
                <w:szCs w:val="24"/>
                <w:highlight w:val="none"/>
                <w:lang w:val="en-US" w:eastAsia="zh-CN"/>
              </w:rPr>
              <w:t>北侧区域</w:t>
            </w:r>
            <w:r>
              <w:rPr>
                <w:rFonts w:hint="eastAsia" w:ascii="Times New Roman" w:hAnsi="Times New Roman" w:eastAsia="宋体" w:cs="Times New Roman"/>
                <w:color w:val="auto"/>
                <w:sz w:val="24"/>
                <w:szCs w:val="24"/>
                <w:highlight w:val="none"/>
                <w:lang w:eastAsia="zh-CN"/>
              </w:rPr>
              <w:t>，排放口朝内</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不位于</w:t>
            </w:r>
            <w:r>
              <w:rPr>
                <w:rFonts w:hint="default" w:ascii="Times New Roman" w:hAnsi="Times New Roman" w:eastAsia="宋体" w:cs="Times New Roman"/>
                <w:color w:val="auto"/>
                <w:sz w:val="24"/>
                <w:szCs w:val="24"/>
                <w:highlight w:val="none"/>
                <w:lang w:eastAsia="zh-CN"/>
              </w:rPr>
              <w:t>常年主导风向</w:t>
            </w:r>
            <w:r>
              <w:rPr>
                <w:rFonts w:hint="eastAsia" w:ascii="Times New Roman" w:hAnsi="Times New Roman" w:eastAsia="宋体" w:cs="Times New Roman"/>
                <w:color w:val="auto"/>
                <w:sz w:val="24"/>
                <w:szCs w:val="24"/>
                <w:highlight w:val="none"/>
                <w:lang w:val="en-US" w:eastAsia="zh-CN"/>
              </w:rPr>
              <w:t>上风向，</w:t>
            </w:r>
            <w:r>
              <w:rPr>
                <w:rFonts w:hint="default" w:ascii="Times New Roman" w:hAnsi="Times New Roman" w:eastAsia="宋体" w:cs="Times New Roman"/>
                <w:color w:val="auto"/>
                <w:sz w:val="24"/>
                <w:szCs w:val="24"/>
                <w:highlight w:val="none"/>
                <w:lang w:eastAsia="zh-CN"/>
              </w:rPr>
              <w:t>拟将</w:t>
            </w:r>
            <w:r>
              <w:rPr>
                <w:rFonts w:hint="eastAsia" w:cs="Times New Roman"/>
                <w:color w:val="auto"/>
                <w:sz w:val="24"/>
                <w:szCs w:val="24"/>
                <w:highlight w:val="none"/>
                <w:lang w:eastAsia="zh-CN"/>
              </w:rPr>
              <w:t>危险废物储存库</w:t>
            </w:r>
            <w:r>
              <w:rPr>
                <w:rFonts w:hint="default" w:ascii="Times New Roman" w:hAnsi="Times New Roman" w:eastAsia="宋体" w:cs="Times New Roman"/>
                <w:color w:val="auto"/>
                <w:sz w:val="24"/>
                <w:szCs w:val="24"/>
                <w:highlight w:val="none"/>
                <w:lang w:eastAsia="zh-CN"/>
              </w:rPr>
              <w:t>设置于</w:t>
            </w:r>
            <w:r>
              <w:rPr>
                <w:rFonts w:hint="eastAsia" w:cs="Times New Roman"/>
                <w:color w:val="auto"/>
                <w:sz w:val="24"/>
                <w:szCs w:val="24"/>
                <w:highlight w:val="none"/>
                <w:lang w:val="en-US" w:eastAsia="zh-CN"/>
              </w:rPr>
              <w:t>一层</w:t>
            </w:r>
            <w:r>
              <w:rPr>
                <w:rFonts w:hint="eastAsia" w:ascii="Times New Roman" w:hAnsi="Times New Roman" w:eastAsia="宋体" w:cs="Times New Roman"/>
                <w:color w:val="auto"/>
                <w:sz w:val="24"/>
                <w:szCs w:val="24"/>
                <w:highlight w:val="none"/>
                <w:lang w:val="en-US" w:eastAsia="zh-CN"/>
              </w:rPr>
              <w:t>车间</w:t>
            </w:r>
            <w:r>
              <w:rPr>
                <w:rFonts w:hint="eastAsia" w:cs="Times New Roman"/>
                <w:color w:val="auto"/>
                <w:sz w:val="24"/>
                <w:szCs w:val="24"/>
                <w:highlight w:val="none"/>
                <w:lang w:val="en-US" w:eastAsia="zh-CN"/>
              </w:rPr>
              <w:t>中部</w:t>
            </w:r>
            <w:r>
              <w:rPr>
                <w:rFonts w:hint="eastAsia"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eastAsia="zh-CN"/>
              </w:rPr>
              <w:t>，方便危险废物的分类收集，</w:t>
            </w:r>
            <w:r>
              <w:rPr>
                <w:rFonts w:hint="eastAsia"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eastAsia="zh-CN"/>
              </w:rPr>
              <w:t>可以</w:t>
            </w:r>
            <w:r>
              <w:rPr>
                <w:rFonts w:hint="eastAsia" w:ascii="Times New Roman" w:hAnsi="Times New Roman" w:eastAsia="宋体" w:cs="Times New Roman"/>
                <w:color w:val="auto"/>
                <w:sz w:val="24"/>
                <w:szCs w:val="24"/>
                <w:highlight w:val="none"/>
                <w:lang w:eastAsia="zh-CN"/>
              </w:rPr>
              <w:t>得到有效的</w:t>
            </w:r>
            <w:r>
              <w:rPr>
                <w:rFonts w:hint="default" w:ascii="Times New Roman" w:hAnsi="Times New Roman" w:eastAsia="宋体" w:cs="Times New Roman"/>
                <w:color w:val="auto"/>
                <w:sz w:val="24"/>
                <w:szCs w:val="24"/>
                <w:highlight w:val="none"/>
                <w:lang w:eastAsia="zh-CN"/>
              </w:rPr>
              <w:t>处理处置，可避免造成二次污染；项目</w:t>
            </w:r>
            <w:r>
              <w:rPr>
                <w:rFonts w:hint="eastAsia" w:ascii="Times New Roman" w:hAnsi="Times New Roman" w:eastAsia="宋体" w:cs="Times New Roman"/>
                <w:color w:val="auto"/>
                <w:sz w:val="24"/>
                <w:szCs w:val="24"/>
                <w:highlight w:val="none"/>
                <w:lang w:eastAsia="zh-CN"/>
              </w:rPr>
              <w:t>设备噪声经</w:t>
            </w:r>
            <w:r>
              <w:rPr>
                <w:rFonts w:hint="default" w:ascii="Times New Roman" w:hAnsi="Times New Roman" w:eastAsia="宋体" w:cs="Times New Roman"/>
                <w:color w:val="auto"/>
                <w:sz w:val="24"/>
                <w:szCs w:val="24"/>
                <w:highlight w:val="none"/>
                <w:lang w:eastAsia="zh-CN"/>
              </w:rPr>
              <w:t>基础减振、厂房墙体隔声等综合降噪措施后，可实现噪声达标排放。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p>
          <w:p w14:paraId="4B1A5F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color w:val="auto"/>
                <w:sz w:val="24"/>
                <w:szCs w:val="24"/>
                <w:highlight w:val="none"/>
              </w:rPr>
              <w:t>综上所述，本项目的布置基本合理。</w:t>
            </w:r>
          </w:p>
        </w:tc>
      </w:tr>
    </w:tbl>
    <w:p w14:paraId="25A567E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 w:val="24"/>
          <w:szCs w:val="24"/>
        </w:rPr>
      </w:pPr>
      <w:r>
        <w:rPr>
          <w:rFonts w:ascii="Times New Roman" w:hAnsi="Times New Roman"/>
          <w:sz w:val="24"/>
          <w:szCs w:val="24"/>
        </w:rPr>
        <w:br w:type="page"/>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835"/>
      </w:tblGrid>
      <w:tr w14:paraId="43EB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3" w:hRule="atLeast"/>
        </w:trPr>
        <w:tc>
          <w:tcPr>
            <w:tcW w:w="244" w:type="pct"/>
            <w:vAlign w:val="center"/>
          </w:tcPr>
          <w:p w14:paraId="64EA83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eastAsia="zh-CN"/>
              </w:rPr>
            </w:pPr>
            <w:r>
              <w:rPr>
                <w:rFonts w:ascii="Times New Roman" w:hAnsi="Times New Roman"/>
                <w:sz w:val="24"/>
                <w:szCs w:val="24"/>
              </w:rPr>
              <w:t>工艺流程和产排污环节</w:t>
            </w:r>
          </w:p>
        </w:tc>
        <w:tc>
          <w:tcPr>
            <w:tcW w:w="4755" w:type="pct"/>
            <w:vAlign w:val="top"/>
          </w:tcPr>
          <w:p w14:paraId="0694E105">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sz w:val="28"/>
                <w:szCs w:val="28"/>
                <w:u w:val="none"/>
                <w:lang w:val="en-US" w:eastAsia="zh-CN"/>
              </w:rPr>
            </w:pPr>
            <w:bookmarkStart w:id="33" w:name="_Toc11954"/>
            <w:r>
              <w:rPr>
                <w:rFonts w:hint="eastAsia" w:ascii="Times New Roman" w:hAnsi="Times New Roman" w:eastAsia="宋体" w:cs="Times New Roman"/>
                <w:color w:val="auto"/>
                <w:sz w:val="28"/>
                <w:szCs w:val="28"/>
                <w:u w:val="none"/>
                <w:lang w:val="en-US" w:eastAsia="zh-CN"/>
              </w:rPr>
              <w:t>2.3</w:t>
            </w:r>
            <w:r>
              <w:rPr>
                <w:rFonts w:hint="eastAsia" w:ascii="Times New Roman" w:hAnsi="Times New Roman" w:cs="Times New Roman"/>
                <w:color w:val="auto"/>
                <w:sz w:val="28"/>
                <w:szCs w:val="28"/>
                <w:u w:val="none"/>
                <w:lang w:val="en-US" w:eastAsia="zh-CN"/>
              </w:rPr>
              <w:t>项目</w:t>
            </w:r>
            <w:r>
              <w:rPr>
                <w:rFonts w:hint="eastAsia" w:ascii="Times New Roman" w:hAnsi="Times New Roman" w:eastAsia="宋体" w:cs="Times New Roman"/>
                <w:color w:val="auto"/>
                <w:sz w:val="28"/>
                <w:szCs w:val="28"/>
                <w:u w:val="none"/>
                <w:lang w:val="en-US" w:eastAsia="zh-CN"/>
              </w:rPr>
              <w:t>生产工艺</w:t>
            </w:r>
            <w:r>
              <w:rPr>
                <w:rFonts w:hint="eastAsia" w:ascii="Times New Roman" w:hAnsi="Times New Roman" w:cs="Times New Roman"/>
                <w:color w:val="auto"/>
                <w:sz w:val="28"/>
                <w:szCs w:val="28"/>
                <w:u w:val="none"/>
                <w:lang w:val="en-US" w:eastAsia="zh-CN"/>
              </w:rPr>
              <w:t>流程及产污环节</w:t>
            </w:r>
            <w:bookmarkEnd w:id="33"/>
          </w:p>
          <w:p w14:paraId="3598037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34" w:name="_Toc31825"/>
            <w:r>
              <w:rPr>
                <w:rFonts w:hint="eastAsia" w:ascii="Times New Roman" w:hAnsi="Times New Roman" w:eastAsia="宋体" w:cs="Times New Roman"/>
                <w:b/>
                <w:bCs/>
                <w:color w:val="auto"/>
                <w:sz w:val="24"/>
                <w:szCs w:val="24"/>
                <w:u w:val="none"/>
                <w:lang w:val="en-US" w:eastAsia="zh-CN"/>
              </w:rPr>
              <w:t>2.3.1项目工艺流程及工艺介绍</w:t>
            </w:r>
            <w:bookmarkEnd w:id="34"/>
          </w:p>
          <w:p w14:paraId="2ABD37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outlineLvl w:val="9"/>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（一）塑料包装膜</w:t>
            </w:r>
            <w:r>
              <w:rPr>
                <w:rFonts w:hint="eastAsia" w:cs="Times New Roman"/>
                <w:color w:val="auto"/>
                <w:sz w:val="24"/>
                <w:szCs w:val="24"/>
                <w:highlight w:val="none"/>
                <w:lang w:val="en-US" w:eastAsia="zh-CN"/>
              </w:rPr>
              <w:t>生产工艺流程及产污环节详见图2.3-1。</w:t>
            </w:r>
          </w:p>
          <w:p w14:paraId="63F089A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84"/>
                <w:szCs w:val="24"/>
                <w:highlight w:val="none"/>
                <w:lang w:val="en-US" w:eastAsia="zh-CN"/>
              </w:rPr>
            </w:pPr>
            <w:r>
              <w:rPr>
                <w:rFonts w:hint="eastAsia" w:cs="Times New Roman"/>
                <w:b/>
                <w:bCs/>
                <w:i/>
                <w:iCs/>
                <w:color w:val="auto"/>
                <w:sz w:val="84"/>
                <w:szCs w:val="24"/>
                <w:highlight w:val="none"/>
                <w:lang w:val="en-US" w:eastAsia="zh-CN"/>
              </w:rPr>
              <w:t>涉密删除</w:t>
            </w:r>
          </w:p>
          <w:p w14:paraId="7131AC1B">
            <w:pPr>
              <w:pStyle w:val="41"/>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bookmarkStart w:id="35" w:name="_Toc5034"/>
            <w:r>
              <w:rPr>
                <w:rFonts w:hint="eastAsia" w:ascii="Times New Roman" w:hAnsi="Times New Roman" w:eastAsia="宋体" w:cs="Times New Roman"/>
                <w:b/>
                <w:bCs w:val="0"/>
                <w:color w:val="auto"/>
                <w:sz w:val="24"/>
                <w:szCs w:val="24"/>
                <w:highlight w:val="none"/>
                <w:lang w:val="en-US" w:eastAsia="zh-CN"/>
              </w:rPr>
              <w:t xml:space="preserve">图2.3-1 </w:t>
            </w:r>
            <w:r>
              <w:rPr>
                <w:rFonts w:hint="eastAsia" w:ascii="Times New Roman" w:hAnsi="Times New Roman" w:eastAsia="宋体" w:cs="Times New Roman"/>
                <w:color w:val="auto"/>
                <w:kern w:val="2"/>
                <w:sz w:val="24"/>
                <w:szCs w:val="24"/>
                <w:lang w:val="en-US" w:eastAsia="zh-CN" w:bidi="ar-SA"/>
              </w:rPr>
              <w:t>塑料包装膜</w:t>
            </w:r>
            <w:r>
              <w:rPr>
                <w:rFonts w:hint="eastAsia" w:ascii="Times New Roman" w:hAnsi="Times New Roman" w:eastAsia="宋体" w:cs="Times New Roman"/>
                <w:b/>
                <w:bCs w:val="0"/>
                <w:color w:val="auto"/>
                <w:sz w:val="24"/>
                <w:szCs w:val="24"/>
                <w:highlight w:val="none"/>
                <w:lang w:val="en-US" w:eastAsia="zh-CN"/>
              </w:rPr>
              <w:t>生产工艺流程图</w:t>
            </w:r>
            <w:bookmarkEnd w:id="35"/>
          </w:p>
          <w:p w14:paraId="4B041CC0">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工艺说明：</w:t>
            </w:r>
          </w:p>
          <w:p w14:paraId="2C1094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84"/>
                <w:szCs w:val="24"/>
                <w:highlight w:val="none"/>
                <w:lang w:val="en-US" w:eastAsia="zh-CN"/>
              </w:rPr>
            </w:pPr>
            <w:r>
              <w:rPr>
                <w:rFonts w:hint="eastAsia" w:cs="Times New Roman"/>
                <w:b/>
                <w:bCs/>
                <w:i/>
                <w:iCs/>
                <w:color w:val="auto"/>
                <w:sz w:val="84"/>
                <w:szCs w:val="24"/>
                <w:highlight w:val="none"/>
                <w:lang w:val="en-US" w:eastAsia="zh-CN"/>
              </w:rPr>
              <w:t>涉密删除</w:t>
            </w:r>
          </w:p>
          <w:p w14:paraId="7BAC1049">
            <w:pPr>
              <w:pStyle w:val="23"/>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420" w:leftChars="0" w:right="0" w:rightChars="0"/>
              <w:jc w:val="both"/>
              <w:textAlignment w:val="auto"/>
              <w:outlineLvl w:val="9"/>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塑料</w:t>
            </w:r>
            <w:r>
              <w:rPr>
                <w:rFonts w:hint="eastAsia" w:ascii="Times New Roman" w:hAnsi="Times New Roman" w:eastAsia="宋体" w:cs="Times New Roman"/>
                <w:color w:val="auto"/>
                <w:kern w:val="2"/>
                <w:sz w:val="24"/>
                <w:szCs w:val="24"/>
                <w:highlight w:val="none"/>
                <w:lang w:val="en-US" w:eastAsia="zh-CN" w:bidi="ar-SA"/>
              </w:rPr>
              <w:t>包装袋生产工艺流程及产污环节详见图2.3-2。</w:t>
            </w:r>
          </w:p>
          <w:p w14:paraId="54A2ED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84"/>
                <w:szCs w:val="24"/>
                <w:highlight w:val="none"/>
                <w:lang w:val="en-US" w:eastAsia="zh-CN"/>
              </w:rPr>
            </w:pPr>
            <w:r>
              <w:rPr>
                <w:rFonts w:hint="eastAsia" w:cs="Times New Roman"/>
                <w:b/>
                <w:bCs/>
                <w:i/>
                <w:iCs/>
                <w:color w:val="auto"/>
                <w:sz w:val="84"/>
                <w:szCs w:val="24"/>
                <w:highlight w:val="none"/>
                <w:lang w:val="en-US" w:eastAsia="zh-CN"/>
              </w:rPr>
              <w:t>涉密删除</w:t>
            </w:r>
          </w:p>
          <w:p w14:paraId="0FD8891F">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cs="Times New Roman"/>
                <w:color w:val="auto"/>
                <w:sz w:val="24"/>
                <w:szCs w:val="24"/>
                <w:highlight w:val="none"/>
                <w:lang w:val="en-US" w:eastAsia="zh-CN"/>
              </w:rPr>
            </w:pPr>
          </w:p>
          <w:p w14:paraId="20EEC255">
            <w:pPr>
              <w:pStyle w:val="41"/>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图2.3-</w:t>
            </w:r>
            <w:r>
              <w:rPr>
                <w:rFonts w:hint="eastAsia" w:cs="Times New Roman"/>
                <w:b/>
                <w:bCs w:val="0"/>
                <w:color w:val="auto"/>
                <w:sz w:val="24"/>
                <w:szCs w:val="24"/>
                <w:highlight w:val="none"/>
                <w:lang w:val="en-US" w:eastAsia="zh-CN"/>
              </w:rPr>
              <w:t>2</w:t>
            </w:r>
            <w:r>
              <w:rPr>
                <w:rFonts w:hint="eastAsia" w:ascii="Times New Roman" w:hAnsi="Times New Roman" w:eastAsia="宋体" w:cs="Times New Roman"/>
                <w:b/>
                <w:bCs w:val="0"/>
                <w:color w:val="auto"/>
                <w:sz w:val="24"/>
                <w:szCs w:val="24"/>
                <w:highlight w:val="none"/>
                <w:lang w:val="en-US" w:eastAsia="zh-CN"/>
              </w:rPr>
              <w:t xml:space="preserve"> </w:t>
            </w:r>
            <w:r>
              <w:rPr>
                <w:rFonts w:hint="eastAsia" w:ascii="Times New Roman" w:hAnsi="Times New Roman" w:eastAsia="宋体" w:cs="Times New Roman"/>
                <w:color w:val="auto"/>
                <w:kern w:val="2"/>
                <w:sz w:val="24"/>
                <w:szCs w:val="24"/>
                <w:lang w:val="en-US" w:eastAsia="zh-CN" w:bidi="ar-SA"/>
              </w:rPr>
              <w:t>塑料包装袋</w:t>
            </w:r>
            <w:r>
              <w:rPr>
                <w:rFonts w:hint="eastAsia" w:ascii="Times New Roman" w:hAnsi="Times New Roman" w:eastAsia="宋体" w:cs="Times New Roman"/>
                <w:b/>
                <w:bCs w:val="0"/>
                <w:color w:val="auto"/>
                <w:sz w:val="24"/>
                <w:szCs w:val="24"/>
                <w:highlight w:val="none"/>
                <w:lang w:val="en-US" w:eastAsia="zh-CN"/>
              </w:rPr>
              <w:t>生产工艺流程图</w:t>
            </w:r>
          </w:p>
          <w:p w14:paraId="3EE85FEC">
            <w:pPr>
              <w:pStyle w:val="2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rightChars="0" w:firstLine="482" w:firstLineChars="200"/>
              <w:textAlignment w:val="auto"/>
              <w:outlineLvl w:val="9"/>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工艺说明：</w:t>
            </w:r>
          </w:p>
          <w:p w14:paraId="7B79079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84"/>
                <w:szCs w:val="24"/>
                <w:highlight w:val="none"/>
                <w:lang w:val="en-US" w:eastAsia="zh-CN"/>
              </w:rPr>
            </w:pPr>
            <w:bookmarkStart w:id="36" w:name="_Toc11700"/>
            <w:r>
              <w:rPr>
                <w:rFonts w:hint="eastAsia" w:cs="Times New Roman"/>
                <w:b/>
                <w:bCs/>
                <w:i/>
                <w:iCs/>
                <w:color w:val="auto"/>
                <w:sz w:val="84"/>
                <w:szCs w:val="24"/>
                <w:highlight w:val="none"/>
                <w:lang w:val="en-US" w:eastAsia="zh-CN"/>
              </w:rPr>
              <w:t>涉密删除</w:t>
            </w:r>
          </w:p>
          <w:p w14:paraId="533E0E5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2.3.2产污环节分析</w:t>
            </w:r>
            <w:bookmarkEnd w:id="36"/>
          </w:p>
          <w:p w14:paraId="5FE6E8AC">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bidi="ar-SA"/>
              </w:rPr>
              <w:t>项目产污环节分析情况一览表详见表2.3-1</w:t>
            </w:r>
            <w:r>
              <w:rPr>
                <w:rFonts w:hint="eastAsia" w:ascii="Times New Roman" w:hAnsi="Times New Roman" w:cs="Times New Roman"/>
                <w:b w:val="0"/>
                <w:bCs w:val="0"/>
                <w:color w:val="auto"/>
                <w:kern w:val="0"/>
                <w:sz w:val="24"/>
                <w:szCs w:val="24"/>
                <w:highlight w:val="none"/>
                <w:u w:val="none"/>
                <w:lang w:val="en-US" w:eastAsia="zh-CN" w:bidi="ar-SA"/>
              </w:rPr>
              <w:t>。</w:t>
            </w:r>
          </w:p>
          <w:p w14:paraId="63AA3C7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表2.3-1 项目产污环节分析一览表</w:t>
            </w:r>
          </w:p>
          <w:tbl>
            <w:tblPr>
              <w:tblStyle w:val="25"/>
              <w:tblW w:w="88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017"/>
              <w:gridCol w:w="387"/>
              <w:gridCol w:w="729"/>
              <w:gridCol w:w="497"/>
              <w:gridCol w:w="880"/>
              <w:gridCol w:w="107"/>
              <w:gridCol w:w="451"/>
              <w:gridCol w:w="646"/>
              <w:gridCol w:w="3679"/>
              <w:gridCol w:w="1"/>
            </w:tblGrid>
            <w:tr w14:paraId="18AFD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37" w:hRule="atLeast"/>
              </w:trPr>
              <w:tc>
                <w:tcPr>
                  <w:tcW w:w="458" w:type="dxa"/>
                  <w:tcBorders>
                    <w:tl2br w:val="nil"/>
                    <w:tr2bl w:val="nil"/>
                  </w:tcBorders>
                  <w:vAlign w:val="center"/>
                </w:tcPr>
                <w:p w14:paraId="6A6E412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序号</w:t>
                  </w:r>
                </w:p>
              </w:tc>
              <w:tc>
                <w:tcPr>
                  <w:tcW w:w="1017" w:type="dxa"/>
                  <w:tcBorders>
                    <w:tl2br w:val="nil"/>
                    <w:tr2bl w:val="nil"/>
                  </w:tcBorders>
                  <w:vAlign w:val="center"/>
                </w:tcPr>
                <w:p w14:paraId="4BA9559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类别</w:t>
                  </w:r>
                </w:p>
              </w:tc>
              <w:tc>
                <w:tcPr>
                  <w:tcW w:w="1116" w:type="dxa"/>
                  <w:gridSpan w:val="2"/>
                  <w:tcBorders>
                    <w:tl2br w:val="nil"/>
                    <w:tr2bl w:val="nil"/>
                  </w:tcBorders>
                  <w:vAlign w:val="center"/>
                </w:tcPr>
                <w:p w14:paraId="3A735B0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污染源/污染工段</w:t>
                  </w:r>
                </w:p>
              </w:tc>
              <w:tc>
                <w:tcPr>
                  <w:tcW w:w="1377" w:type="dxa"/>
                  <w:gridSpan w:val="2"/>
                  <w:tcBorders>
                    <w:tl2br w:val="nil"/>
                    <w:tr2bl w:val="nil"/>
                  </w:tcBorders>
                  <w:vAlign w:val="center"/>
                </w:tcPr>
                <w:p w14:paraId="7D5041F5">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主要污染物</w:t>
                  </w:r>
                </w:p>
              </w:tc>
              <w:tc>
                <w:tcPr>
                  <w:tcW w:w="558" w:type="dxa"/>
                  <w:gridSpan w:val="2"/>
                  <w:tcBorders>
                    <w:tl2br w:val="nil"/>
                    <w:tr2bl w:val="nil"/>
                  </w:tcBorders>
                  <w:vAlign w:val="center"/>
                </w:tcPr>
                <w:p w14:paraId="59FF63C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排放周期</w:t>
                  </w:r>
                </w:p>
              </w:tc>
              <w:tc>
                <w:tcPr>
                  <w:tcW w:w="4325" w:type="dxa"/>
                  <w:gridSpan w:val="2"/>
                  <w:tcBorders>
                    <w:tl2br w:val="nil"/>
                    <w:tr2bl w:val="nil"/>
                  </w:tcBorders>
                  <w:vAlign w:val="center"/>
                </w:tcPr>
                <w:p w14:paraId="1798D42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环保措施</w:t>
                  </w:r>
                </w:p>
              </w:tc>
            </w:tr>
            <w:tr w14:paraId="51713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458" w:type="dxa"/>
                  <w:tcBorders>
                    <w:tl2br w:val="nil"/>
                    <w:tr2bl w:val="nil"/>
                  </w:tcBorders>
                  <w:vAlign w:val="center"/>
                </w:tcPr>
                <w:p w14:paraId="18AFDFB2">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1</w:t>
                  </w:r>
                </w:p>
              </w:tc>
              <w:tc>
                <w:tcPr>
                  <w:tcW w:w="1017" w:type="dxa"/>
                  <w:tcBorders>
                    <w:tl2br w:val="nil"/>
                    <w:tr2bl w:val="nil"/>
                  </w:tcBorders>
                  <w:vAlign w:val="center"/>
                </w:tcPr>
                <w:p w14:paraId="76BD981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废水</w:t>
                  </w:r>
                </w:p>
              </w:tc>
              <w:tc>
                <w:tcPr>
                  <w:tcW w:w="1116" w:type="dxa"/>
                  <w:gridSpan w:val="2"/>
                  <w:tcBorders>
                    <w:tl2br w:val="nil"/>
                    <w:tr2bl w:val="nil"/>
                  </w:tcBorders>
                  <w:vAlign w:val="center"/>
                </w:tcPr>
                <w:p w14:paraId="46DF0A28">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生活用水</w:t>
                  </w:r>
                </w:p>
              </w:tc>
              <w:tc>
                <w:tcPr>
                  <w:tcW w:w="1377" w:type="dxa"/>
                  <w:gridSpan w:val="2"/>
                  <w:tcBorders>
                    <w:tl2br w:val="nil"/>
                    <w:tr2bl w:val="nil"/>
                  </w:tcBorders>
                  <w:vAlign w:val="center"/>
                </w:tcPr>
                <w:p w14:paraId="698C3775">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000000"/>
                      <w:sz w:val="21"/>
                      <w:szCs w:val="21"/>
                    </w:rPr>
                    <w:t>pH、COD、BOD</w:t>
                  </w:r>
                  <w:r>
                    <w:rPr>
                      <w:rFonts w:hint="default" w:ascii="Times New Roman" w:hAnsi="Times New Roman" w:eastAsia="宋体" w:cs="Times New Roman"/>
                      <w:bCs/>
                      <w:color w:val="000000"/>
                      <w:sz w:val="21"/>
                      <w:szCs w:val="21"/>
                      <w:vertAlign w:val="subscript"/>
                    </w:rPr>
                    <w:t>5</w:t>
                  </w:r>
                  <w:r>
                    <w:rPr>
                      <w:rFonts w:hint="default" w:ascii="Times New Roman" w:hAnsi="Times New Roman" w:eastAsia="宋体" w:cs="Times New Roman"/>
                      <w:bCs/>
                      <w:color w:val="000000"/>
                      <w:sz w:val="21"/>
                      <w:szCs w:val="21"/>
                    </w:rPr>
                    <w:t>、SS、NH</w:t>
                  </w:r>
                  <w:r>
                    <w:rPr>
                      <w:rFonts w:hint="default" w:ascii="Times New Roman" w:hAnsi="Times New Roman" w:eastAsia="宋体" w:cs="Times New Roman"/>
                      <w:bCs/>
                      <w:color w:val="000000"/>
                      <w:sz w:val="21"/>
                      <w:szCs w:val="21"/>
                      <w:vertAlign w:val="subscript"/>
                    </w:rPr>
                    <w:t>3</w:t>
                  </w:r>
                  <w:r>
                    <w:rPr>
                      <w:rFonts w:hint="default" w:ascii="Times New Roman" w:hAnsi="Times New Roman" w:eastAsia="宋体" w:cs="Times New Roman"/>
                      <w:bCs/>
                      <w:color w:val="000000"/>
                      <w:sz w:val="21"/>
                      <w:szCs w:val="21"/>
                    </w:rPr>
                    <w:t>-N</w:t>
                  </w:r>
                </w:p>
              </w:tc>
              <w:tc>
                <w:tcPr>
                  <w:tcW w:w="558" w:type="dxa"/>
                  <w:gridSpan w:val="2"/>
                  <w:tcBorders>
                    <w:tl2br w:val="nil"/>
                    <w:tr2bl w:val="nil"/>
                  </w:tcBorders>
                  <w:vAlign w:val="center"/>
                </w:tcPr>
                <w:p w14:paraId="456B455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4325" w:type="dxa"/>
                  <w:gridSpan w:val="2"/>
                  <w:tcBorders>
                    <w:tl2br w:val="nil"/>
                    <w:tr2bl w:val="nil"/>
                  </w:tcBorders>
                  <w:vAlign w:val="center"/>
                </w:tcPr>
                <w:p w14:paraId="4CFF052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000000"/>
                      <w:sz w:val="21"/>
                      <w:szCs w:val="21"/>
                    </w:rPr>
                    <w:t>经化</w:t>
                  </w:r>
                  <w:r>
                    <w:rPr>
                      <w:rFonts w:hint="default" w:ascii="Times New Roman" w:hAnsi="Times New Roman" w:eastAsia="宋体" w:cs="Times New Roman"/>
                      <w:bCs/>
                      <w:color w:val="auto"/>
                      <w:sz w:val="21"/>
                      <w:szCs w:val="21"/>
                    </w:rPr>
                    <w:t>粪池预处理后接入市政污水管网排入福清市融元污水处理厂集中处</w:t>
                  </w:r>
                  <w:r>
                    <w:rPr>
                      <w:rFonts w:hint="default" w:ascii="Times New Roman" w:hAnsi="Times New Roman" w:eastAsia="宋体" w:cs="Times New Roman"/>
                      <w:bCs/>
                      <w:color w:val="000000"/>
                      <w:sz w:val="21"/>
                      <w:szCs w:val="21"/>
                    </w:rPr>
                    <w:t>理</w:t>
                  </w:r>
                  <w:r>
                    <w:rPr>
                      <w:rFonts w:hint="eastAsia" w:ascii="Times New Roman" w:hAnsi="Times New Roman" w:eastAsia="宋体" w:cs="Times New Roman"/>
                      <w:bCs/>
                      <w:color w:val="000000"/>
                      <w:sz w:val="21"/>
                      <w:szCs w:val="21"/>
                      <w:lang w:eastAsia="zh-CN"/>
                    </w:rPr>
                    <w:t>。</w:t>
                  </w:r>
                </w:p>
              </w:tc>
            </w:tr>
            <w:tr w14:paraId="77F99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458" w:type="dxa"/>
                  <w:vMerge w:val="restart"/>
                  <w:tcBorders>
                    <w:tl2br w:val="nil"/>
                    <w:tr2bl w:val="nil"/>
                  </w:tcBorders>
                  <w:vAlign w:val="center"/>
                </w:tcPr>
                <w:p w14:paraId="78C5CAB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2</w:t>
                  </w:r>
                </w:p>
              </w:tc>
              <w:tc>
                <w:tcPr>
                  <w:tcW w:w="1017" w:type="dxa"/>
                  <w:vMerge w:val="restart"/>
                  <w:tcBorders>
                    <w:tl2br w:val="nil"/>
                    <w:tr2bl w:val="nil"/>
                  </w:tcBorders>
                  <w:vAlign w:val="center"/>
                </w:tcPr>
                <w:p w14:paraId="7AB6109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1116" w:type="dxa"/>
                  <w:gridSpan w:val="2"/>
                  <w:tcBorders>
                    <w:tl2br w:val="nil"/>
                    <w:tr2bl w:val="nil"/>
                  </w:tcBorders>
                  <w:shd w:val="clear" w:color="auto" w:fill="auto"/>
                  <w:vAlign w:val="center"/>
                </w:tcPr>
                <w:p w14:paraId="1B1C3FE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吹膜</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1377" w:type="dxa"/>
                  <w:gridSpan w:val="2"/>
                  <w:vMerge w:val="restart"/>
                  <w:tcBorders>
                    <w:tl2br w:val="nil"/>
                    <w:tr2bl w:val="nil"/>
                  </w:tcBorders>
                  <w:shd w:val="clear" w:color="auto" w:fill="auto"/>
                  <w:vAlign w:val="center"/>
                </w:tcPr>
                <w:p w14:paraId="31C0D91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非甲烷总烃</w:t>
                  </w:r>
                </w:p>
                <w:p w14:paraId="5272922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558" w:type="dxa"/>
                  <w:gridSpan w:val="2"/>
                  <w:vMerge w:val="restart"/>
                  <w:tcBorders>
                    <w:tl2br w:val="nil"/>
                    <w:tr2bl w:val="nil"/>
                  </w:tcBorders>
                  <w:shd w:val="clear" w:color="auto" w:fill="auto"/>
                  <w:vAlign w:val="center"/>
                </w:tcPr>
                <w:p w14:paraId="33B9A838">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w:t>
                  </w:r>
                </w:p>
              </w:tc>
              <w:tc>
                <w:tcPr>
                  <w:tcW w:w="4325" w:type="dxa"/>
                  <w:gridSpan w:val="2"/>
                  <w:vMerge w:val="restart"/>
                  <w:tcBorders>
                    <w:tl2br w:val="nil"/>
                    <w:tr2bl w:val="nil"/>
                  </w:tcBorders>
                  <w:shd w:val="clear" w:color="auto" w:fill="auto"/>
                  <w:vAlign w:val="center"/>
                </w:tcPr>
                <w:p w14:paraId="6500FA2D">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经集气罩收集后通过二级活性炭吸附处理，由1根15m排气筒排放</w:t>
                  </w:r>
                </w:p>
              </w:tc>
            </w:tr>
            <w:tr w14:paraId="73A8C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458" w:type="dxa"/>
                  <w:vMerge w:val="continue"/>
                  <w:tcBorders>
                    <w:tl2br w:val="nil"/>
                    <w:tr2bl w:val="nil"/>
                  </w:tcBorders>
                  <w:vAlign w:val="center"/>
                </w:tcPr>
                <w:p w14:paraId="1F901E4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17" w:type="dxa"/>
                  <w:vMerge w:val="continue"/>
                  <w:tcBorders>
                    <w:tl2br w:val="nil"/>
                    <w:tr2bl w:val="nil"/>
                  </w:tcBorders>
                  <w:vAlign w:val="center"/>
                </w:tcPr>
                <w:p w14:paraId="2B2C9758">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116" w:type="dxa"/>
                  <w:gridSpan w:val="2"/>
                  <w:tcBorders>
                    <w:tl2br w:val="nil"/>
                    <w:tr2bl w:val="nil"/>
                  </w:tcBorders>
                  <w:shd w:val="clear" w:color="auto" w:fill="auto"/>
                  <w:vAlign w:val="center"/>
                </w:tcPr>
                <w:p w14:paraId="51D2E9B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印刷</w:t>
                  </w: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1377" w:type="dxa"/>
                  <w:gridSpan w:val="2"/>
                  <w:vMerge w:val="continue"/>
                  <w:tcBorders>
                    <w:tl2br w:val="nil"/>
                    <w:tr2bl w:val="nil"/>
                  </w:tcBorders>
                  <w:shd w:val="clear" w:color="auto" w:fill="auto"/>
                  <w:vAlign w:val="center"/>
                </w:tcPr>
                <w:p w14:paraId="1921BCB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558" w:type="dxa"/>
                  <w:gridSpan w:val="2"/>
                  <w:vMerge w:val="continue"/>
                  <w:tcBorders>
                    <w:tl2br w:val="nil"/>
                    <w:tr2bl w:val="nil"/>
                  </w:tcBorders>
                  <w:vAlign w:val="center"/>
                </w:tcPr>
                <w:p w14:paraId="041D0B9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25" w:type="dxa"/>
                  <w:gridSpan w:val="2"/>
                  <w:vMerge w:val="continue"/>
                  <w:tcBorders>
                    <w:tl2br w:val="nil"/>
                    <w:tr2bl w:val="nil"/>
                  </w:tcBorders>
                  <w:vAlign w:val="center"/>
                </w:tcPr>
                <w:p w14:paraId="33ED57A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2200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458" w:type="dxa"/>
                  <w:vMerge w:val="continue"/>
                  <w:tcBorders>
                    <w:tl2br w:val="nil"/>
                    <w:tr2bl w:val="nil"/>
                  </w:tcBorders>
                  <w:vAlign w:val="center"/>
                </w:tcPr>
                <w:p w14:paraId="4B5078DF">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17" w:type="dxa"/>
                  <w:vMerge w:val="continue"/>
                  <w:tcBorders>
                    <w:tl2br w:val="nil"/>
                    <w:tr2bl w:val="nil"/>
                  </w:tcBorders>
                  <w:vAlign w:val="center"/>
                </w:tcPr>
                <w:p w14:paraId="3CBAE780">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116" w:type="dxa"/>
                  <w:gridSpan w:val="2"/>
                  <w:tcBorders>
                    <w:tl2br w:val="nil"/>
                    <w:tr2bl w:val="nil"/>
                  </w:tcBorders>
                  <w:shd w:val="clear" w:color="auto" w:fill="auto"/>
                  <w:vAlign w:val="center"/>
                </w:tcPr>
                <w:p w14:paraId="0C80A67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复合、熟化有机废气</w:t>
                  </w:r>
                </w:p>
              </w:tc>
              <w:tc>
                <w:tcPr>
                  <w:tcW w:w="1377" w:type="dxa"/>
                  <w:gridSpan w:val="2"/>
                  <w:vMerge w:val="continue"/>
                  <w:tcBorders>
                    <w:tl2br w:val="nil"/>
                    <w:tr2bl w:val="nil"/>
                  </w:tcBorders>
                  <w:shd w:val="clear" w:color="auto" w:fill="auto"/>
                  <w:vAlign w:val="center"/>
                </w:tcPr>
                <w:p w14:paraId="0E1D349F">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558" w:type="dxa"/>
                  <w:gridSpan w:val="2"/>
                  <w:vMerge w:val="continue"/>
                  <w:tcBorders>
                    <w:tl2br w:val="nil"/>
                    <w:tr2bl w:val="nil"/>
                  </w:tcBorders>
                  <w:vAlign w:val="center"/>
                </w:tcPr>
                <w:p w14:paraId="5D770502">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25" w:type="dxa"/>
                  <w:gridSpan w:val="2"/>
                  <w:vMerge w:val="continue"/>
                  <w:tcBorders>
                    <w:tl2br w:val="nil"/>
                    <w:tr2bl w:val="nil"/>
                  </w:tcBorders>
                  <w:vAlign w:val="center"/>
                </w:tcPr>
                <w:p w14:paraId="2F61C85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C594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trPr>
              <w:tc>
                <w:tcPr>
                  <w:tcW w:w="458" w:type="dxa"/>
                  <w:vMerge w:val="continue"/>
                  <w:tcBorders>
                    <w:tl2br w:val="nil"/>
                    <w:tr2bl w:val="nil"/>
                  </w:tcBorders>
                  <w:vAlign w:val="center"/>
                </w:tcPr>
                <w:p w14:paraId="23B8DCAD">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17" w:type="dxa"/>
                  <w:vMerge w:val="continue"/>
                  <w:tcBorders>
                    <w:tl2br w:val="nil"/>
                    <w:tr2bl w:val="nil"/>
                  </w:tcBorders>
                  <w:vAlign w:val="center"/>
                </w:tcPr>
                <w:p w14:paraId="7D0593A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116" w:type="dxa"/>
                  <w:gridSpan w:val="2"/>
                  <w:tcBorders>
                    <w:tl2br w:val="nil"/>
                    <w:tr2bl w:val="nil"/>
                  </w:tcBorders>
                  <w:shd w:val="clear" w:color="auto" w:fill="auto"/>
                  <w:vAlign w:val="center"/>
                </w:tcPr>
                <w:p w14:paraId="73664879">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制袋废气</w:t>
                  </w:r>
                </w:p>
              </w:tc>
              <w:tc>
                <w:tcPr>
                  <w:tcW w:w="1377" w:type="dxa"/>
                  <w:gridSpan w:val="2"/>
                  <w:vMerge w:val="continue"/>
                  <w:tcBorders>
                    <w:tl2br w:val="nil"/>
                    <w:tr2bl w:val="nil"/>
                  </w:tcBorders>
                  <w:shd w:val="clear" w:color="auto" w:fill="auto"/>
                  <w:vAlign w:val="center"/>
                </w:tcPr>
                <w:p w14:paraId="22B36D6F">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558" w:type="dxa"/>
                  <w:gridSpan w:val="2"/>
                  <w:vMerge w:val="continue"/>
                  <w:tcBorders>
                    <w:tl2br w:val="nil"/>
                    <w:tr2bl w:val="nil"/>
                  </w:tcBorders>
                  <w:vAlign w:val="center"/>
                </w:tcPr>
                <w:p w14:paraId="46A65E4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325" w:type="dxa"/>
                  <w:gridSpan w:val="2"/>
                  <w:vMerge w:val="continue"/>
                  <w:tcBorders>
                    <w:tl2br w:val="nil"/>
                    <w:tr2bl w:val="nil"/>
                  </w:tcBorders>
                  <w:vAlign w:val="center"/>
                </w:tcPr>
                <w:p w14:paraId="364B8CC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AFB8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84" w:hRule="atLeast"/>
              </w:trPr>
              <w:tc>
                <w:tcPr>
                  <w:tcW w:w="458" w:type="dxa"/>
                  <w:vMerge w:val="restart"/>
                  <w:tcBorders>
                    <w:tl2br w:val="nil"/>
                    <w:tr2bl w:val="nil"/>
                  </w:tcBorders>
                  <w:vAlign w:val="center"/>
                </w:tcPr>
                <w:p w14:paraId="26F41A2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3</w:t>
                  </w:r>
                </w:p>
              </w:tc>
              <w:tc>
                <w:tcPr>
                  <w:tcW w:w="1017" w:type="dxa"/>
                  <w:vMerge w:val="restart"/>
                  <w:tcBorders>
                    <w:tl2br w:val="nil"/>
                    <w:tr2bl w:val="nil"/>
                  </w:tcBorders>
                  <w:vAlign w:val="center"/>
                </w:tcPr>
                <w:p w14:paraId="05561EA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固废</w:t>
                  </w:r>
                </w:p>
              </w:tc>
              <w:tc>
                <w:tcPr>
                  <w:tcW w:w="1116" w:type="dxa"/>
                  <w:gridSpan w:val="2"/>
                  <w:tcBorders>
                    <w:tl2br w:val="nil"/>
                    <w:tr2bl w:val="nil"/>
                  </w:tcBorders>
                  <w:vAlign w:val="center"/>
                </w:tcPr>
                <w:p w14:paraId="256C022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生活垃圾</w:t>
                  </w:r>
                </w:p>
              </w:tc>
              <w:tc>
                <w:tcPr>
                  <w:tcW w:w="1377" w:type="dxa"/>
                  <w:gridSpan w:val="2"/>
                  <w:tcBorders>
                    <w:tl2br w:val="nil"/>
                    <w:tr2bl w:val="nil"/>
                  </w:tcBorders>
                  <w:shd w:val="clear" w:color="auto" w:fill="auto"/>
                  <w:vAlign w:val="center"/>
                </w:tcPr>
                <w:p w14:paraId="234314F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sz w:val="21"/>
                      <w:szCs w:val="21"/>
                    </w:rPr>
                    <w:t>纸屑、塑料袋等</w:t>
                  </w:r>
                </w:p>
              </w:tc>
              <w:tc>
                <w:tcPr>
                  <w:tcW w:w="558" w:type="dxa"/>
                  <w:gridSpan w:val="2"/>
                  <w:tcBorders>
                    <w:tl2br w:val="nil"/>
                    <w:tr2bl w:val="nil"/>
                  </w:tcBorders>
                  <w:shd w:val="clear" w:color="auto" w:fill="auto"/>
                  <w:vAlign w:val="center"/>
                </w:tcPr>
                <w:p w14:paraId="2E7F01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4325" w:type="dxa"/>
                  <w:gridSpan w:val="2"/>
                  <w:tcBorders>
                    <w:tl2br w:val="nil"/>
                    <w:tr2bl w:val="nil"/>
                  </w:tcBorders>
                  <w:shd w:val="clear" w:color="auto" w:fill="auto"/>
                  <w:vAlign w:val="center"/>
                </w:tcPr>
                <w:p w14:paraId="200181B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GB" w:eastAsia="zh-CN"/>
                    </w:rPr>
                    <w:t>厂区内设置生活垃圾桶，分类收集后委托环卫部门每日清运处置</w:t>
                  </w:r>
                  <w:r>
                    <w:rPr>
                      <w:rFonts w:hint="eastAsia" w:ascii="Times New Roman" w:hAnsi="Times New Roman" w:eastAsia="宋体" w:cs="Times New Roman"/>
                      <w:color w:val="auto"/>
                      <w:sz w:val="21"/>
                      <w:szCs w:val="21"/>
                      <w:lang w:val="en-GB" w:eastAsia="zh-CN"/>
                    </w:rPr>
                    <w:t>。</w:t>
                  </w:r>
                </w:p>
              </w:tc>
            </w:tr>
            <w:tr w14:paraId="0E64D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58" w:type="dxa"/>
                  <w:vMerge w:val="continue"/>
                  <w:vAlign w:val="center"/>
                </w:tcPr>
                <w:p w14:paraId="790B7590">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17" w:type="dxa"/>
                  <w:vMerge w:val="continue"/>
                  <w:vAlign w:val="center"/>
                </w:tcPr>
                <w:p w14:paraId="030B403F">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387" w:type="dxa"/>
                  <w:vMerge w:val="restart"/>
                  <w:vAlign w:val="center"/>
                </w:tcPr>
                <w:p w14:paraId="47FBA4E7">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一般固废</w:t>
                  </w:r>
                </w:p>
              </w:tc>
              <w:tc>
                <w:tcPr>
                  <w:tcW w:w="1226" w:type="dxa"/>
                  <w:gridSpan w:val="2"/>
                  <w:shd w:val="clear" w:color="auto" w:fill="auto"/>
                  <w:vAlign w:val="center"/>
                </w:tcPr>
                <w:p w14:paraId="6006187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产品检验</w:t>
                  </w:r>
                </w:p>
              </w:tc>
              <w:tc>
                <w:tcPr>
                  <w:tcW w:w="987" w:type="dxa"/>
                  <w:gridSpan w:val="2"/>
                  <w:shd w:val="clear" w:color="auto" w:fill="auto"/>
                  <w:vAlign w:val="center"/>
                </w:tcPr>
                <w:p w14:paraId="50718CF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不合格产品及</w:t>
                  </w:r>
                  <w:r>
                    <w:rPr>
                      <w:rFonts w:hint="eastAsia" w:cs="Times New Roman"/>
                      <w:color w:val="auto"/>
                      <w:kern w:val="2"/>
                      <w:sz w:val="21"/>
                      <w:szCs w:val="21"/>
                      <w:highlight w:val="none"/>
                      <w:vertAlign w:val="baseline"/>
                      <w:lang w:val="en-US" w:eastAsia="zh-CN" w:bidi="ar-SA"/>
                    </w:rPr>
                    <w:t>分切</w:t>
                  </w:r>
                  <w:r>
                    <w:rPr>
                      <w:rFonts w:hint="default" w:ascii="Times New Roman" w:hAnsi="Times New Roman" w:eastAsia="宋体" w:cs="Times New Roman"/>
                      <w:color w:val="auto"/>
                      <w:kern w:val="2"/>
                      <w:sz w:val="21"/>
                      <w:szCs w:val="21"/>
                      <w:highlight w:val="none"/>
                      <w:vertAlign w:val="baseline"/>
                      <w:lang w:val="en-US" w:eastAsia="zh-CN" w:bidi="ar-SA"/>
                    </w:rPr>
                    <w:t>边角料</w:t>
                  </w:r>
                </w:p>
              </w:tc>
              <w:tc>
                <w:tcPr>
                  <w:tcW w:w="1097" w:type="dxa"/>
                  <w:gridSpan w:val="2"/>
                  <w:shd w:val="clear" w:color="auto" w:fill="auto"/>
                  <w:vAlign w:val="center"/>
                </w:tcPr>
                <w:p w14:paraId="2D18BA0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3680" w:type="dxa"/>
                  <w:gridSpan w:val="2"/>
                  <w:shd w:val="clear" w:color="auto" w:fill="auto"/>
                  <w:vAlign w:val="center"/>
                </w:tcPr>
                <w:p w14:paraId="128367D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分类收集后，定期外售给废旧物资回收利用企业综合利用</w:t>
                  </w:r>
                </w:p>
              </w:tc>
            </w:tr>
            <w:tr w14:paraId="399A8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58" w:type="dxa"/>
                  <w:vMerge w:val="continue"/>
                  <w:vAlign w:val="center"/>
                </w:tcPr>
                <w:p w14:paraId="526BC22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17" w:type="dxa"/>
                  <w:vMerge w:val="continue"/>
                  <w:vAlign w:val="center"/>
                </w:tcPr>
                <w:p w14:paraId="1A8E65F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387" w:type="dxa"/>
                  <w:vMerge w:val="continue"/>
                  <w:vAlign w:val="center"/>
                </w:tcPr>
                <w:p w14:paraId="6543038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226" w:type="dxa"/>
                  <w:gridSpan w:val="2"/>
                  <w:shd w:val="clear" w:color="auto" w:fill="auto"/>
                  <w:vAlign w:val="center"/>
                </w:tcPr>
                <w:p w14:paraId="200C414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生产工序</w:t>
                  </w:r>
                </w:p>
              </w:tc>
              <w:tc>
                <w:tcPr>
                  <w:tcW w:w="987" w:type="dxa"/>
                  <w:gridSpan w:val="2"/>
                  <w:shd w:val="clear" w:color="auto" w:fill="auto"/>
                  <w:vAlign w:val="center"/>
                </w:tcPr>
                <w:p w14:paraId="441F981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废包装材料</w:t>
                  </w:r>
                </w:p>
              </w:tc>
              <w:tc>
                <w:tcPr>
                  <w:tcW w:w="1097" w:type="dxa"/>
                  <w:gridSpan w:val="2"/>
                  <w:shd w:val="clear" w:color="auto" w:fill="auto"/>
                  <w:vAlign w:val="center"/>
                </w:tcPr>
                <w:p w14:paraId="58FA870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3680" w:type="dxa"/>
                  <w:gridSpan w:val="2"/>
                  <w:shd w:val="clear" w:color="auto" w:fill="auto"/>
                  <w:vAlign w:val="center"/>
                </w:tcPr>
                <w:p w14:paraId="5E4D039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设一般工业固废暂存间，妥善分类收集后出售给回收企业综合利用</w:t>
                  </w:r>
                  <w:r>
                    <w:rPr>
                      <w:rFonts w:hint="eastAsia" w:ascii="Times New Roman" w:hAnsi="Times New Roman" w:eastAsia="宋体" w:cs="Times New Roman"/>
                      <w:color w:val="auto"/>
                      <w:sz w:val="21"/>
                      <w:szCs w:val="21"/>
                      <w:lang w:val="en-US" w:eastAsia="zh-CN"/>
                    </w:rPr>
                    <w:t>。</w:t>
                  </w:r>
                </w:p>
              </w:tc>
            </w:tr>
            <w:tr w14:paraId="730FE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458" w:type="dxa"/>
                  <w:vMerge w:val="continue"/>
                  <w:vAlign w:val="center"/>
                </w:tcPr>
                <w:p w14:paraId="1E2D4E3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17" w:type="dxa"/>
                  <w:vMerge w:val="continue"/>
                  <w:vAlign w:val="center"/>
                </w:tcPr>
                <w:p w14:paraId="69254A1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387" w:type="dxa"/>
                  <w:vMerge w:val="restart"/>
                  <w:vAlign w:val="center"/>
                </w:tcPr>
                <w:p w14:paraId="70A72EC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危险废物</w:t>
                  </w:r>
                </w:p>
              </w:tc>
              <w:tc>
                <w:tcPr>
                  <w:tcW w:w="1226" w:type="dxa"/>
                  <w:gridSpan w:val="2"/>
                  <w:shd w:val="clear" w:color="auto" w:fill="auto"/>
                  <w:vAlign w:val="center"/>
                </w:tcPr>
                <w:p w14:paraId="254E04F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废气处理</w:t>
                  </w:r>
                </w:p>
              </w:tc>
              <w:tc>
                <w:tcPr>
                  <w:tcW w:w="987" w:type="dxa"/>
                  <w:gridSpan w:val="2"/>
                  <w:shd w:val="clear" w:color="auto" w:fill="auto"/>
                  <w:vAlign w:val="center"/>
                </w:tcPr>
                <w:p w14:paraId="2EFD17C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废活性炭</w:t>
                  </w:r>
                </w:p>
              </w:tc>
              <w:tc>
                <w:tcPr>
                  <w:tcW w:w="1097" w:type="dxa"/>
                  <w:gridSpan w:val="2"/>
                  <w:shd w:val="clear" w:color="auto" w:fill="auto"/>
                  <w:vAlign w:val="center"/>
                </w:tcPr>
                <w:p w14:paraId="165099C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000000"/>
                      <w:sz w:val="21"/>
                      <w:szCs w:val="21"/>
                      <w:lang w:val="en-US" w:eastAsia="zh-CN"/>
                    </w:rPr>
                    <w:t>间歇</w:t>
                  </w:r>
                </w:p>
              </w:tc>
              <w:tc>
                <w:tcPr>
                  <w:tcW w:w="3680" w:type="dxa"/>
                  <w:gridSpan w:val="2"/>
                  <w:vMerge w:val="restart"/>
                  <w:shd w:val="clear" w:color="auto" w:fill="auto"/>
                  <w:vAlign w:val="center"/>
                </w:tcPr>
                <w:p w14:paraId="2360AC6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按照规范要求设置一间危险废物贮存库，面积约5m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，存放废活性炭</w:t>
                  </w:r>
                  <w:r>
                    <w:rPr>
                      <w:rFonts w:hint="eastAsia" w:ascii="Times New Roman" w:hAnsi="Times New Roman" w:eastAsia="宋体" w:cs="Times New Roman"/>
                      <w:color w:val="auto"/>
                      <w:sz w:val="21"/>
                      <w:szCs w:val="21"/>
                      <w:highlight w:val="none"/>
                      <w:vertAlign w:val="baseline"/>
                      <w:lang w:val="en-US" w:eastAsia="zh-CN"/>
                    </w:rPr>
                    <w:t>、废机油</w:t>
                  </w:r>
                  <w:r>
                    <w:rPr>
                      <w:rFonts w:hint="default" w:ascii="Times New Roman" w:hAnsi="Times New Roman" w:eastAsia="宋体" w:cs="Times New Roman"/>
                      <w:color w:val="auto"/>
                      <w:sz w:val="21"/>
                      <w:szCs w:val="21"/>
                      <w:highlight w:val="none"/>
                      <w:vertAlign w:val="baseline"/>
                      <w:lang w:val="en-US" w:eastAsia="zh-CN"/>
                    </w:rPr>
                    <w:t>等危险废物。贮存间内张贴明显</w:t>
                  </w:r>
                  <w:r>
                    <w:rPr>
                      <w:rFonts w:hint="eastAsia" w:ascii="Times New Roman" w:hAnsi="Times New Roman" w:eastAsia="宋体" w:cs="Times New Roman"/>
                      <w:color w:val="auto"/>
                      <w:sz w:val="21"/>
                      <w:szCs w:val="21"/>
                      <w:highlight w:val="none"/>
                      <w:vertAlign w:val="baseline"/>
                      <w:lang w:val="en-US" w:eastAsia="zh-CN"/>
                    </w:rPr>
                    <w:t>警示标志</w:t>
                  </w:r>
                  <w:r>
                    <w:rPr>
                      <w:rFonts w:hint="default" w:ascii="Times New Roman" w:hAnsi="Times New Roman" w:eastAsia="宋体" w:cs="Times New Roman"/>
                      <w:color w:val="auto"/>
                      <w:sz w:val="21"/>
                      <w:szCs w:val="21"/>
                      <w:highlight w:val="none"/>
                      <w:vertAlign w:val="baseline"/>
                      <w:lang w:val="en-US" w:eastAsia="zh-CN"/>
                    </w:rPr>
                    <w:t>并设置围堰及导流沟，地面刷环氧树脂漆。并与有资质的单位签署危废委托协调</w:t>
                  </w:r>
                  <w:r>
                    <w:rPr>
                      <w:rFonts w:hint="eastAsia" w:ascii="Times New Roman" w:hAnsi="Times New Roman" w:eastAsia="宋体" w:cs="Times New Roman"/>
                      <w:color w:val="auto"/>
                      <w:sz w:val="21"/>
                      <w:szCs w:val="21"/>
                      <w:highlight w:val="none"/>
                      <w:vertAlign w:val="baseline"/>
                      <w:lang w:val="en-US" w:eastAsia="zh-CN"/>
                    </w:rPr>
                    <w:t>。</w:t>
                  </w:r>
                </w:p>
              </w:tc>
            </w:tr>
            <w:tr w14:paraId="653C4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8" w:type="dxa"/>
                  <w:vMerge w:val="continue"/>
                  <w:vAlign w:val="center"/>
                </w:tcPr>
                <w:p w14:paraId="3CD3E75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17" w:type="dxa"/>
                  <w:vMerge w:val="continue"/>
                  <w:vAlign w:val="center"/>
                </w:tcPr>
                <w:p w14:paraId="263F325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387" w:type="dxa"/>
                  <w:vMerge w:val="continue"/>
                  <w:vAlign w:val="center"/>
                </w:tcPr>
                <w:p w14:paraId="2904761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lang w:val="en-US" w:eastAsia="zh-CN"/>
                    </w:rPr>
                  </w:pPr>
                </w:p>
              </w:tc>
              <w:tc>
                <w:tcPr>
                  <w:tcW w:w="1226" w:type="dxa"/>
                  <w:gridSpan w:val="2"/>
                  <w:shd w:val="clear" w:color="auto" w:fill="auto"/>
                  <w:vAlign w:val="center"/>
                </w:tcPr>
                <w:p w14:paraId="5764EC5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设备维护</w:t>
                  </w:r>
                </w:p>
              </w:tc>
              <w:tc>
                <w:tcPr>
                  <w:tcW w:w="987" w:type="dxa"/>
                  <w:gridSpan w:val="2"/>
                  <w:shd w:val="clear" w:color="auto" w:fill="auto"/>
                  <w:vAlign w:val="center"/>
                </w:tcPr>
                <w:p w14:paraId="0035768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w:t>
                  </w:r>
                  <w:r>
                    <w:rPr>
                      <w:rFonts w:hint="eastAsia" w:ascii="Times New Roman" w:hAnsi="Times New Roman" w:eastAsia="宋体" w:cs="Times New Roman"/>
                      <w:color w:val="auto"/>
                      <w:kern w:val="2"/>
                      <w:sz w:val="21"/>
                      <w:szCs w:val="21"/>
                      <w:highlight w:val="none"/>
                      <w:vertAlign w:val="baseline"/>
                      <w:lang w:val="en-US" w:eastAsia="zh-CN" w:bidi="ar-SA"/>
                    </w:rPr>
                    <w:t>机</w:t>
                  </w:r>
                  <w:r>
                    <w:rPr>
                      <w:rFonts w:hint="default" w:ascii="Times New Roman" w:hAnsi="Times New Roman" w:eastAsia="宋体" w:cs="Times New Roman"/>
                      <w:color w:val="auto"/>
                      <w:kern w:val="2"/>
                      <w:sz w:val="21"/>
                      <w:szCs w:val="21"/>
                      <w:highlight w:val="none"/>
                      <w:vertAlign w:val="baseline"/>
                      <w:lang w:val="en-US" w:eastAsia="zh-CN" w:bidi="ar-SA"/>
                    </w:rPr>
                    <w:t>油</w:t>
                  </w:r>
                </w:p>
              </w:tc>
              <w:tc>
                <w:tcPr>
                  <w:tcW w:w="1097" w:type="dxa"/>
                  <w:gridSpan w:val="2"/>
                  <w:shd w:val="clear" w:color="auto" w:fill="auto"/>
                  <w:vAlign w:val="center"/>
                </w:tcPr>
                <w:p w14:paraId="586EC91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3680" w:type="dxa"/>
                  <w:gridSpan w:val="2"/>
                  <w:vMerge w:val="continue"/>
                  <w:shd w:val="clear" w:color="auto" w:fill="auto"/>
                  <w:vAlign w:val="center"/>
                </w:tcPr>
                <w:p w14:paraId="3D14C65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14C7E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458" w:type="dxa"/>
                  <w:vMerge w:val="continue"/>
                  <w:vAlign w:val="center"/>
                </w:tcPr>
                <w:p w14:paraId="3915D7C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17" w:type="dxa"/>
                  <w:vMerge w:val="continue"/>
                  <w:vAlign w:val="center"/>
                </w:tcPr>
                <w:p w14:paraId="7E0AED6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387" w:type="dxa"/>
                  <w:vMerge w:val="continue"/>
                  <w:vAlign w:val="center"/>
                </w:tcPr>
                <w:p w14:paraId="2480CCA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226" w:type="dxa"/>
                  <w:gridSpan w:val="2"/>
                  <w:shd w:val="clear" w:color="auto" w:fill="auto"/>
                  <w:vAlign w:val="center"/>
                </w:tcPr>
                <w:p w14:paraId="7BDC04B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sz w:val="21"/>
                      <w:szCs w:val="21"/>
                      <w:lang w:val="en-US" w:eastAsia="zh-CN"/>
                    </w:rPr>
                    <w:t>生产工序</w:t>
                  </w:r>
                </w:p>
              </w:tc>
              <w:tc>
                <w:tcPr>
                  <w:tcW w:w="987" w:type="dxa"/>
                  <w:gridSpan w:val="2"/>
                  <w:shd w:val="clear" w:color="auto" w:fill="auto"/>
                  <w:vAlign w:val="center"/>
                </w:tcPr>
                <w:p w14:paraId="24EDF4D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油墨空桶、稀释剂空桶、胶水空桶</w:t>
                  </w:r>
                </w:p>
              </w:tc>
              <w:tc>
                <w:tcPr>
                  <w:tcW w:w="1097" w:type="dxa"/>
                  <w:gridSpan w:val="2"/>
                  <w:shd w:val="clear" w:color="auto" w:fill="auto"/>
                  <w:vAlign w:val="center"/>
                </w:tcPr>
                <w:p w14:paraId="4A99B7B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3680" w:type="dxa"/>
                  <w:gridSpan w:val="2"/>
                  <w:vMerge w:val="continue"/>
                  <w:shd w:val="clear" w:color="auto" w:fill="auto"/>
                  <w:vAlign w:val="center"/>
                </w:tcPr>
                <w:p w14:paraId="02268A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1B305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47" w:hRule="atLeast"/>
              </w:trPr>
              <w:tc>
                <w:tcPr>
                  <w:tcW w:w="458" w:type="dxa"/>
                  <w:vAlign w:val="center"/>
                </w:tcPr>
                <w:p w14:paraId="2E73528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4</w:t>
                  </w:r>
                </w:p>
              </w:tc>
              <w:tc>
                <w:tcPr>
                  <w:tcW w:w="1017" w:type="dxa"/>
                  <w:vAlign w:val="center"/>
                </w:tcPr>
                <w:p w14:paraId="3F449327">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噪声</w:t>
                  </w:r>
                </w:p>
              </w:tc>
              <w:tc>
                <w:tcPr>
                  <w:tcW w:w="1116" w:type="dxa"/>
                  <w:gridSpan w:val="2"/>
                  <w:shd w:val="clear" w:color="auto" w:fill="auto"/>
                  <w:vAlign w:val="center"/>
                </w:tcPr>
                <w:p w14:paraId="6033EC0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生产设备</w:t>
                  </w:r>
                </w:p>
              </w:tc>
              <w:tc>
                <w:tcPr>
                  <w:tcW w:w="1377" w:type="dxa"/>
                  <w:gridSpan w:val="2"/>
                  <w:shd w:val="clear" w:color="auto" w:fill="auto"/>
                  <w:vAlign w:val="center"/>
                </w:tcPr>
                <w:p w14:paraId="2FADB53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Leq</w:t>
                  </w:r>
                </w:p>
              </w:tc>
              <w:tc>
                <w:tcPr>
                  <w:tcW w:w="558" w:type="dxa"/>
                  <w:gridSpan w:val="2"/>
                  <w:shd w:val="clear" w:color="auto" w:fill="auto"/>
                  <w:vAlign w:val="center"/>
                </w:tcPr>
                <w:p w14:paraId="6949FF0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连续</w:t>
                  </w:r>
                </w:p>
              </w:tc>
              <w:tc>
                <w:tcPr>
                  <w:tcW w:w="4325" w:type="dxa"/>
                  <w:gridSpan w:val="2"/>
                  <w:shd w:val="clear" w:color="auto" w:fill="auto"/>
                  <w:vAlign w:val="center"/>
                </w:tcPr>
                <w:p w14:paraId="7C8FDDA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u w:val="none"/>
                      <w:lang w:val="en-US" w:eastAsia="zh-CN"/>
                    </w:rPr>
                    <w:t>厂房隔声、设备基础减振等综合降噪措施</w:t>
                  </w:r>
                </w:p>
              </w:tc>
            </w:tr>
          </w:tbl>
          <w:p w14:paraId="319CBF0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val="0"/>
                <w:bCs w:val="0"/>
                <w:color w:val="auto"/>
                <w:kern w:val="0"/>
                <w:sz w:val="24"/>
                <w:szCs w:val="24"/>
                <w:highlight w:val="none"/>
                <w:u w:val="none"/>
                <w:lang w:val="en-US" w:eastAsia="zh-CN" w:bidi="ar-SA"/>
              </w:rPr>
            </w:pPr>
          </w:p>
        </w:tc>
      </w:tr>
      <w:tr w14:paraId="19E3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1" w:hRule="atLeast"/>
        </w:trPr>
        <w:tc>
          <w:tcPr>
            <w:tcW w:w="244" w:type="pct"/>
            <w:vAlign w:val="center"/>
          </w:tcPr>
          <w:p w14:paraId="6F27D1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eastAsia="zh-CN"/>
              </w:rPr>
            </w:pPr>
            <w:r>
              <w:rPr>
                <w:rFonts w:ascii="Times New Roman" w:hAnsi="Times New Roman"/>
                <w:bCs/>
                <w:kern w:val="2"/>
                <w:sz w:val="24"/>
                <w:szCs w:val="24"/>
              </w:rPr>
              <w:t>与项目有关的原有环境污染问题</w:t>
            </w:r>
          </w:p>
        </w:tc>
        <w:tc>
          <w:tcPr>
            <w:tcW w:w="4755" w:type="pct"/>
            <w:vAlign w:val="center"/>
          </w:tcPr>
          <w:p w14:paraId="09FADC8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lang w:eastAsia="zh-CN"/>
              </w:rPr>
            </w:pPr>
            <w:r>
              <w:rPr>
                <w:rFonts w:hint="eastAsia"/>
                <w:lang w:eastAsia="zh-CN"/>
              </w:rPr>
              <w:t>新建项目，</w:t>
            </w:r>
            <w:r>
              <w:rPr>
                <w:rFonts w:hint="eastAsia"/>
                <w:lang w:val="en-US" w:eastAsia="zh-CN"/>
              </w:rPr>
              <w:t>租赁</w:t>
            </w:r>
            <w:r>
              <w:rPr>
                <w:rFonts w:hint="eastAsia"/>
                <w:lang w:eastAsia="zh-CN"/>
              </w:rPr>
              <w:t>已建厂房进行生产，不涉及项目有关的原有环境污染问题。</w:t>
            </w:r>
          </w:p>
        </w:tc>
      </w:tr>
    </w:tbl>
    <w:p w14:paraId="41EC79EB">
      <w:pPr>
        <w:rPr>
          <w:rFonts w:hint="default" w:ascii="Times New Roman" w:hAnsi="Times New Roman" w:eastAsia="黑体" w:cs="Times New Roman"/>
          <w:snapToGrid w:val="0"/>
          <w:color w:val="auto"/>
          <w:sz w:val="30"/>
          <w:szCs w:val="30"/>
          <w:u w:val="none"/>
        </w:rPr>
      </w:pPr>
      <w:bookmarkStart w:id="37" w:name="_Toc7756"/>
      <w:r>
        <w:rPr>
          <w:rFonts w:hint="default" w:ascii="Times New Roman" w:hAnsi="Times New Roman" w:eastAsia="黑体" w:cs="Times New Roman"/>
          <w:snapToGrid w:val="0"/>
          <w:color w:val="auto"/>
          <w:sz w:val="30"/>
          <w:szCs w:val="30"/>
          <w:u w:val="none"/>
        </w:rPr>
        <w:br w:type="page"/>
      </w:r>
    </w:p>
    <w:p w14:paraId="7087889C">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38" w:name="_Toc440"/>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37"/>
      <w:bookmarkEnd w:id="38"/>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837"/>
      </w:tblGrid>
      <w:tr w14:paraId="5DD2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456" w:type="dxa"/>
            <w:vAlign w:val="center"/>
          </w:tcPr>
          <w:p w14:paraId="48F4A81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区域</w:t>
            </w:r>
          </w:p>
          <w:p w14:paraId="0CAC310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环境</w:t>
            </w:r>
          </w:p>
          <w:p w14:paraId="063A327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质量</w:t>
            </w:r>
          </w:p>
          <w:p w14:paraId="5C0F66BD">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ascii="Times New Roman" w:hAnsi="Times New Roman" w:eastAsia="宋体" w:cs="Times New Roman"/>
                <w:bCs/>
                <w:kern w:val="2"/>
                <w:sz w:val="24"/>
                <w:szCs w:val="24"/>
              </w:rPr>
              <w:t>现状</w:t>
            </w:r>
          </w:p>
        </w:tc>
        <w:tc>
          <w:tcPr>
            <w:tcW w:w="8749" w:type="dxa"/>
          </w:tcPr>
          <w:p w14:paraId="1CE73503">
            <w:pPr>
              <w:keepNext/>
              <w:keepLines/>
              <w:widowControl w:val="0"/>
              <w:numPr>
                <w:ilvl w:val="0"/>
                <w:numId w:val="0"/>
              </w:numPr>
              <w:tabs>
                <w:tab w:val="left" w:pos="420"/>
              </w:tabs>
              <w:bidi w:val="0"/>
              <w:spacing w:before="120" w:after="120" w:line="360" w:lineRule="auto"/>
              <w:ind w:leftChars="0"/>
              <w:jc w:val="both"/>
              <w:outlineLvl w:val="1"/>
              <w:rPr>
                <w:rFonts w:ascii="Times New Roman" w:hAnsi="Times New Roman" w:eastAsia="宋体" w:cs="Times New Roman"/>
                <w:b/>
                <w:bCs/>
                <w:color w:val="auto"/>
                <w:kern w:val="2"/>
                <w:sz w:val="28"/>
                <w:szCs w:val="32"/>
                <w:highlight w:val="none"/>
                <w:lang w:val="en-US" w:eastAsia="zh-CN" w:bidi="ar-SA"/>
              </w:rPr>
            </w:pPr>
            <w:bookmarkStart w:id="39" w:name="_Toc12042"/>
            <w:bookmarkStart w:id="40" w:name="_Toc26710"/>
            <w:r>
              <w:rPr>
                <w:rFonts w:hint="eastAsia" w:ascii="Times New Roman" w:hAnsi="Times New Roman" w:eastAsia="宋体" w:cs="Times New Roman"/>
                <w:b/>
                <w:bCs/>
                <w:color w:val="auto"/>
                <w:kern w:val="2"/>
                <w:sz w:val="28"/>
                <w:szCs w:val="32"/>
                <w:highlight w:val="none"/>
                <w:lang w:val="en-US" w:eastAsia="zh-CN" w:bidi="ar-SA"/>
              </w:rPr>
              <w:t>3.1区域环境质量现状</w:t>
            </w:r>
            <w:bookmarkEnd w:id="39"/>
          </w:p>
          <w:p w14:paraId="6DC6F1AD">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.1.1</w:t>
            </w:r>
            <w:r>
              <w:rPr>
                <w:rFonts w:hint="eastAsia" w:ascii="Times New Roman" w:hAnsi="Times New Roman" w:eastAsia="宋体" w:cs="Times New Roman"/>
                <w:b/>
                <w:bCs/>
                <w:color w:val="auto"/>
                <w:kern w:val="2"/>
                <w:sz w:val="24"/>
                <w:szCs w:val="32"/>
                <w:highlight w:val="none"/>
                <w:lang w:val="en-US" w:eastAsia="zh-CN" w:bidi="ar-SA"/>
              </w:rPr>
              <w:t>地表水环境质量现状</w:t>
            </w:r>
          </w:p>
          <w:p w14:paraId="6661A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1</w:t>
            </w:r>
            <w:r>
              <w:rPr>
                <w:rFonts w:hint="eastAsia" w:ascii="Times New Roman" w:hAnsi="Times New Roman" w:eastAsia="宋体" w:cs="Times New Roman"/>
                <w:color w:val="auto"/>
                <w:kern w:val="2"/>
                <w:sz w:val="24"/>
                <w:szCs w:val="20"/>
                <w:highlight w:val="none"/>
                <w:lang w:val="en-US" w:eastAsia="zh-CN" w:bidi="ar-SA"/>
              </w:rPr>
              <w:t>）地表水功能区划</w:t>
            </w:r>
          </w:p>
          <w:p w14:paraId="750C7C98">
            <w:pPr>
              <w:pStyle w:val="34"/>
              <w:spacing w:before="1" w:line="432" w:lineRule="auto"/>
              <w:ind w:left="89" w:right="83" w:firstLine="479"/>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w:t>
            </w:r>
            <w:r>
              <w:rPr>
                <w:rFonts w:hint="eastAsia" w:cs="Times New Roman"/>
                <w:color w:val="auto"/>
                <w:sz w:val="24"/>
                <w:szCs w:val="24"/>
                <w:highlight w:val="none"/>
                <w:lang w:val="en-US" w:eastAsia="zh-CN"/>
              </w:rPr>
              <w:t>不产生生产废水</w:t>
            </w:r>
            <w:r>
              <w:rPr>
                <w:rFonts w:hint="eastAsia"/>
                <w:spacing w:val="-5"/>
                <w:lang w:eastAsia="zh-CN"/>
              </w:rPr>
              <w:t>；</w:t>
            </w:r>
            <w:r>
              <w:rPr>
                <w:rFonts w:hint="default" w:ascii="Times New Roman" w:hAnsi="Times New Roman" w:eastAsia="宋体" w:cs="Times New Roman"/>
                <w:color w:val="auto"/>
                <w:sz w:val="24"/>
                <w:szCs w:val="24"/>
                <w:highlight w:val="none"/>
                <w:lang w:eastAsia="zh-CN"/>
              </w:rPr>
              <w:t>生活</w:t>
            </w:r>
            <w:r>
              <w:rPr>
                <w:rFonts w:hint="eastAsia" w:cs="Times New Roman"/>
                <w:color w:val="auto"/>
                <w:sz w:val="24"/>
                <w:szCs w:val="24"/>
                <w:highlight w:val="none"/>
                <w:lang w:eastAsia="zh-CN"/>
              </w:rPr>
              <w:t>污水经化粪池</w:t>
            </w:r>
            <w:r>
              <w:rPr>
                <w:rFonts w:hint="default" w:ascii="Times New Roman" w:hAnsi="Times New Roman" w:eastAsia="宋体" w:cs="Times New Roman"/>
                <w:color w:val="auto"/>
                <w:sz w:val="24"/>
                <w:szCs w:val="24"/>
                <w:highlight w:val="none"/>
                <w:lang w:eastAsia="zh-CN"/>
              </w:rPr>
              <w:t>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断面；根据福州市水功能区划批复（榕政综</w:t>
            </w:r>
            <w:r>
              <w:rPr>
                <w:rFonts w:hint="default" w:ascii="Times New Roman" w:hAnsi="Times New Roman" w:cs="Times New Roman"/>
                <w:color w:val="auto"/>
                <w:sz w:val="24"/>
                <w:highlight w:val="none"/>
                <w:lang w:eastAsia="zh-CN"/>
              </w:rPr>
              <w:t>〔2019〕316号</w:t>
            </w:r>
            <w:r>
              <w:rPr>
                <w:rFonts w:hint="default" w:ascii="Times New Roman" w:hAnsi="Times New Roman" w:cs="Times New Roman"/>
                <w:color w:val="auto"/>
                <w:sz w:val="24"/>
                <w:highlight w:val="none"/>
              </w:rPr>
              <w:t>）批准的《福州市水功能区划》，该断面水体主要功能为农业、工业、景观用水，环境功能类别为Ⅴ类，水质执行《地表水环境质量标准》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中Ⅴ类水质标准</w:t>
            </w:r>
            <w:r>
              <w:rPr>
                <w:rFonts w:hint="default" w:ascii="Times New Roman" w:hAnsi="Times New Roman" w:cs="Times New Roman"/>
                <w:color w:val="auto"/>
                <w:sz w:val="24"/>
                <w:highlight w:val="none"/>
                <w:lang w:eastAsia="zh-CN"/>
              </w:rPr>
              <w:t>，</w:t>
            </w:r>
            <w:r>
              <w:rPr>
                <w:rFonts w:hint="eastAsia" w:ascii="Times New Roman" w:hAnsi="Times New Roman" w:eastAsia="宋体" w:cs="Times New Roman"/>
                <w:color w:val="auto"/>
                <w:kern w:val="2"/>
                <w:sz w:val="24"/>
                <w:szCs w:val="20"/>
                <w:highlight w:val="none"/>
                <w:lang w:val="en-US" w:eastAsia="zh-CN" w:bidi="ar-SA"/>
              </w:rPr>
              <w:t>具体详见表3.1-1。</w:t>
            </w:r>
          </w:p>
          <w:p w14:paraId="78C5DA56">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bookmarkStart w:id="41" w:name="_Ref6142"/>
            <w:r>
              <w:rPr>
                <w:rFonts w:hint="eastAsia" w:ascii="Times New Roman" w:hAnsi="Times New Roman" w:eastAsia="宋体" w:cs="宋体"/>
                <w:b/>
                <w:bCs/>
                <w:color w:val="auto"/>
                <w:kern w:val="2"/>
                <w:sz w:val="24"/>
                <w:szCs w:val="21"/>
                <w:lang w:val="en-US" w:eastAsia="zh-CN" w:bidi="ar-SA"/>
              </w:rPr>
              <w:t>表3.1-1</w:t>
            </w:r>
            <w:r>
              <w:rPr>
                <w:rFonts w:hint="eastAsia" w:ascii="Times New Roman" w:hAnsi="Times New Roman" w:eastAsia="宋体" w:cs="Times New Roman"/>
                <w:b/>
                <w:bCs/>
                <w:color w:val="auto"/>
                <w:kern w:val="2"/>
                <w:sz w:val="24"/>
                <w:szCs w:val="21"/>
                <w:highlight w:val="none"/>
                <w:lang w:val="en-US" w:eastAsia="zh-CN" w:bidi="ar-SA"/>
              </w:rPr>
              <w:t xml:space="preserve"> </w:t>
            </w:r>
            <w:bookmarkEnd w:id="41"/>
            <w:r>
              <w:rPr>
                <w:rFonts w:hint="eastAsia" w:ascii="Times New Roman" w:hAnsi="Times New Roman" w:eastAsia="宋体" w:cs="Times New Roman"/>
                <w:b/>
                <w:bCs/>
                <w:color w:val="auto"/>
                <w:kern w:val="2"/>
                <w:sz w:val="24"/>
                <w:szCs w:val="21"/>
                <w:highlight w:val="none"/>
                <w:lang w:val="en-US" w:eastAsia="zh-CN" w:bidi="ar-SA"/>
              </w:rPr>
              <w:t>地表水环境质量标准（摘录） 单位：mg/L（除pH外）</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39"/>
              <w:gridCol w:w="2900"/>
              <w:gridCol w:w="1236"/>
              <w:gridCol w:w="1200"/>
              <w:gridCol w:w="1167"/>
              <w:gridCol w:w="1176"/>
            </w:tblGrid>
            <w:tr w14:paraId="0B399E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bottom w:val="single" w:color="000000" w:sz="12" w:space="0"/>
                  </w:tcBorders>
                  <w:vAlign w:val="center"/>
                </w:tcPr>
                <w:p w14:paraId="365AF6A2">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8"/>
                      <w:kern w:val="2"/>
                      <w:sz w:val="21"/>
                      <w:szCs w:val="24"/>
                      <w:lang w:val="zh-CN" w:eastAsia="zh-CN" w:bidi="zh-CN"/>
                    </w:rPr>
                    <w:t>序号</w:t>
                  </w:r>
                </w:p>
              </w:tc>
              <w:tc>
                <w:tcPr>
                  <w:tcW w:w="1682" w:type="pct"/>
                  <w:tcBorders>
                    <w:bottom w:val="single" w:color="000000" w:sz="12" w:space="0"/>
                  </w:tcBorders>
                  <w:vAlign w:val="center"/>
                </w:tcPr>
                <w:p w14:paraId="639D60DE">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8"/>
                      <w:kern w:val="2"/>
                      <w:sz w:val="21"/>
                      <w:szCs w:val="24"/>
                      <w:lang w:val="zh-CN" w:eastAsia="zh-CN" w:bidi="zh-CN"/>
                    </w:rPr>
                    <w:t>项目</w:t>
                  </w:r>
                </w:p>
              </w:tc>
              <w:tc>
                <w:tcPr>
                  <w:tcW w:w="717" w:type="pct"/>
                  <w:tcBorders>
                    <w:bottom w:val="single" w:color="000000" w:sz="12" w:space="0"/>
                  </w:tcBorders>
                  <w:vAlign w:val="center"/>
                </w:tcPr>
                <w:p w14:paraId="742301CB">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6"/>
                      <w:kern w:val="2"/>
                      <w:sz w:val="21"/>
                      <w:szCs w:val="24"/>
                      <w:lang w:val="zh-CN" w:eastAsia="zh-CN" w:bidi="zh-CN"/>
                    </w:rPr>
                    <w:t>Ⅱ类</w:t>
                  </w:r>
                </w:p>
              </w:tc>
              <w:tc>
                <w:tcPr>
                  <w:tcW w:w="696" w:type="pct"/>
                  <w:tcBorders>
                    <w:bottom w:val="single" w:color="000000" w:sz="12" w:space="0"/>
                  </w:tcBorders>
                  <w:shd w:val="clear" w:color="auto" w:fill="auto"/>
                  <w:vAlign w:val="center"/>
                </w:tcPr>
                <w:p w14:paraId="1654142D">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8"/>
                      <w:kern w:val="2"/>
                      <w:sz w:val="21"/>
                      <w:szCs w:val="24"/>
                      <w:lang w:val="zh-CN" w:eastAsia="zh-CN" w:bidi="zh-CN"/>
                    </w:rPr>
                    <w:t>Ⅲ类</w:t>
                  </w:r>
                </w:p>
              </w:tc>
              <w:tc>
                <w:tcPr>
                  <w:tcW w:w="677" w:type="pct"/>
                  <w:tcBorders>
                    <w:bottom w:val="single" w:color="000000" w:sz="12" w:space="0"/>
                  </w:tcBorders>
                  <w:vAlign w:val="center"/>
                </w:tcPr>
                <w:p w14:paraId="24F89C2E">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6"/>
                      <w:kern w:val="2"/>
                      <w:sz w:val="21"/>
                      <w:szCs w:val="24"/>
                      <w:lang w:val="zh-CN" w:eastAsia="zh-CN" w:bidi="zh-CN"/>
                    </w:rPr>
                    <w:t>Ⅳ类</w:t>
                  </w:r>
                </w:p>
              </w:tc>
              <w:tc>
                <w:tcPr>
                  <w:tcW w:w="680" w:type="pct"/>
                  <w:tcBorders>
                    <w:bottom w:val="single" w:color="000000" w:sz="12" w:space="0"/>
                  </w:tcBorders>
                  <w:shd w:val="clear" w:color="auto" w:fill="BEBEBE"/>
                  <w:vAlign w:val="center"/>
                </w:tcPr>
                <w:p w14:paraId="10E4B8B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6"/>
                      <w:kern w:val="2"/>
                      <w:sz w:val="21"/>
                      <w:szCs w:val="24"/>
                      <w:lang w:val="zh-CN" w:eastAsia="zh-CN" w:bidi="zh-CN"/>
                    </w:rPr>
                    <w:t>Ⅴ类</w:t>
                  </w:r>
                </w:p>
              </w:tc>
            </w:tr>
            <w:tr w14:paraId="3BA53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op w:val="single" w:color="000000" w:sz="12" w:space="0"/>
                    <w:tl2br w:val="nil"/>
                    <w:tr2bl w:val="nil"/>
                  </w:tcBorders>
                  <w:vAlign w:val="center"/>
                </w:tcPr>
                <w:p w14:paraId="52CE0C30">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1</w:t>
                  </w:r>
                </w:p>
              </w:tc>
              <w:tc>
                <w:tcPr>
                  <w:tcW w:w="1682" w:type="pct"/>
                  <w:tcBorders>
                    <w:top w:val="single" w:color="000000" w:sz="12" w:space="0"/>
                    <w:tl2br w:val="nil"/>
                    <w:tr2bl w:val="nil"/>
                  </w:tcBorders>
                  <w:vAlign w:val="center"/>
                </w:tcPr>
                <w:p w14:paraId="459BD96F">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Times New Roman" w:cs="宋体"/>
                      <w:color w:val="auto"/>
                      <w:kern w:val="2"/>
                      <w:sz w:val="21"/>
                      <w:szCs w:val="24"/>
                      <w:lang w:val="zh-CN" w:eastAsia="zh-CN" w:bidi="zh-CN"/>
                    </w:rPr>
                  </w:pPr>
                  <w:r>
                    <w:rPr>
                      <w:rFonts w:ascii="Times New Roman" w:hAnsi="宋体" w:eastAsia="Times New Roman" w:cs="宋体"/>
                      <w:color w:val="auto"/>
                      <w:spacing w:val="-2"/>
                      <w:kern w:val="2"/>
                      <w:sz w:val="21"/>
                      <w:szCs w:val="24"/>
                      <w:lang w:val="zh-CN" w:eastAsia="zh-CN" w:bidi="zh-CN"/>
                    </w:rPr>
                    <w:t>pH</w:t>
                  </w:r>
                  <w:r>
                    <w:rPr>
                      <w:rFonts w:hint="eastAsia" w:hAnsi="宋体" w:eastAsia="Times New Roman" w:cs="宋体"/>
                      <w:color w:val="auto"/>
                      <w:spacing w:val="-2"/>
                      <w:kern w:val="2"/>
                      <w:sz w:val="21"/>
                      <w:szCs w:val="24"/>
                      <w:lang w:val="zh-CN" w:eastAsia="zh-CN" w:bidi="zh-CN"/>
                    </w:rPr>
                    <w:t>（</w:t>
                  </w:r>
                  <w:r>
                    <w:rPr>
                      <w:rFonts w:ascii="宋体" w:hAnsi="宋体" w:eastAsia="宋体" w:cs="宋体"/>
                      <w:color w:val="auto"/>
                      <w:spacing w:val="-2"/>
                      <w:kern w:val="2"/>
                      <w:sz w:val="21"/>
                      <w:szCs w:val="24"/>
                      <w:lang w:val="zh-CN" w:eastAsia="zh-CN" w:bidi="zh-CN"/>
                    </w:rPr>
                    <w:t>无量纲</w:t>
                  </w:r>
                  <w:r>
                    <w:rPr>
                      <w:rFonts w:hint="eastAsia" w:ascii="宋体" w:hAnsi="宋体" w:cs="宋体"/>
                      <w:color w:val="auto"/>
                      <w:spacing w:val="-2"/>
                      <w:kern w:val="2"/>
                      <w:sz w:val="21"/>
                      <w:szCs w:val="24"/>
                      <w:lang w:val="zh-CN" w:eastAsia="zh-CN" w:bidi="zh-CN"/>
                    </w:rPr>
                    <w:t>）</w:t>
                  </w:r>
                </w:p>
              </w:tc>
              <w:tc>
                <w:tcPr>
                  <w:tcW w:w="2772" w:type="pct"/>
                  <w:gridSpan w:val="4"/>
                  <w:tcBorders>
                    <w:top w:val="single" w:color="000000" w:sz="12" w:space="0"/>
                    <w:tl2br w:val="nil"/>
                    <w:tr2bl w:val="nil"/>
                  </w:tcBorders>
                  <w:shd w:val="clear" w:color="auto" w:fill="BEBEBE"/>
                  <w:vAlign w:val="center"/>
                </w:tcPr>
                <w:p w14:paraId="2A106D1E">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Times New Roman" w:cs="宋体"/>
                      <w:color w:val="auto"/>
                      <w:kern w:val="2"/>
                      <w:sz w:val="21"/>
                      <w:szCs w:val="24"/>
                      <w:lang w:val="zh-CN" w:eastAsia="zh-CN" w:bidi="zh-CN"/>
                    </w:rPr>
                  </w:pPr>
                  <w:r>
                    <w:rPr>
                      <w:rFonts w:ascii="Times New Roman" w:hAnsi="宋体" w:eastAsia="Times New Roman" w:cs="宋体"/>
                      <w:color w:val="auto"/>
                      <w:spacing w:val="-5"/>
                      <w:kern w:val="2"/>
                      <w:sz w:val="21"/>
                      <w:szCs w:val="24"/>
                      <w:lang w:val="zh-CN" w:eastAsia="zh-CN" w:bidi="zh-CN"/>
                    </w:rPr>
                    <w:t>6</w:t>
                  </w:r>
                  <w:r>
                    <w:rPr>
                      <w:rFonts w:hint="eastAsia" w:hAnsi="宋体" w:eastAsia="Times New Roman" w:cs="宋体"/>
                      <w:color w:val="auto"/>
                      <w:spacing w:val="-5"/>
                      <w:kern w:val="2"/>
                      <w:sz w:val="21"/>
                      <w:szCs w:val="24"/>
                      <w:lang w:val="zh-CN" w:eastAsia="zh-CN" w:bidi="zh-CN"/>
                    </w:rPr>
                    <w:t>~</w:t>
                  </w:r>
                  <w:r>
                    <w:rPr>
                      <w:rFonts w:ascii="Times New Roman" w:hAnsi="宋体" w:eastAsia="Times New Roman" w:cs="宋体"/>
                      <w:color w:val="auto"/>
                      <w:spacing w:val="-5"/>
                      <w:kern w:val="2"/>
                      <w:sz w:val="21"/>
                      <w:szCs w:val="24"/>
                      <w:lang w:val="zh-CN" w:eastAsia="zh-CN" w:bidi="zh-CN"/>
                    </w:rPr>
                    <w:t>9</w:t>
                  </w:r>
                </w:p>
              </w:tc>
            </w:tr>
            <w:tr w14:paraId="5A35C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31B9254B">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2</w:t>
                  </w:r>
                </w:p>
              </w:tc>
              <w:tc>
                <w:tcPr>
                  <w:tcW w:w="1682" w:type="pct"/>
                  <w:tcBorders>
                    <w:tl2br w:val="nil"/>
                    <w:tr2bl w:val="nil"/>
                  </w:tcBorders>
                  <w:vAlign w:val="center"/>
                </w:tcPr>
                <w:p w14:paraId="6F8FCD2A">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Times New Roman" w:cs="宋体"/>
                      <w:color w:val="auto"/>
                      <w:kern w:val="2"/>
                      <w:sz w:val="21"/>
                      <w:szCs w:val="24"/>
                      <w:lang w:val="zh-CN" w:eastAsia="zh-CN" w:bidi="zh-CN"/>
                    </w:rPr>
                  </w:pPr>
                  <w:r>
                    <w:rPr>
                      <w:rFonts w:ascii="宋体" w:hAnsi="宋体" w:eastAsia="宋体" w:cs="宋体"/>
                      <w:color w:val="auto"/>
                      <w:kern w:val="2"/>
                      <w:sz w:val="21"/>
                      <w:szCs w:val="24"/>
                      <w:lang w:val="zh-CN" w:eastAsia="zh-CN" w:bidi="zh-CN"/>
                    </w:rPr>
                    <w:t>溶解氧</w:t>
                  </w:r>
                  <w:r>
                    <w:rPr>
                      <w:rFonts w:hint="eastAsia" w:ascii="宋体" w:hAnsi="宋体" w:cs="宋体"/>
                      <w:color w:val="auto"/>
                      <w:kern w:val="2"/>
                      <w:sz w:val="21"/>
                      <w:szCs w:val="24"/>
                      <w:lang w:val="zh-CN" w:eastAsia="zh-CN" w:bidi="zh-CN"/>
                    </w:rPr>
                    <w:t>（</w:t>
                  </w:r>
                  <w:r>
                    <w:rPr>
                      <w:rFonts w:ascii="Times New Roman" w:hAnsi="Times New Roman" w:eastAsia="Times New Roman" w:cs="宋体"/>
                      <w:color w:val="auto"/>
                      <w:kern w:val="2"/>
                      <w:sz w:val="21"/>
                      <w:szCs w:val="24"/>
                      <w:lang w:val="zh-CN" w:eastAsia="zh-CN" w:bidi="zh-CN"/>
                    </w:rPr>
                    <w:t>DO</w:t>
                  </w:r>
                  <w:r>
                    <w:rPr>
                      <w:rFonts w:hint="eastAsia" w:eastAsia="Times New Roman" w:cs="宋体"/>
                      <w:color w:val="auto"/>
                      <w:kern w:val="2"/>
                      <w:sz w:val="21"/>
                      <w:szCs w:val="24"/>
                      <w:lang w:val="zh-CN" w:eastAsia="zh-CN" w:bidi="zh-CN"/>
                    </w:rPr>
                    <w:t>）</w:t>
                  </w:r>
                  <w:r>
                    <w:rPr>
                      <w:rFonts w:ascii="Times New Roman" w:hAnsi="Times New Roman" w:eastAsia="Times New Roman" w:cs="宋体"/>
                      <w:color w:val="auto"/>
                      <w:spacing w:val="-9"/>
                      <w:kern w:val="2"/>
                      <w:sz w:val="21"/>
                      <w:szCs w:val="24"/>
                      <w:lang w:val="zh-CN" w:eastAsia="zh-CN" w:bidi="zh-CN"/>
                    </w:rPr>
                    <w:t xml:space="preserve"> ≥</w:t>
                  </w:r>
                </w:p>
              </w:tc>
              <w:tc>
                <w:tcPr>
                  <w:tcW w:w="717" w:type="pct"/>
                  <w:tcBorders>
                    <w:tl2br w:val="nil"/>
                    <w:tr2bl w:val="nil"/>
                  </w:tcBorders>
                  <w:vAlign w:val="center"/>
                </w:tcPr>
                <w:p w14:paraId="17E963C8">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96" w:type="pct"/>
                  <w:tcBorders>
                    <w:tl2br w:val="nil"/>
                    <w:tr2bl w:val="nil"/>
                  </w:tcBorders>
                  <w:shd w:val="clear" w:color="auto" w:fill="auto"/>
                  <w:vAlign w:val="center"/>
                </w:tcPr>
                <w:p w14:paraId="5087F246">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5</w:t>
                  </w:r>
                </w:p>
              </w:tc>
              <w:tc>
                <w:tcPr>
                  <w:tcW w:w="677" w:type="pct"/>
                  <w:tcBorders>
                    <w:tl2br w:val="nil"/>
                    <w:tr2bl w:val="nil"/>
                  </w:tcBorders>
                  <w:vAlign w:val="center"/>
                </w:tcPr>
                <w:p w14:paraId="5986B278">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680" w:type="pct"/>
                  <w:tcBorders>
                    <w:tl2br w:val="nil"/>
                    <w:tr2bl w:val="nil"/>
                  </w:tcBorders>
                  <w:shd w:val="clear" w:color="auto" w:fill="BEBEBE"/>
                  <w:vAlign w:val="center"/>
                </w:tcPr>
                <w:p w14:paraId="04C9A75A">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2</w:t>
                  </w:r>
                </w:p>
              </w:tc>
            </w:tr>
            <w:tr w14:paraId="2C5690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45D72915">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1682" w:type="pct"/>
                  <w:tcBorders>
                    <w:tl2br w:val="nil"/>
                    <w:tr2bl w:val="nil"/>
                  </w:tcBorders>
                  <w:vAlign w:val="center"/>
                </w:tcPr>
                <w:p w14:paraId="07690E6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position w:val="2"/>
                      <w:sz w:val="21"/>
                      <w:szCs w:val="24"/>
                      <w:lang w:val="zh-CN" w:eastAsia="zh-CN" w:bidi="zh-CN"/>
                    </w:rPr>
                  </w:pPr>
                  <w:r>
                    <w:rPr>
                      <w:rFonts w:ascii="Times New Roman" w:hAnsi="Times New Roman" w:eastAsia="宋体" w:cs="宋体"/>
                      <w:color w:val="auto"/>
                      <w:spacing w:val="-2"/>
                      <w:kern w:val="2"/>
                      <w:position w:val="2"/>
                      <w:sz w:val="21"/>
                      <w:szCs w:val="24"/>
                      <w:lang w:val="zh-CN" w:eastAsia="zh-CN" w:bidi="zh-CN"/>
                    </w:rPr>
                    <w:t>COD</w:t>
                  </w:r>
                  <w:r>
                    <w:rPr>
                      <w:rFonts w:ascii="Times New Roman" w:hAnsi="Times New Roman" w:eastAsia="宋体" w:cs="宋体"/>
                      <w:color w:val="auto"/>
                      <w:spacing w:val="-2"/>
                      <w:kern w:val="2"/>
                      <w:sz w:val="13"/>
                      <w:szCs w:val="24"/>
                      <w:lang w:val="zh-CN" w:eastAsia="zh-CN" w:bidi="zh-CN"/>
                    </w:rPr>
                    <w:t>Mn</w:t>
                  </w:r>
                  <w:r>
                    <w:rPr>
                      <w:rFonts w:ascii="Times New Roman" w:hAnsi="Times New Roman" w:eastAsia="宋体" w:cs="宋体"/>
                      <w:color w:val="auto"/>
                      <w:spacing w:val="-2"/>
                      <w:kern w:val="2"/>
                      <w:position w:val="2"/>
                      <w:sz w:val="21"/>
                      <w:szCs w:val="24"/>
                      <w:lang w:val="zh-CN" w:eastAsia="zh-CN" w:bidi="zh-CN"/>
                    </w:rPr>
                    <w:t>≤</w:t>
                  </w:r>
                </w:p>
              </w:tc>
              <w:tc>
                <w:tcPr>
                  <w:tcW w:w="717" w:type="pct"/>
                  <w:tcBorders>
                    <w:tl2br w:val="nil"/>
                    <w:tr2bl w:val="nil"/>
                  </w:tcBorders>
                  <w:vAlign w:val="center"/>
                </w:tcPr>
                <w:p w14:paraId="51A777E6">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4</w:t>
                  </w:r>
                </w:p>
              </w:tc>
              <w:tc>
                <w:tcPr>
                  <w:tcW w:w="696" w:type="pct"/>
                  <w:tcBorders>
                    <w:tl2br w:val="nil"/>
                    <w:tr2bl w:val="nil"/>
                  </w:tcBorders>
                  <w:shd w:val="clear" w:color="auto" w:fill="auto"/>
                  <w:vAlign w:val="center"/>
                </w:tcPr>
                <w:p w14:paraId="22129BB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77" w:type="pct"/>
                  <w:tcBorders>
                    <w:tl2br w:val="nil"/>
                    <w:tr2bl w:val="nil"/>
                  </w:tcBorders>
                  <w:vAlign w:val="center"/>
                </w:tcPr>
                <w:p w14:paraId="0882BC3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10</w:t>
                  </w:r>
                </w:p>
              </w:tc>
              <w:tc>
                <w:tcPr>
                  <w:tcW w:w="680" w:type="pct"/>
                  <w:tcBorders>
                    <w:tl2br w:val="nil"/>
                    <w:tr2bl w:val="nil"/>
                  </w:tcBorders>
                  <w:shd w:val="clear" w:color="auto" w:fill="BEBEBE"/>
                  <w:vAlign w:val="center"/>
                </w:tcPr>
                <w:p w14:paraId="44F4F458">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15</w:t>
                  </w:r>
                </w:p>
              </w:tc>
            </w:tr>
            <w:tr w14:paraId="356BF0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570C808D">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4</w:t>
                  </w:r>
                </w:p>
              </w:tc>
              <w:tc>
                <w:tcPr>
                  <w:tcW w:w="1682" w:type="pct"/>
                  <w:tcBorders>
                    <w:tl2br w:val="nil"/>
                    <w:tr2bl w:val="nil"/>
                  </w:tcBorders>
                  <w:vAlign w:val="center"/>
                </w:tcPr>
                <w:p w14:paraId="1929236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5"/>
                      <w:kern w:val="2"/>
                      <w:sz w:val="21"/>
                      <w:szCs w:val="24"/>
                      <w:lang w:val="zh-CN" w:eastAsia="zh-CN" w:bidi="zh-CN"/>
                    </w:rPr>
                    <w:t>DO≤</w:t>
                  </w:r>
                </w:p>
              </w:tc>
              <w:tc>
                <w:tcPr>
                  <w:tcW w:w="717" w:type="pct"/>
                  <w:tcBorders>
                    <w:tl2br w:val="nil"/>
                    <w:tr2bl w:val="nil"/>
                  </w:tcBorders>
                  <w:vAlign w:val="center"/>
                </w:tcPr>
                <w:p w14:paraId="22BE0977">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96" w:type="pct"/>
                  <w:tcBorders>
                    <w:tl2br w:val="nil"/>
                    <w:tr2bl w:val="nil"/>
                  </w:tcBorders>
                  <w:shd w:val="clear" w:color="auto" w:fill="auto"/>
                  <w:vAlign w:val="center"/>
                </w:tcPr>
                <w:p w14:paraId="584040BD">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5</w:t>
                  </w:r>
                </w:p>
              </w:tc>
              <w:tc>
                <w:tcPr>
                  <w:tcW w:w="677" w:type="pct"/>
                  <w:tcBorders>
                    <w:tl2br w:val="nil"/>
                    <w:tr2bl w:val="nil"/>
                  </w:tcBorders>
                  <w:vAlign w:val="center"/>
                </w:tcPr>
                <w:p w14:paraId="3EC0F11F">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680" w:type="pct"/>
                  <w:tcBorders>
                    <w:tl2br w:val="nil"/>
                    <w:tr2bl w:val="nil"/>
                  </w:tcBorders>
                  <w:shd w:val="clear" w:color="auto" w:fill="BEBEBE"/>
                  <w:vAlign w:val="center"/>
                </w:tcPr>
                <w:p w14:paraId="50FA70F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2</w:t>
                  </w:r>
                </w:p>
              </w:tc>
            </w:tr>
            <w:tr w14:paraId="74D0A7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45" w:type="pct"/>
                  <w:tcBorders>
                    <w:tl2br w:val="nil"/>
                    <w:tr2bl w:val="nil"/>
                  </w:tcBorders>
                  <w:vAlign w:val="center"/>
                </w:tcPr>
                <w:p w14:paraId="309EB323">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5</w:t>
                  </w:r>
                </w:p>
              </w:tc>
              <w:tc>
                <w:tcPr>
                  <w:tcW w:w="1682" w:type="pct"/>
                  <w:tcBorders>
                    <w:tl2br w:val="nil"/>
                    <w:tr2bl w:val="nil"/>
                  </w:tcBorders>
                  <w:vAlign w:val="center"/>
                </w:tcPr>
                <w:p w14:paraId="59E5294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position w:val="2"/>
                      <w:sz w:val="21"/>
                      <w:szCs w:val="24"/>
                      <w:lang w:val="zh-CN" w:eastAsia="zh-CN" w:bidi="zh-CN"/>
                    </w:rPr>
                  </w:pPr>
                  <w:r>
                    <w:rPr>
                      <w:rFonts w:ascii="Times New Roman" w:hAnsi="Times New Roman" w:eastAsia="宋体" w:cs="宋体"/>
                      <w:color w:val="auto"/>
                      <w:spacing w:val="-2"/>
                      <w:kern w:val="2"/>
                      <w:position w:val="2"/>
                      <w:sz w:val="21"/>
                      <w:szCs w:val="24"/>
                      <w:lang w:val="zh-CN" w:eastAsia="zh-CN" w:bidi="zh-CN"/>
                    </w:rPr>
                    <w:t>NH</w:t>
                  </w:r>
                  <w:r>
                    <w:rPr>
                      <w:rFonts w:ascii="Times New Roman" w:hAnsi="Times New Roman" w:eastAsia="宋体" w:cs="宋体"/>
                      <w:color w:val="auto"/>
                      <w:spacing w:val="-2"/>
                      <w:kern w:val="2"/>
                      <w:sz w:val="13"/>
                      <w:szCs w:val="24"/>
                      <w:lang w:val="zh-CN" w:eastAsia="zh-CN" w:bidi="zh-CN"/>
                    </w:rPr>
                    <w:t>3</w:t>
                  </w:r>
                  <w:r>
                    <w:rPr>
                      <w:rFonts w:ascii="Times New Roman" w:hAnsi="Times New Roman" w:eastAsia="宋体" w:cs="宋体"/>
                      <w:color w:val="auto"/>
                      <w:spacing w:val="-2"/>
                      <w:kern w:val="2"/>
                      <w:position w:val="2"/>
                      <w:sz w:val="21"/>
                      <w:szCs w:val="24"/>
                      <w:lang w:val="zh-CN" w:eastAsia="zh-CN" w:bidi="zh-CN"/>
                    </w:rPr>
                    <w:t>-</w:t>
                  </w:r>
                  <w:r>
                    <w:rPr>
                      <w:rFonts w:ascii="Times New Roman" w:hAnsi="Times New Roman" w:eastAsia="宋体" w:cs="宋体"/>
                      <w:color w:val="auto"/>
                      <w:spacing w:val="-5"/>
                      <w:kern w:val="2"/>
                      <w:position w:val="2"/>
                      <w:sz w:val="21"/>
                      <w:szCs w:val="24"/>
                      <w:lang w:val="zh-CN" w:eastAsia="zh-CN" w:bidi="zh-CN"/>
                    </w:rPr>
                    <w:t>N≤</w:t>
                  </w:r>
                </w:p>
              </w:tc>
              <w:tc>
                <w:tcPr>
                  <w:tcW w:w="717" w:type="pct"/>
                  <w:tcBorders>
                    <w:tl2br w:val="nil"/>
                    <w:tr2bl w:val="nil"/>
                  </w:tcBorders>
                  <w:vAlign w:val="center"/>
                </w:tcPr>
                <w:p w14:paraId="13B47C12">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0.5</w:t>
                  </w:r>
                </w:p>
              </w:tc>
              <w:tc>
                <w:tcPr>
                  <w:tcW w:w="696" w:type="pct"/>
                  <w:tcBorders>
                    <w:tl2br w:val="nil"/>
                    <w:tr2bl w:val="nil"/>
                  </w:tcBorders>
                  <w:shd w:val="clear" w:color="auto" w:fill="auto"/>
                  <w:vAlign w:val="center"/>
                </w:tcPr>
                <w:p w14:paraId="1A47136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1.0</w:t>
                  </w:r>
                </w:p>
              </w:tc>
              <w:tc>
                <w:tcPr>
                  <w:tcW w:w="677" w:type="pct"/>
                  <w:tcBorders>
                    <w:tl2br w:val="nil"/>
                    <w:tr2bl w:val="nil"/>
                  </w:tcBorders>
                  <w:vAlign w:val="center"/>
                </w:tcPr>
                <w:p w14:paraId="5F8412A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1.5</w:t>
                  </w:r>
                </w:p>
              </w:tc>
              <w:tc>
                <w:tcPr>
                  <w:tcW w:w="680" w:type="pct"/>
                  <w:tcBorders>
                    <w:tl2br w:val="nil"/>
                    <w:tr2bl w:val="nil"/>
                  </w:tcBorders>
                  <w:shd w:val="clear" w:color="auto" w:fill="BEBEBE"/>
                  <w:vAlign w:val="center"/>
                </w:tcPr>
                <w:p w14:paraId="36FF1FB2">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2.0</w:t>
                  </w:r>
                </w:p>
              </w:tc>
            </w:tr>
            <w:tr w14:paraId="14456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45" w:type="pct"/>
                  <w:tcBorders>
                    <w:tl2br w:val="nil"/>
                    <w:tr2bl w:val="nil"/>
                  </w:tcBorders>
                  <w:vAlign w:val="center"/>
                </w:tcPr>
                <w:p w14:paraId="02573E6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1682" w:type="pct"/>
                  <w:tcBorders>
                    <w:tl2br w:val="nil"/>
                    <w:tr2bl w:val="nil"/>
                  </w:tcBorders>
                  <w:vAlign w:val="center"/>
                </w:tcPr>
                <w:p w14:paraId="66EFF1A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position w:val="2"/>
                      <w:sz w:val="21"/>
                      <w:szCs w:val="24"/>
                      <w:lang w:val="zh-CN" w:eastAsia="zh-CN" w:bidi="zh-CN"/>
                    </w:rPr>
                  </w:pPr>
                  <w:r>
                    <w:rPr>
                      <w:rFonts w:ascii="Times New Roman" w:hAnsi="Times New Roman" w:eastAsia="宋体" w:cs="宋体"/>
                      <w:color w:val="auto"/>
                      <w:spacing w:val="-2"/>
                      <w:kern w:val="2"/>
                      <w:position w:val="2"/>
                      <w:sz w:val="21"/>
                      <w:szCs w:val="24"/>
                      <w:lang w:val="zh-CN" w:eastAsia="zh-CN" w:bidi="zh-CN"/>
                    </w:rPr>
                    <w:t>BOD</w:t>
                  </w:r>
                  <w:r>
                    <w:rPr>
                      <w:rFonts w:ascii="Times New Roman" w:hAnsi="Times New Roman" w:eastAsia="宋体" w:cs="宋体"/>
                      <w:color w:val="auto"/>
                      <w:spacing w:val="-2"/>
                      <w:kern w:val="2"/>
                      <w:sz w:val="13"/>
                      <w:szCs w:val="24"/>
                      <w:lang w:val="zh-CN" w:eastAsia="zh-CN" w:bidi="zh-CN"/>
                    </w:rPr>
                    <w:t>5</w:t>
                  </w:r>
                  <w:r>
                    <w:rPr>
                      <w:rFonts w:ascii="Times New Roman" w:hAnsi="Times New Roman" w:eastAsia="宋体" w:cs="宋体"/>
                      <w:color w:val="auto"/>
                      <w:spacing w:val="-2"/>
                      <w:kern w:val="2"/>
                      <w:position w:val="2"/>
                      <w:sz w:val="21"/>
                      <w:szCs w:val="24"/>
                      <w:lang w:val="zh-CN" w:eastAsia="zh-CN" w:bidi="zh-CN"/>
                    </w:rPr>
                    <w:t>≤</w:t>
                  </w:r>
                </w:p>
              </w:tc>
              <w:tc>
                <w:tcPr>
                  <w:tcW w:w="717" w:type="pct"/>
                  <w:tcBorders>
                    <w:tl2br w:val="nil"/>
                    <w:tr2bl w:val="nil"/>
                  </w:tcBorders>
                  <w:vAlign w:val="center"/>
                </w:tcPr>
                <w:p w14:paraId="1CE1D0C5">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696" w:type="pct"/>
                  <w:tcBorders>
                    <w:tl2br w:val="nil"/>
                    <w:tr2bl w:val="nil"/>
                  </w:tcBorders>
                  <w:shd w:val="clear" w:color="auto" w:fill="auto"/>
                  <w:vAlign w:val="center"/>
                </w:tcPr>
                <w:p w14:paraId="556197EA">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4</w:t>
                  </w:r>
                </w:p>
              </w:tc>
              <w:tc>
                <w:tcPr>
                  <w:tcW w:w="677" w:type="pct"/>
                  <w:tcBorders>
                    <w:tl2br w:val="nil"/>
                    <w:tr2bl w:val="nil"/>
                  </w:tcBorders>
                  <w:vAlign w:val="center"/>
                </w:tcPr>
                <w:p w14:paraId="1608889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80" w:type="pct"/>
                  <w:tcBorders>
                    <w:tl2br w:val="nil"/>
                    <w:tr2bl w:val="nil"/>
                  </w:tcBorders>
                  <w:shd w:val="clear" w:color="auto" w:fill="BEBEBE"/>
                  <w:vAlign w:val="center"/>
                </w:tcPr>
                <w:p w14:paraId="55D377E0">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10</w:t>
                  </w:r>
                </w:p>
              </w:tc>
            </w:tr>
          </w:tbl>
          <w:p w14:paraId="6B227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2</w:t>
            </w:r>
            <w:r>
              <w:rPr>
                <w:rFonts w:hint="eastAsia" w:ascii="Times New Roman" w:hAnsi="Times New Roman" w:eastAsia="宋体" w:cs="Times New Roman"/>
                <w:color w:val="auto"/>
                <w:kern w:val="2"/>
                <w:sz w:val="24"/>
                <w:szCs w:val="20"/>
                <w:highlight w:val="none"/>
                <w:lang w:val="en-US" w:eastAsia="zh-CN" w:bidi="ar-SA"/>
              </w:rPr>
              <w:t>）地表水环境现状</w:t>
            </w:r>
          </w:p>
          <w:p w14:paraId="34ED0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①地表水水质现状调查</w:t>
            </w:r>
          </w:p>
          <w:p w14:paraId="25C80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①地表水水质现状调查</w:t>
            </w:r>
          </w:p>
          <w:p w14:paraId="13667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为了解项目地表水水质环境质量现状，根据福建省生态环境厅网站发布的福建省主要流域水环境质量状况（2025年），2025年1-12月，全省主要流域总体水质为优，国控断面Ⅰ～Ⅲ类水质比例100％,Ⅰ～Ⅱ类水质比例84.8％；国控及省控断面Ⅰ～Ⅲ类水质比例100％，其中Ⅰ～Ⅱ类水质比例83.5％，各类水质比例如下：Ⅰ类占4.5％，Ⅱ类占78.9％，Ⅲ类占16.5％，无Ⅳ类、Ⅴ类和劣Ⅴ类水（详见图3.1-1）。</w:t>
            </w:r>
          </w:p>
          <w:p w14:paraId="685DF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由此，可知龙江水质可达到《地表水环境质量标准》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GB3838-2002)V类水标准。</w:t>
            </w:r>
            <w:r>
              <w:drawing>
                <wp:inline distT="0" distB="0" distL="114300" distR="114300">
                  <wp:extent cx="5577840" cy="2901950"/>
                  <wp:effectExtent l="0" t="0" r="3810" b="12700"/>
                  <wp:docPr id="2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
                          <pic:cNvPicPr>
                            <a:picLocks noChangeAspect="1"/>
                          </pic:cNvPicPr>
                        </pic:nvPicPr>
                        <pic:blipFill>
                          <a:blip r:embed="rId10"/>
                          <a:stretch>
                            <a:fillRect/>
                          </a:stretch>
                        </pic:blipFill>
                        <pic:spPr>
                          <a:xfrm>
                            <a:off x="0" y="0"/>
                            <a:ext cx="5577840" cy="2901950"/>
                          </a:xfrm>
                          <a:prstGeom prst="rect">
                            <a:avLst/>
                          </a:prstGeom>
                          <a:noFill/>
                          <a:ln>
                            <a:noFill/>
                          </a:ln>
                        </pic:spPr>
                      </pic:pic>
                    </a:graphicData>
                  </a:graphic>
                </wp:inline>
              </w:drawing>
            </w:r>
          </w:p>
          <w:p w14:paraId="4B26C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图3.1-1 福建省流域水环境质量状况（202</w:t>
            </w:r>
            <w:r>
              <w:rPr>
                <w:rFonts w:hint="eastAsia" w:cs="Times New Roman"/>
                <w:b/>
                <w:bCs/>
                <w:color w:val="auto"/>
                <w:kern w:val="2"/>
                <w:sz w:val="24"/>
                <w:szCs w:val="20"/>
                <w:highlight w:val="none"/>
                <w:lang w:val="en-US" w:eastAsia="zh-CN" w:bidi="ar-SA"/>
              </w:rPr>
              <w:t>5</w:t>
            </w:r>
            <w:r>
              <w:rPr>
                <w:rFonts w:hint="eastAsia" w:ascii="Times New Roman" w:hAnsi="Times New Roman" w:eastAsia="宋体" w:cs="Times New Roman"/>
                <w:b/>
                <w:bCs/>
                <w:color w:val="auto"/>
                <w:kern w:val="2"/>
                <w:sz w:val="24"/>
                <w:szCs w:val="20"/>
                <w:highlight w:val="none"/>
                <w:lang w:val="en-US" w:eastAsia="zh-CN" w:bidi="ar-SA"/>
              </w:rPr>
              <w:t>年）</w:t>
            </w:r>
          </w:p>
          <w:p w14:paraId="4FB31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②引用资料的有效性分析</w:t>
            </w:r>
          </w:p>
          <w:p w14:paraId="6391F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根据《建设项目环境影响报告表编制技术指南（污染影响类）（试行）》（环办环评</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州市人民政府网站发布的水环境质量状况，符合《建设项目环境影响报告表编制技术指南（污染影响类）（试行）》（环办环评</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2"/>
                <w:sz w:val="24"/>
                <w:szCs w:val="20"/>
                <w:highlight w:val="none"/>
                <w:lang w:val="en-US" w:eastAsia="zh-CN" w:bidi="ar-SA"/>
              </w:rPr>
              <w:t>33号）的要求。</w:t>
            </w:r>
          </w:p>
          <w:p w14:paraId="02B9A18B">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.1.2</w:t>
            </w:r>
            <w:r>
              <w:rPr>
                <w:rFonts w:hint="eastAsia" w:ascii="Times New Roman" w:hAnsi="Times New Roman" w:eastAsia="宋体" w:cs="Times New Roman"/>
                <w:b/>
                <w:bCs/>
                <w:color w:val="auto"/>
                <w:kern w:val="2"/>
                <w:sz w:val="24"/>
                <w:szCs w:val="32"/>
                <w:highlight w:val="none"/>
                <w:lang w:val="en-US" w:eastAsia="zh-CN" w:bidi="ar-SA"/>
              </w:rPr>
              <w:t>大气环境质量现状</w:t>
            </w:r>
          </w:p>
          <w:p w14:paraId="1F2886B3">
            <w:pPr>
              <w:keepNext/>
              <w:keepLines/>
              <w:widowControl w:val="0"/>
              <w:numPr>
                <w:ilvl w:val="3"/>
                <w:numId w:val="0"/>
              </w:numPr>
              <w:tabs>
                <w:tab w:val="left" w:pos="0"/>
                <w:tab w:val="left" w:pos="420"/>
              </w:tabs>
              <w:bidi w:val="0"/>
              <w:spacing w:line="360" w:lineRule="auto"/>
              <w:ind w:left="864" w:leftChars="0" w:hanging="864" w:firstLineChars="0"/>
              <w:jc w:val="left"/>
              <w:outlineLvl w:val="3"/>
              <w:rPr>
                <w:rFonts w:hint="default" w:ascii="Times New Roman" w:hAnsi="Times New Roman" w:eastAsia="宋体" w:cs="Times New Roman"/>
                <w:b/>
                <w:bCs/>
                <w:color w:val="auto"/>
                <w:kern w:val="2"/>
                <w:sz w:val="24"/>
                <w:szCs w:val="28"/>
                <w:highlight w:val="none"/>
                <w:lang w:val="en-US" w:eastAsia="zh-CN" w:bidi="ar-SA"/>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.1.2.1</w:t>
            </w:r>
            <w:r>
              <w:rPr>
                <w:rFonts w:hint="default" w:ascii="Times New Roman" w:hAnsi="Times New Roman" w:eastAsia="宋体" w:cs="Times New Roman"/>
                <w:b/>
                <w:bCs/>
                <w:color w:val="auto"/>
                <w:kern w:val="2"/>
                <w:sz w:val="24"/>
                <w:szCs w:val="28"/>
                <w:highlight w:val="none"/>
                <w:lang w:val="en-US" w:eastAsia="zh-CN" w:bidi="ar-SA"/>
              </w:rPr>
              <w:t>区域达标判断</w:t>
            </w:r>
          </w:p>
          <w:p w14:paraId="323A027F">
            <w:pPr>
              <w:keepNext w:val="0"/>
              <w:keepLines w:val="0"/>
              <w:pageBreakBefore w:val="0"/>
              <w:widowControl w:val="0"/>
              <w:tabs>
                <w:tab w:val="left" w:pos="0"/>
              </w:tabs>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根据福州市人民政府榕政综[2014]30号文件正式批准实施《福州市环境空气质量功能区划</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报批稿</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》的规定，项目所在区域环境空气功能规划为二类区，环境空气质量执行《环境空气质量标准》</w:t>
            </w:r>
            <w:r>
              <w:rPr>
                <w:rFonts w:hint="eastAsia" w:cs="宋体"/>
                <w:color w:val="auto"/>
                <w:kern w:val="0"/>
                <w:sz w:val="24"/>
                <w:szCs w:val="20"/>
                <w:highlight w:val="none"/>
                <w:lang w:val="en-US" w:eastAsia="zh-CN" w:bidi="ar-SA"/>
              </w:rPr>
              <w:t>（GB3095-2026）中的过渡阶段浓度限值二级标</w:t>
            </w:r>
            <w:r>
              <w:rPr>
                <w:rFonts w:hint="eastAsia" w:ascii="Times New Roman" w:hAnsi="Times New Roman" w:eastAsia="宋体" w:cs="宋体"/>
                <w:color w:val="auto"/>
                <w:kern w:val="0"/>
                <w:sz w:val="24"/>
                <w:szCs w:val="20"/>
                <w:highlight w:val="none"/>
                <w:lang w:val="en-US" w:eastAsia="zh-CN" w:bidi="ar-SA"/>
              </w:rPr>
              <w:t>准。非甲烷总烃参照执行《大气污染物综合排放标准详解》</w:t>
            </w:r>
            <w:r>
              <w:rPr>
                <w:rFonts w:hint="eastAsia" w:cs="宋体"/>
                <w:color w:val="auto"/>
                <w:kern w:val="0"/>
                <w:sz w:val="24"/>
                <w:szCs w:val="20"/>
                <w:highlight w:val="none"/>
                <w:lang w:val="en-US" w:eastAsia="zh-CN" w:bidi="ar-SA"/>
              </w:rPr>
              <w:t>（生态环境部</w:t>
            </w:r>
            <w:r>
              <w:rPr>
                <w:rFonts w:hint="eastAsia" w:ascii="Times New Roman" w:hAnsi="Times New Roman" w:eastAsia="宋体" w:cs="宋体"/>
                <w:color w:val="auto"/>
                <w:kern w:val="0"/>
                <w:sz w:val="24"/>
                <w:szCs w:val="20"/>
                <w:highlight w:val="none"/>
                <w:lang w:val="en-US" w:eastAsia="zh-CN" w:bidi="ar-SA"/>
              </w:rPr>
              <w:t>科技标准司</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中规定的标准限值，具体详见表3.1-2。</w:t>
            </w:r>
          </w:p>
          <w:p w14:paraId="31905E57">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default" w:ascii="Times New Roman" w:hAnsi="Times New Roman" w:eastAsia="宋体" w:cs="宋体"/>
                <w:b/>
                <w:bCs/>
                <w:color w:val="auto"/>
                <w:kern w:val="2"/>
                <w:sz w:val="24"/>
                <w:szCs w:val="21"/>
                <w:lang w:val="en-US" w:eastAsia="zh-CN" w:bidi="ar-SA"/>
              </w:rPr>
            </w:pPr>
            <w:r>
              <w:rPr>
                <w:rFonts w:hint="eastAsia" w:ascii="Times New Roman" w:hAnsi="Times New Roman" w:eastAsia="宋体" w:cs="宋体"/>
                <w:b/>
                <w:bCs/>
                <w:color w:val="auto"/>
                <w:kern w:val="2"/>
                <w:sz w:val="24"/>
                <w:szCs w:val="21"/>
                <w:lang w:val="en-US" w:eastAsia="zh-CN" w:bidi="ar-SA"/>
              </w:rPr>
              <w:t>表3.1-2环境空气标准一览表</w:t>
            </w:r>
          </w:p>
          <w:tbl>
            <w:tblPr>
              <w:tblStyle w:val="25"/>
              <w:tblW w:w="499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75"/>
              <w:gridCol w:w="2410"/>
              <w:gridCol w:w="1921"/>
              <w:gridCol w:w="2605"/>
            </w:tblGrid>
            <w:tr w14:paraId="1794A9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7" w:hRule="atLeast"/>
              </w:trPr>
              <w:tc>
                <w:tcPr>
                  <w:tcW w:w="972" w:type="pct"/>
                  <w:tcBorders>
                    <w:bottom w:val="single" w:color="000000" w:sz="12" w:space="0"/>
                  </w:tcBorders>
                  <w:vAlign w:val="center"/>
                </w:tcPr>
                <w:p w14:paraId="2953A59C">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4"/>
                      <w:sz w:val="21"/>
                    </w:rPr>
                    <w:t>污染物名称</w:t>
                  </w:r>
                </w:p>
              </w:tc>
              <w:tc>
                <w:tcPr>
                  <w:tcW w:w="1399" w:type="pct"/>
                  <w:tcBorders>
                    <w:bottom w:val="single" w:color="000000" w:sz="12" w:space="0"/>
                  </w:tcBorders>
                  <w:vAlign w:val="center"/>
                </w:tcPr>
                <w:p w14:paraId="741D5900">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取值时间</w:t>
                  </w:r>
                </w:p>
              </w:tc>
              <w:tc>
                <w:tcPr>
                  <w:tcW w:w="1115" w:type="pct"/>
                  <w:tcBorders>
                    <w:bottom w:val="single" w:color="000000" w:sz="12" w:space="0"/>
                  </w:tcBorders>
                  <w:vAlign w:val="center"/>
                </w:tcPr>
                <w:p w14:paraId="57D46F4B">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浓度限值</w:t>
                  </w:r>
                </w:p>
              </w:tc>
              <w:tc>
                <w:tcPr>
                  <w:tcW w:w="1512" w:type="pct"/>
                  <w:tcBorders>
                    <w:bottom w:val="single" w:color="000000" w:sz="12" w:space="0"/>
                  </w:tcBorders>
                  <w:vAlign w:val="center"/>
                </w:tcPr>
                <w:p w14:paraId="019D9981">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标准来源</w:t>
                  </w:r>
                </w:p>
              </w:tc>
            </w:tr>
            <w:tr w14:paraId="602C27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restart"/>
                  <w:tcBorders>
                    <w:top w:val="single" w:color="000000" w:sz="12" w:space="0"/>
                    <w:tl2br w:val="nil"/>
                    <w:tr2bl w:val="nil"/>
                  </w:tcBorders>
                  <w:vAlign w:val="center"/>
                </w:tcPr>
                <w:p w14:paraId="2ED05469">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13"/>
                    </w:rPr>
                  </w:pPr>
                </w:p>
                <w:p w14:paraId="47A8B053">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4"/>
                      <w:position w:val="2"/>
                      <w:sz w:val="21"/>
                    </w:rPr>
                    <w:t>PM</w:t>
                  </w:r>
                  <w:r>
                    <w:rPr>
                      <w:rFonts w:ascii="Times New Roman" w:hAnsi="Times New Roman" w:eastAsia="宋体"/>
                      <w:color w:val="auto"/>
                      <w:spacing w:val="-4"/>
                      <w:sz w:val="13"/>
                    </w:rPr>
                    <w:t>10</w:t>
                  </w:r>
                </w:p>
              </w:tc>
              <w:tc>
                <w:tcPr>
                  <w:tcW w:w="1399" w:type="pct"/>
                  <w:tcBorders>
                    <w:top w:val="single" w:color="000000" w:sz="12" w:space="0"/>
                    <w:tl2br w:val="nil"/>
                    <w:tr2bl w:val="nil"/>
                  </w:tcBorders>
                  <w:vAlign w:val="center"/>
                </w:tcPr>
                <w:p w14:paraId="30EA0E91">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115" w:type="pct"/>
                  <w:tcBorders>
                    <w:top w:val="single" w:color="000000" w:sz="12" w:space="0"/>
                    <w:tl2br w:val="nil"/>
                    <w:tr2bl w:val="nil"/>
                  </w:tcBorders>
                  <w:vAlign w:val="center"/>
                </w:tcPr>
                <w:p w14:paraId="6C81FA60">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hint="eastAsia" w:ascii="Times New Roman" w:hAnsi="Times New Roman"/>
                      <w:color w:val="auto"/>
                      <w:spacing w:val="-2"/>
                      <w:sz w:val="21"/>
                      <w:lang w:val="en-US" w:eastAsia="zh-CN"/>
                    </w:rPr>
                    <w:t>6</w:t>
                  </w:r>
                  <w:r>
                    <w:rPr>
                      <w:rFonts w:ascii="Times New Roman" w:hAnsi="Times New Roman" w:eastAsia="宋体"/>
                      <w:color w:val="auto"/>
                      <w:spacing w:val="-2"/>
                      <w:sz w:val="21"/>
                    </w:rPr>
                    <w:t>0μg/m</w:t>
                  </w:r>
                  <w:r>
                    <w:rPr>
                      <w:rFonts w:ascii="Times New Roman" w:hAnsi="Times New Roman" w:eastAsia="宋体"/>
                      <w:color w:val="auto"/>
                      <w:spacing w:val="-2"/>
                      <w:sz w:val="21"/>
                      <w:vertAlign w:val="superscript"/>
                    </w:rPr>
                    <w:t>3</w:t>
                  </w:r>
                </w:p>
              </w:tc>
              <w:tc>
                <w:tcPr>
                  <w:tcW w:w="1512" w:type="pct"/>
                  <w:vMerge w:val="restart"/>
                  <w:tcBorders>
                    <w:top w:val="single" w:color="000000" w:sz="12" w:space="0"/>
                    <w:tl2br w:val="nil"/>
                    <w:tr2bl w:val="nil"/>
                  </w:tcBorders>
                  <w:vAlign w:val="center"/>
                </w:tcPr>
                <w:p w14:paraId="3418B397">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3"/>
                      <w:sz w:val="21"/>
                    </w:rPr>
                    <w:t>《环境空气质量标准》</w:t>
                  </w:r>
                </w:p>
                <w:p w14:paraId="50BA546E">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vertAlign w:val="baseline"/>
                      <w:lang w:val="en-US" w:eastAsia="zh-CN"/>
                    </w:rPr>
                  </w:pPr>
                  <w:r>
                    <w:rPr>
                      <w:rFonts w:hint="eastAsia" w:ascii="Times New Roman" w:hAnsi="Times New Roman"/>
                      <w:color w:val="auto"/>
                      <w:spacing w:val="-2"/>
                      <w:sz w:val="21"/>
                      <w:lang w:eastAsia="zh-CN"/>
                    </w:rPr>
                    <w:t>（</w:t>
                  </w:r>
                  <w:r>
                    <w:rPr>
                      <w:rFonts w:ascii="Times New Roman" w:hAnsi="Times New Roman" w:eastAsia="宋体"/>
                      <w:color w:val="auto"/>
                      <w:spacing w:val="-2"/>
                      <w:sz w:val="21"/>
                    </w:rPr>
                    <w:t>GB3095-20</w:t>
                  </w:r>
                  <w:r>
                    <w:rPr>
                      <w:rFonts w:hint="eastAsia" w:ascii="Times New Roman" w:hAnsi="Times New Roman"/>
                      <w:color w:val="auto"/>
                      <w:spacing w:val="-2"/>
                      <w:sz w:val="21"/>
                      <w:lang w:val="en-US" w:eastAsia="zh-CN"/>
                    </w:rPr>
                    <w:t>26</w:t>
                  </w:r>
                  <w:r>
                    <w:rPr>
                      <w:rFonts w:hint="eastAsia" w:ascii="Times New Roman" w:hAnsi="Times New Roman"/>
                      <w:color w:val="auto"/>
                      <w:spacing w:val="-2"/>
                      <w:sz w:val="21"/>
                      <w:lang w:eastAsia="zh-CN"/>
                    </w:rPr>
                    <w:t>）</w:t>
                  </w:r>
                  <w:r>
                    <w:rPr>
                      <w:rFonts w:ascii="Times New Roman" w:hAnsi="Times New Roman" w:eastAsia="宋体"/>
                      <w:color w:val="auto"/>
                      <w:spacing w:val="-4"/>
                      <w:sz w:val="21"/>
                    </w:rPr>
                    <w:t>中的二级标准</w:t>
                  </w:r>
                  <w:r>
                    <w:rPr>
                      <w:rFonts w:hint="eastAsia" w:ascii="Times New Roman" w:hAnsi="Times New Roman"/>
                      <w:color w:val="auto"/>
                      <w:spacing w:val="-4"/>
                      <w:sz w:val="21"/>
                      <w:lang w:eastAsia="zh-CN"/>
                    </w:rPr>
                    <w:t>（</w:t>
                  </w:r>
                  <w:r>
                    <w:rPr>
                      <w:rFonts w:hint="eastAsia" w:ascii="Times New Roman" w:hAnsi="Times New Roman"/>
                      <w:color w:val="auto"/>
                      <w:spacing w:val="-4"/>
                      <w:sz w:val="21"/>
                      <w:lang w:val="en-US" w:eastAsia="zh-CN"/>
                    </w:rPr>
                    <w:t>过渡阶段浓度限值）</w:t>
                  </w:r>
                </w:p>
              </w:tc>
            </w:tr>
            <w:tr w14:paraId="7441F5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continue"/>
                  <w:tcBorders>
                    <w:tl2br w:val="nil"/>
                    <w:tr2bl w:val="nil"/>
                  </w:tcBorders>
                  <w:vAlign w:val="center"/>
                </w:tcPr>
                <w:p w14:paraId="2B1AEAE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5EDDF70F">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115" w:type="pct"/>
                  <w:tcBorders>
                    <w:tl2br w:val="nil"/>
                    <w:tr2bl w:val="nil"/>
                  </w:tcBorders>
                  <w:vAlign w:val="center"/>
                </w:tcPr>
                <w:p w14:paraId="7429595A">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w:t>
                  </w:r>
                  <w:r>
                    <w:rPr>
                      <w:rFonts w:hint="eastAsia" w:ascii="Times New Roman" w:hAnsi="Times New Roman"/>
                      <w:color w:val="auto"/>
                      <w:spacing w:val="-2"/>
                      <w:sz w:val="21"/>
                      <w:lang w:val="en-US" w:eastAsia="zh-CN"/>
                    </w:rPr>
                    <w:t>2</w:t>
                  </w:r>
                  <w:r>
                    <w:rPr>
                      <w:rFonts w:ascii="Times New Roman" w:hAnsi="Times New Roman" w:eastAsia="宋体"/>
                      <w:color w:val="auto"/>
                      <w:spacing w:val="-2"/>
                      <w:sz w:val="21"/>
                    </w:rPr>
                    <w:t>0μg/m</w:t>
                  </w:r>
                  <w:r>
                    <w:rPr>
                      <w:rFonts w:ascii="Times New Roman" w:hAnsi="Times New Roman" w:eastAsia="宋体"/>
                      <w:color w:val="auto"/>
                      <w:spacing w:val="-2"/>
                      <w:sz w:val="21"/>
                      <w:vertAlign w:val="superscript"/>
                    </w:rPr>
                    <w:t>3</w:t>
                  </w:r>
                </w:p>
              </w:tc>
              <w:tc>
                <w:tcPr>
                  <w:tcW w:w="1512" w:type="pct"/>
                  <w:vMerge w:val="continue"/>
                  <w:tcBorders>
                    <w:tl2br w:val="nil"/>
                    <w:tr2bl w:val="nil"/>
                  </w:tcBorders>
                  <w:vAlign w:val="center"/>
                </w:tcPr>
                <w:p w14:paraId="4B95C812">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6FF944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restart"/>
                  <w:tcBorders>
                    <w:tl2br w:val="nil"/>
                    <w:tr2bl w:val="nil"/>
                  </w:tcBorders>
                  <w:vAlign w:val="center"/>
                </w:tcPr>
                <w:p w14:paraId="1654A315">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13"/>
                    </w:rPr>
                  </w:pPr>
                </w:p>
                <w:p w14:paraId="3F4BCD55">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color w:val="auto"/>
                      <w:vertAlign w:val="baseline"/>
                    </w:rPr>
                  </w:pPr>
                  <w:r>
                    <w:rPr>
                      <w:rFonts w:ascii="Times New Roman" w:hAnsi="Times New Roman" w:eastAsia="宋体"/>
                      <w:color w:val="auto"/>
                      <w:spacing w:val="-2"/>
                      <w:w w:val="105"/>
                      <w:position w:val="2"/>
                      <w:sz w:val="21"/>
                    </w:rPr>
                    <w:t>PM</w:t>
                  </w:r>
                  <w:r>
                    <w:rPr>
                      <w:rFonts w:ascii="Times New Roman" w:hAnsi="Times New Roman" w:eastAsia="宋体"/>
                      <w:color w:val="auto"/>
                      <w:spacing w:val="-2"/>
                      <w:w w:val="105"/>
                      <w:sz w:val="13"/>
                    </w:rPr>
                    <w:t>2.5</w:t>
                  </w:r>
                </w:p>
              </w:tc>
              <w:tc>
                <w:tcPr>
                  <w:tcW w:w="1399" w:type="pct"/>
                  <w:tcBorders>
                    <w:tl2br w:val="nil"/>
                    <w:tr2bl w:val="nil"/>
                  </w:tcBorders>
                  <w:vAlign w:val="center"/>
                </w:tcPr>
                <w:p w14:paraId="57B51C0B">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115" w:type="pct"/>
                  <w:tcBorders>
                    <w:tl2br w:val="nil"/>
                    <w:tr2bl w:val="nil"/>
                  </w:tcBorders>
                  <w:vAlign w:val="center"/>
                </w:tcPr>
                <w:p w14:paraId="3E8DB67B">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3</w:t>
                  </w:r>
                  <w:r>
                    <w:rPr>
                      <w:rFonts w:hint="eastAsia" w:ascii="Times New Roman" w:hAnsi="Times New Roman"/>
                      <w:color w:val="auto"/>
                      <w:spacing w:val="-2"/>
                      <w:sz w:val="21"/>
                      <w:lang w:val="en-US" w:eastAsia="zh-CN"/>
                    </w:rPr>
                    <w:t>0</w:t>
                  </w:r>
                  <w:r>
                    <w:rPr>
                      <w:rFonts w:ascii="Times New Roman" w:hAnsi="Times New Roman" w:eastAsia="宋体"/>
                      <w:color w:val="auto"/>
                      <w:spacing w:val="-2"/>
                      <w:sz w:val="21"/>
                    </w:rPr>
                    <w:t>μg/m</w:t>
                  </w:r>
                  <w:r>
                    <w:rPr>
                      <w:rFonts w:ascii="Times New Roman" w:hAnsi="Times New Roman" w:eastAsia="宋体"/>
                      <w:color w:val="auto"/>
                      <w:spacing w:val="-2"/>
                      <w:position w:val="7"/>
                      <w:sz w:val="13"/>
                    </w:rPr>
                    <w:t>3</w:t>
                  </w:r>
                </w:p>
              </w:tc>
              <w:tc>
                <w:tcPr>
                  <w:tcW w:w="1512" w:type="pct"/>
                  <w:vMerge w:val="continue"/>
                  <w:tcBorders>
                    <w:tl2br w:val="nil"/>
                    <w:tr2bl w:val="nil"/>
                  </w:tcBorders>
                  <w:vAlign w:val="center"/>
                </w:tcPr>
                <w:p w14:paraId="53ED5106">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6BD6DA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continue"/>
                  <w:tcBorders>
                    <w:tl2br w:val="nil"/>
                    <w:tr2bl w:val="nil"/>
                  </w:tcBorders>
                  <w:vAlign w:val="center"/>
                </w:tcPr>
                <w:p w14:paraId="3BBCFD8E">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566532A2">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115" w:type="pct"/>
                  <w:tcBorders>
                    <w:tl2br w:val="nil"/>
                    <w:tr2bl w:val="nil"/>
                  </w:tcBorders>
                  <w:vAlign w:val="center"/>
                </w:tcPr>
                <w:p w14:paraId="66395B44">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hint="eastAsia" w:ascii="Times New Roman" w:hAnsi="Times New Roman"/>
                      <w:color w:val="auto"/>
                      <w:spacing w:val="-2"/>
                      <w:sz w:val="21"/>
                      <w:lang w:val="en-US" w:eastAsia="zh-CN"/>
                    </w:rPr>
                    <w:t>60</w:t>
                  </w:r>
                  <w:r>
                    <w:rPr>
                      <w:rFonts w:ascii="Times New Roman" w:hAnsi="Times New Roman" w:eastAsia="宋体"/>
                      <w:color w:val="auto"/>
                      <w:spacing w:val="-2"/>
                      <w:sz w:val="21"/>
                    </w:rPr>
                    <w:t>μg/m</w:t>
                  </w:r>
                  <w:r>
                    <w:rPr>
                      <w:rFonts w:ascii="Times New Roman" w:hAnsi="Times New Roman" w:eastAsia="宋体"/>
                      <w:color w:val="auto"/>
                      <w:spacing w:val="-2"/>
                      <w:sz w:val="21"/>
                      <w:vertAlign w:val="superscript"/>
                    </w:rPr>
                    <w:t>3</w:t>
                  </w:r>
                </w:p>
              </w:tc>
              <w:tc>
                <w:tcPr>
                  <w:tcW w:w="1512" w:type="pct"/>
                  <w:vMerge w:val="continue"/>
                  <w:tcBorders>
                    <w:tl2br w:val="nil"/>
                    <w:tr2bl w:val="nil"/>
                  </w:tcBorders>
                  <w:vAlign w:val="center"/>
                </w:tcPr>
                <w:p w14:paraId="484C815B">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72E39B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restart"/>
                  <w:tcBorders>
                    <w:tl2br w:val="nil"/>
                    <w:tr2bl w:val="nil"/>
                  </w:tcBorders>
                  <w:vAlign w:val="center"/>
                </w:tcPr>
                <w:p w14:paraId="00F6C9B2">
                  <w:pPr>
                    <w:pStyle w:val="80"/>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rPr>
                  </w:pPr>
                </w:p>
                <w:p w14:paraId="52105256">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SO</w:t>
                  </w:r>
                  <w:r>
                    <w:rPr>
                      <w:rFonts w:ascii="Times New Roman" w:hAnsi="Times New Roman" w:eastAsia="宋体"/>
                      <w:color w:val="auto"/>
                      <w:spacing w:val="-5"/>
                      <w:sz w:val="13"/>
                    </w:rPr>
                    <w:t>2</w:t>
                  </w:r>
                </w:p>
              </w:tc>
              <w:tc>
                <w:tcPr>
                  <w:tcW w:w="1399" w:type="pct"/>
                  <w:tcBorders>
                    <w:tl2br w:val="nil"/>
                    <w:tr2bl w:val="nil"/>
                  </w:tcBorders>
                  <w:vAlign w:val="center"/>
                </w:tcPr>
                <w:p w14:paraId="3A7EE02C">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115" w:type="pct"/>
                  <w:tcBorders>
                    <w:tl2br w:val="nil"/>
                    <w:tr2bl w:val="nil"/>
                  </w:tcBorders>
                  <w:vAlign w:val="center"/>
                </w:tcPr>
                <w:p w14:paraId="61B59E39">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60μg/m</w:t>
                  </w:r>
                  <w:r>
                    <w:rPr>
                      <w:rFonts w:ascii="Times New Roman" w:hAnsi="Times New Roman" w:eastAsia="宋体"/>
                      <w:color w:val="auto"/>
                      <w:spacing w:val="-2"/>
                      <w:sz w:val="21"/>
                      <w:vertAlign w:val="superscript"/>
                    </w:rPr>
                    <w:t>3</w:t>
                  </w:r>
                </w:p>
              </w:tc>
              <w:tc>
                <w:tcPr>
                  <w:tcW w:w="1512" w:type="pct"/>
                  <w:vMerge w:val="continue"/>
                  <w:tcBorders>
                    <w:tl2br w:val="nil"/>
                    <w:tr2bl w:val="nil"/>
                  </w:tcBorders>
                  <w:vAlign w:val="center"/>
                </w:tcPr>
                <w:p w14:paraId="39DF4230">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4D5F26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continue"/>
                  <w:tcBorders>
                    <w:tl2br w:val="nil"/>
                    <w:tr2bl w:val="nil"/>
                  </w:tcBorders>
                  <w:vAlign w:val="center"/>
                </w:tcPr>
                <w:p w14:paraId="3BFD08E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51D211CC">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115" w:type="pct"/>
                  <w:tcBorders>
                    <w:tl2br w:val="nil"/>
                    <w:tr2bl w:val="nil"/>
                  </w:tcBorders>
                  <w:vAlign w:val="center"/>
                </w:tcPr>
                <w:p w14:paraId="18B350D2">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150μg/m</w:t>
                  </w:r>
                  <w:r>
                    <w:rPr>
                      <w:rFonts w:ascii="Times New Roman" w:hAnsi="Times New Roman" w:eastAsia="宋体"/>
                      <w:color w:val="auto"/>
                      <w:spacing w:val="-2"/>
                      <w:position w:val="7"/>
                      <w:sz w:val="13"/>
                    </w:rPr>
                    <w:t>3</w:t>
                  </w:r>
                </w:p>
              </w:tc>
              <w:tc>
                <w:tcPr>
                  <w:tcW w:w="1512" w:type="pct"/>
                  <w:vMerge w:val="continue"/>
                  <w:tcBorders>
                    <w:tl2br w:val="nil"/>
                    <w:tr2bl w:val="nil"/>
                  </w:tcBorders>
                  <w:vAlign w:val="center"/>
                </w:tcPr>
                <w:p w14:paraId="5636C6EF">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617D9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continue"/>
                  <w:tcBorders>
                    <w:tl2br w:val="nil"/>
                    <w:tr2bl w:val="nil"/>
                  </w:tcBorders>
                  <w:vAlign w:val="center"/>
                </w:tcPr>
                <w:p w14:paraId="52C55C65">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36A588AE">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1</w:t>
                  </w:r>
                  <w:r>
                    <w:rPr>
                      <w:rFonts w:ascii="Times New Roman" w:hAnsi="Times New Roman" w:eastAsia="宋体"/>
                      <w:color w:val="auto"/>
                      <w:spacing w:val="-3"/>
                      <w:sz w:val="21"/>
                    </w:rPr>
                    <w:t>小时平均</w:t>
                  </w:r>
                </w:p>
              </w:tc>
              <w:tc>
                <w:tcPr>
                  <w:tcW w:w="1115" w:type="pct"/>
                  <w:tcBorders>
                    <w:tl2br w:val="nil"/>
                    <w:tr2bl w:val="nil"/>
                  </w:tcBorders>
                  <w:vAlign w:val="center"/>
                </w:tcPr>
                <w:p w14:paraId="3BCE6B78">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500μg/m</w:t>
                  </w:r>
                  <w:r>
                    <w:rPr>
                      <w:rFonts w:ascii="Times New Roman" w:hAnsi="Times New Roman" w:eastAsia="宋体"/>
                      <w:color w:val="auto"/>
                      <w:spacing w:val="-2"/>
                      <w:sz w:val="21"/>
                      <w:vertAlign w:val="superscript"/>
                    </w:rPr>
                    <w:t>3</w:t>
                  </w:r>
                </w:p>
              </w:tc>
              <w:tc>
                <w:tcPr>
                  <w:tcW w:w="1512" w:type="pct"/>
                  <w:vMerge w:val="continue"/>
                  <w:tcBorders>
                    <w:tl2br w:val="nil"/>
                    <w:tr2bl w:val="nil"/>
                  </w:tcBorders>
                  <w:vAlign w:val="center"/>
                </w:tcPr>
                <w:p w14:paraId="38E1AFF5">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B5EFF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restart"/>
                  <w:tcBorders>
                    <w:tl2br w:val="nil"/>
                    <w:tr2bl w:val="nil"/>
                  </w:tcBorders>
                  <w:vAlign w:val="center"/>
                </w:tcPr>
                <w:p w14:paraId="6A7381F4">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CO</w:t>
                  </w:r>
                </w:p>
              </w:tc>
              <w:tc>
                <w:tcPr>
                  <w:tcW w:w="1399" w:type="pct"/>
                  <w:tcBorders>
                    <w:tl2br w:val="nil"/>
                    <w:tr2bl w:val="nil"/>
                  </w:tcBorders>
                  <w:vAlign w:val="center"/>
                </w:tcPr>
                <w:p w14:paraId="00FCFACC">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24</w:t>
                  </w:r>
                  <w:r>
                    <w:rPr>
                      <w:rFonts w:ascii="Times New Roman" w:hAnsi="Times New Roman" w:eastAsia="宋体"/>
                      <w:color w:val="auto"/>
                      <w:spacing w:val="-4"/>
                      <w:sz w:val="21"/>
                    </w:rPr>
                    <w:t>小时平均</w:t>
                  </w:r>
                </w:p>
              </w:tc>
              <w:tc>
                <w:tcPr>
                  <w:tcW w:w="1115" w:type="pct"/>
                  <w:tcBorders>
                    <w:tl2br w:val="nil"/>
                    <w:tr2bl w:val="nil"/>
                  </w:tcBorders>
                  <w:vAlign w:val="center"/>
                </w:tcPr>
                <w:p w14:paraId="4CAE001E">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4mg/m</w:t>
                  </w:r>
                  <w:r>
                    <w:rPr>
                      <w:rFonts w:ascii="Times New Roman" w:hAnsi="Times New Roman" w:eastAsia="宋体"/>
                      <w:color w:val="auto"/>
                      <w:spacing w:val="-2"/>
                      <w:sz w:val="21"/>
                      <w:vertAlign w:val="superscript"/>
                    </w:rPr>
                    <w:t>3</w:t>
                  </w:r>
                </w:p>
              </w:tc>
              <w:tc>
                <w:tcPr>
                  <w:tcW w:w="1512" w:type="pct"/>
                  <w:vMerge w:val="continue"/>
                  <w:tcBorders>
                    <w:tl2br w:val="nil"/>
                    <w:tr2bl w:val="nil"/>
                  </w:tcBorders>
                  <w:vAlign w:val="center"/>
                </w:tcPr>
                <w:p w14:paraId="11072851">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1649A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continue"/>
                  <w:tcBorders>
                    <w:tl2br w:val="nil"/>
                    <w:tr2bl w:val="nil"/>
                  </w:tcBorders>
                  <w:vAlign w:val="center"/>
                </w:tcPr>
                <w:p w14:paraId="710E775D">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3A020F4F">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1</w:t>
                  </w:r>
                  <w:r>
                    <w:rPr>
                      <w:rFonts w:ascii="Times New Roman" w:hAnsi="Times New Roman" w:eastAsia="宋体"/>
                      <w:color w:val="auto"/>
                      <w:spacing w:val="-4"/>
                      <w:sz w:val="21"/>
                    </w:rPr>
                    <w:t>小时平均</w:t>
                  </w:r>
                </w:p>
              </w:tc>
              <w:tc>
                <w:tcPr>
                  <w:tcW w:w="1115" w:type="pct"/>
                  <w:tcBorders>
                    <w:tl2br w:val="nil"/>
                    <w:tr2bl w:val="nil"/>
                  </w:tcBorders>
                  <w:vAlign w:val="center"/>
                </w:tcPr>
                <w:p w14:paraId="04DBA9FA">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10mg/m</w:t>
                  </w:r>
                  <w:r>
                    <w:rPr>
                      <w:rFonts w:ascii="Times New Roman" w:hAnsi="Times New Roman" w:eastAsia="宋体"/>
                      <w:color w:val="auto"/>
                      <w:spacing w:val="-2"/>
                      <w:sz w:val="21"/>
                      <w:vertAlign w:val="superscript"/>
                    </w:rPr>
                    <w:t>3</w:t>
                  </w:r>
                </w:p>
              </w:tc>
              <w:tc>
                <w:tcPr>
                  <w:tcW w:w="1512" w:type="pct"/>
                  <w:vMerge w:val="continue"/>
                  <w:tcBorders>
                    <w:tl2br w:val="nil"/>
                    <w:tr2bl w:val="nil"/>
                  </w:tcBorders>
                  <w:vAlign w:val="center"/>
                </w:tcPr>
                <w:p w14:paraId="457EA4F9">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6A733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restart"/>
                  <w:tcBorders>
                    <w:tl2br w:val="nil"/>
                    <w:tr2bl w:val="nil"/>
                  </w:tcBorders>
                  <w:vAlign w:val="center"/>
                </w:tcPr>
                <w:p w14:paraId="2720F56A">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O</w:t>
                  </w:r>
                  <w:r>
                    <w:rPr>
                      <w:rFonts w:ascii="Times New Roman" w:hAnsi="Times New Roman" w:eastAsia="宋体"/>
                      <w:color w:val="auto"/>
                      <w:spacing w:val="-5"/>
                      <w:sz w:val="13"/>
                    </w:rPr>
                    <w:t>3</w:t>
                  </w:r>
                </w:p>
              </w:tc>
              <w:tc>
                <w:tcPr>
                  <w:tcW w:w="1399" w:type="pct"/>
                  <w:tcBorders>
                    <w:tl2br w:val="nil"/>
                    <w:tr2bl w:val="nil"/>
                  </w:tcBorders>
                  <w:vAlign w:val="center"/>
                </w:tcPr>
                <w:p w14:paraId="60DEFCAB">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日最大8</w:t>
                  </w:r>
                  <w:r>
                    <w:rPr>
                      <w:rFonts w:ascii="Times New Roman" w:hAnsi="Times New Roman" w:eastAsia="宋体"/>
                      <w:color w:val="auto"/>
                      <w:spacing w:val="-4"/>
                      <w:sz w:val="21"/>
                    </w:rPr>
                    <w:t>小时平均</w:t>
                  </w:r>
                </w:p>
              </w:tc>
              <w:tc>
                <w:tcPr>
                  <w:tcW w:w="1115" w:type="pct"/>
                  <w:tcBorders>
                    <w:tl2br w:val="nil"/>
                    <w:tr2bl w:val="nil"/>
                  </w:tcBorders>
                  <w:vAlign w:val="center"/>
                </w:tcPr>
                <w:p w14:paraId="645AF1E7">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160μg/m</w:t>
                  </w:r>
                  <w:r>
                    <w:rPr>
                      <w:rFonts w:ascii="Times New Roman" w:hAnsi="Times New Roman" w:eastAsia="宋体"/>
                      <w:color w:val="auto"/>
                      <w:spacing w:val="-2"/>
                      <w:position w:val="7"/>
                      <w:sz w:val="13"/>
                    </w:rPr>
                    <w:t>3</w:t>
                  </w:r>
                </w:p>
              </w:tc>
              <w:tc>
                <w:tcPr>
                  <w:tcW w:w="1512" w:type="pct"/>
                  <w:vMerge w:val="continue"/>
                  <w:tcBorders>
                    <w:tl2br w:val="nil"/>
                    <w:tr2bl w:val="nil"/>
                  </w:tcBorders>
                  <w:vAlign w:val="center"/>
                </w:tcPr>
                <w:p w14:paraId="3BC7DCE8">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5BB3FC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vMerge w:val="continue"/>
                  <w:tcBorders>
                    <w:tl2br w:val="nil"/>
                    <w:tr2bl w:val="nil"/>
                  </w:tcBorders>
                  <w:vAlign w:val="center"/>
                </w:tcPr>
                <w:p w14:paraId="681B8F0E">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0F3AF3AB">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1</w:t>
                  </w:r>
                  <w:r>
                    <w:rPr>
                      <w:rFonts w:ascii="Times New Roman" w:hAnsi="Times New Roman" w:eastAsia="宋体"/>
                      <w:color w:val="auto"/>
                      <w:spacing w:val="-4"/>
                      <w:sz w:val="21"/>
                    </w:rPr>
                    <w:t>小时平均</w:t>
                  </w:r>
                </w:p>
              </w:tc>
              <w:tc>
                <w:tcPr>
                  <w:tcW w:w="1115" w:type="pct"/>
                  <w:tcBorders>
                    <w:tl2br w:val="nil"/>
                    <w:tr2bl w:val="nil"/>
                  </w:tcBorders>
                  <w:vAlign w:val="center"/>
                </w:tcPr>
                <w:p w14:paraId="6613D2C0">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200μg/m</w:t>
                  </w:r>
                  <w:r>
                    <w:rPr>
                      <w:rFonts w:ascii="Times New Roman" w:hAnsi="Times New Roman" w:eastAsia="宋体"/>
                      <w:color w:val="auto"/>
                      <w:spacing w:val="-2"/>
                      <w:sz w:val="21"/>
                      <w:vertAlign w:val="superscript"/>
                    </w:rPr>
                    <w:t>3</w:t>
                  </w:r>
                </w:p>
              </w:tc>
              <w:tc>
                <w:tcPr>
                  <w:tcW w:w="1512" w:type="pct"/>
                  <w:vMerge w:val="continue"/>
                  <w:tcBorders>
                    <w:tl2br w:val="nil"/>
                    <w:tr2bl w:val="nil"/>
                  </w:tcBorders>
                  <w:vAlign w:val="center"/>
                </w:tcPr>
                <w:p w14:paraId="556E0B8C">
                  <w:pPr>
                    <w:pStyle w:val="6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C2E36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2" w:type="pct"/>
                  <w:tcBorders>
                    <w:tl2br w:val="nil"/>
                    <w:tr2bl w:val="nil"/>
                  </w:tcBorders>
                  <w:vAlign w:val="center"/>
                </w:tcPr>
                <w:p w14:paraId="557BBD2E">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4"/>
                      <w:sz w:val="21"/>
                    </w:rPr>
                  </w:pPr>
                  <w:r>
                    <w:rPr>
                      <w:rFonts w:ascii="Times New Roman" w:hAnsi="Times New Roman" w:eastAsia="宋体"/>
                      <w:color w:val="auto"/>
                      <w:spacing w:val="-4"/>
                      <w:sz w:val="21"/>
                    </w:rPr>
                    <w:t>非甲烷总烃</w:t>
                  </w:r>
                </w:p>
              </w:tc>
              <w:tc>
                <w:tcPr>
                  <w:tcW w:w="1399" w:type="pct"/>
                  <w:tcBorders>
                    <w:tl2br w:val="nil"/>
                    <w:tr2bl w:val="nil"/>
                  </w:tcBorders>
                  <w:vAlign w:val="center"/>
                </w:tcPr>
                <w:p w14:paraId="563AD636">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eastAsia="Times New Roman"/>
                      <w:color w:val="auto"/>
                      <w:sz w:val="21"/>
                    </w:rPr>
                  </w:pPr>
                  <w:r>
                    <w:rPr>
                      <w:rFonts w:ascii="Times New Roman" w:hAnsi="Times New Roman" w:eastAsia="宋体"/>
                      <w:color w:val="auto"/>
                      <w:sz w:val="21"/>
                    </w:rPr>
                    <w:t>1</w:t>
                  </w:r>
                  <w:r>
                    <w:rPr>
                      <w:rFonts w:ascii="Times New Roman" w:hAnsi="Times New Roman" w:eastAsia="宋体"/>
                      <w:color w:val="auto"/>
                      <w:spacing w:val="-3"/>
                      <w:sz w:val="21"/>
                    </w:rPr>
                    <w:t>小时均值</w:t>
                  </w:r>
                </w:p>
              </w:tc>
              <w:tc>
                <w:tcPr>
                  <w:tcW w:w="1115" w:type="pct"/>
                  <w:tcBorders>
                    <w:tl2br w:val="nil"/>
                    <w:tr2bl w:val="nil"/>
                  </w:tcBorders>
                  <w:vAlign w:val="center"/>
                </w:tcPr>
                <w:p w14:paraId="02275A54">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color w:val="auto"/>
                      <w:spacing w:val="-2"/>
                      <w:sz w:val="21"/>
                    </w:rPr>
                  </w:pPr>
                  <w:r>
                    <w:rPr>
                      <w:rFonts w:ascii="Times New Roman" w:hAnsi="Times New Roman" w:eastAsia="宋体"/>
                      <w:color w:val="auto"/>
                      <w:spacing w:val="-2"/>
                      <w:sz w:val="21"/>
                    </w:rPr>
                    <w:t>2.0mg/m</w:t>
                  </w:r>
                  <w:r>
                    <w:rPr>
                      <w:rFonts w:ascii="Times New Roman" w:hAnsi="Times New Roman" w:eastAsia="宋体"/>
                      <w:color w:val="auto"/>
                      <w:spacing w:val="-2"/>
                      <w:sz w:val="21"/>
                      <w:vertAlign w:val="superscript"/>
                    </w:rPr>
                    <w:t>3</w:t>
                  </w:r>
                </w:p>
              </w:tc>
              <w:tc>
                <w:tcPr>
                  <w:tcW w:w="1512" w:type="pct"/>
                  <w:tcBorders>
                    <w:tl2br w:val="nil"/>
                    <w:tr2bl w:val="nil"/>
                  </w:tcBorders>
                  <w:vAlign w:val="center"/>
                </w:tcPr>
                <w:p w14:paraId="3C847953">
                  <w:pPr>
                    <w:pStyle w:val="8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vertAlign w:val="baseline"/>
                    </w:rPr>
                  </w:pPr>
                  <w:r>
                    <w:rPr>
                      <w:rFonts w:ascii="Times New Roman" w:hAnsi="Times New Roman" w:eastAsia="宋体" w:cs="宋体"/>
                      <w:color w:val="auto"/>
                      <w:spacing w:val="-3"/>
                      <w:sz w:val="21"/>
                      <w:highlight w:val="none"/>
                    </w:rPr>
                    <w:t>《大气污染物综合排放标准</w:t>
                  </w:r>
                  <w:r>
                    <w:rPr>
                      <w:rFonts w:hint="eastAsia" w:ascii="Times New Roman" w:hAnsi="Times New Roman" w:cs="宋体"/>
                      <w:color w:val="auto"/>
                      <w:spacing w:val="-3"/>
                      <w:sz w:val="21"/>
                      <w:highlight w:val="none"/>
                      <w:lang w:val="en-US" w:eastAsia="zh-CN"/>
                    </w:rPr>
                    <w:t>详解</w:t>
                  </w:r>
                  <w:r>
                    <w:rPr>
                      <w:rFonts w:ascii="Times New Roman" w:hAnsi="Times New Roman" w:eastAsia="宋体" w:cs="宋体"/>
                      <w:color w:val="auto"/>
                      <w:spacing w:val="-3"/>
                      <w:sz w:val="21"/>
                      <w:highlight w:val="none"/>
                    </w:rPr>
                    <w:t>》</w:t>
                  </w:r>
                  <w:r>
                    <w:rPr>
                      <w:rFonts w:hint="eastAsia" w:ascii="Times New Roman" w:hAnsi="Times New Roman" w:cs="宋体"/>
                      <w:color w:val="auto"/>
                      <w:spacing w:val="-3"/>
                      <w:sz w:val="21"/>
                      <w:highlight w:val="none"/>
                      <w:lang w:eastAsia="zh-CN"/>
                    </w:rPr>
                    <w:t>（</w:t>
                  </w:r>
                  <w:r>
                    <w:rPr>
                      <w:rFonts w:ascii="Times New Roman" w:hAnsi="Times New Roman" w:eastAsia="宋体" w:cs="宋体"/>
                      <w:color w:val="auto"/>
                      <w:spacing w:val="-3"/>
                      <w:sz w:val="21"/>
                      <w:highlight w:val="none"/>
                    </w:rPr>
                    <w:t>GB16297-1996</w:t>
                  </w:r>
                  <w:r>
                    <w:rPr>
                      <w:rFonts w:hint="eastAsia" w:ascii="Times New Roman" w:hAnsi="Times New Roman" w:cs="宋体"/>
                      <w:color w:val="auto"/>
                      <w:spacing w:val="-3"/>
                      <w:sz w:val="21"/>
                      <w:highlight w:val="none"/>
                      <w:lang w:eastAsia="zh-CN"/>
                    </w:rPr>
                    <w:t>）</w:t>
                  </w:r>
                </w:p>
              </w:tc>
            </w:tr>
          </w:tbl>
          <w:p w14:paraId="7A9F543A">
            <w:pPr>
              <w:keepNext/>
              <w:keepLines/>
              <w:widowControl w:val="0"/>
              <w:numPr>
                <w:ilvl w:val="3"/>
                <w:numId w:val="0"/>
              </w:numPr>
              <w:tabs>
                <w:tab w:val="left" w:pos="0"/>
                <w:tab w:val="left" w:pos="420"/>
              </w:tabs>
              <w:bidi w:val="0"/>
              <w:spacing w:line="360" w:lineRule="auto"/>
              <w:ind w:left="864" w:leftChars="0" w:hanging="864" w:firstLineChars="0"/>
              <w:jc w:val="left"/>
              <w:outlineLvl w:val="3"/>
              <w:rPr>
                <w:rFonts w:hint="default" w:ascii="Times New Roman" w:hAnsi="Times New Roman" w:eastAsia="宋体" w:cs="Times New Roman"/>
                <w:b/>
                <w:bCs/>
                <w:color w:val="auto"/>
                <w:kern w:val="2"/>
                <w:sz w:val="24"/>
                <w:szCs w:val="28"/>
                <w:lang w:val="en-US" w:eastAsia="zh-CN" w:bidi="ar-SA"/>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.1.2.2</w:t>
            </w:r>
            <w:r>
              <w:rPr>
                <w:rFonts w:hint="eastAsia" w:ascii="Times New Roman" w:hAnsi="Times New Roman" w:eastAsia="宋体" w:cs="Times New Roman"/>
                <w:b/>
                <w:bCs/>
                <w:color w:val="auto"/>
                <w:kern w:val="2"/>
                <w:sz w:val="24"/>
                <w:szCs w:val="28"/>
                <w:lang w:val="en-US" w:eastAsia="zh-CN" w:bidi="ar-SA"/>
              </w:rPr>
              <w:t>区域大气</w:t>
            </w:r>
            <w:r>
              <w:rPr>
                <w:rFonts w:hint="default" w:ascii="Times New Roman" w:hAnsi="Times New Roman" w:eastAsia="宋体" w:cs="Times New Roman"/>
                <w:b/>
                <w:bCs/>
                <w:color w:val="auto"/>
                <w:kern w:val="2"/>
                <w:sz w:val="24"/>
                <w:szCs w:val="28"/>
                <w:lang w:val="en-US" w:eastAsia="zh-CN" w:bidi="ar-SA"/>
              </w:rPr>
              <w:t>环境质量现状</w:t>
            </w:r>
          </w:p>
          <w:p w14:paraId="1A6EC023">
            <w:pPr>
              <w:widowControl w:val="0"/>
              <w:numPr>
                <w:ilvl w:val="0"/>
                <w:numId w:val="0"/>
              </w:numPr>
              <w:tabs>
                <w:tab w:val="left" w:pos="0"/>
              </w:tabs>
              <w:autoSpaceDE w:val="0"/>
              <w:autoSpaceDN w:val="0"/>
              <w:bidi w:val="0"/>
              <w:spacing w:line="360" w:lineRule="auto"/>
              <w:ind w:left="425" w:leftChars="0" w:hanging="425" w:firstLineChars="0"/>
              <w:jc w:val="both"/>
              <w:rPr>
                <w:rFonts w:hint="eastAsia" w:ascii="Times New Roman" w:hAnsi="Times New Roman" w:eastAsia="宋体" w:cs="宋体"/>
                <w:color w:val="auto"/>
                <w:kern w:val="0"/>
                <w:sz w:val="24"/>
                <w:szCs w:val="20"/>
                <w:highlight w:val="none"/>
                <w:lang w:val="en-US" w:eastAsia="zh-CN" w:bidi="ar-SA"/>
              </w:rPr>
            </w:pPr>
            <w:r>
              <w:rPr>
                <w:rFonts w:hint="eastAsia" w:cs="宋体"/>
                <w:color w:val="auto"/>
                <w:kern w:val="0"/>
                <w:sz w:val="24"/>
                <w:szCs w:val="20"/>
                <w:lang w:val="en-US" w:eastAsia="zh-CN" w:bidi="ar-SA"/>
              </w:rPr>
              <w:t>（1）</w:t>
            </w:r>
            <w:r>
              <w:rPr>
                <w:rFonts w:hint="eastAsia" w:ascii="Times New Roman" w:hAnsi="Times New Roman" w:eastAsia="宋体" w:cs="宋体"/>
                <w:color w:val="auto"/>
                <w:kern w:val="0"/>
                <w:sz w:val="24"/>
                <w:szCs w:val="20"/>
                <w:highlight w:val="none"/>
                <w:lang w:val="en-US" w:eastAsia="zh-CN" w:bidi="ar-SA"/>
              </w:rPr>
              <w:t>城市达标区域判断</w:t>
            </w:r>
          </w:p>
          <w:p w14:paraId="0C8AFA6E">
            <w:pPr>
              <w:widowControl w:val="0"/>
              <w:tabs>
                <w:tab w:val="left" w:pos="0"/>
              </w:tabs>
              <w:autoSpaceDE w:val="0"/>
              <w:autoSpaceDN w:val="0"/>
              <w:bidi w:val="0"/>
              <w:spacing w:line="360" w:lineRule="auto"/>
              <w:ind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城市环境空气质量达标情况评价指标为SO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、NO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10</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2.5</w:t>
            </w:r>
            <w:r>
              <w:rPr>
                <w:rFonts w:hint="eastAsia" w:ascii="Times New Roman" w:hAnsi="Times New Roman" w:eastAsia="宋体" w:cs="宋体"/>
                <w:color w:val="auto"/>
                <w:kern w:val="0"/>
                <w:sz w:val="24"/>
                <w:szCs w:val="20"/>
                <w:highlight w:val="none"/>
                <w:lang w:val="en-US" w:eastAsia="zh-CN" w:bidi="ar-SA"/>
              </w:rPr>
              <w:t>、CO和O</w:t>
            </w:r>
            <w:r>
              <w:rPr>
                <w:rFonts w:hint="eastAsia" w:ascii="Times New Roman" w:hAnsi="Times New Roman" w:eastAsia="宋体" w:cs="宋体"/>
                <w:color w:val="auto"/>
                <w:kern w:val="0"/>
                <w:sz w:val="24"/>
                <w:szCs w:val="20"/>
                <w:highlight w:val="none"/>
                <w:vertAlign w:val="subscript"/>
                <w:lang w:val="en-US" w:eastAsia="zh-CN" w:bidi="ar-SA"/>
              </w:rPr>
              <w:t>3</w:t>
            </w:r>
            <w:r>
              <w:rPr>
                <w:rFonts w:hint="eastAsia" w:ascii="Times New Roman" w:hAnsi="Times New Roman" w:eastAsia="宋体" w:cs="宋体"/>
                <w:color w:val="auto"/>
                <w:kern w:val="0"/>
                <w:sz w:val="24"/>
                <w:szCs w:val="20"/>
                <w:highlight w:val="none"/>
                <w:lang w:val="en-US" w:eastAsia="zh-CN" w:bidi="ar-SA"/>
              </w:rPr>
              <w:t>，六项污染物全部达标即为城市环境空气质量达标。根据福建省生态环境厅发布的“2025年12月福建省城市环境空气质量状况”显示，2025年1—12月，福州市环境空气质量综合指数2.40。由此可知，福州市城区环境空气质量总体达到二级标准，福清市属于达标区域；见表3.1-3。</w:t>
            </w:r>
          </w:p>
          <w:p w14:paraId="612117E5">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宋体"/>
                <w:b/>
                <w:bCs/>
                <w:color w:val="auto"/>
                <w:kern w:val="2"/>
                <w:sz w:val="24"/>
                <w:szCs w:val="21"/>
                <w:lang w:val="en-US" w:eastAsia="zh-CN" w:bidi="ar-SA"/>
              </w:rPr>
              <w:t>表</w:t>
            </w:r>
            <w:r>
              <w:rPr>
                <w:rFonts w:hint="eastAsia" w:cs="宋体"/>
                <w:b/>
                <w:bCs/>
                <w:color w:val="auto"/>
                <w:kern w:val="2"/>
                <w:sz w:val="24"/>
                <w:szCs w:val="21"/>
                <w:lang w:val="en-US" w:eastAsia="zh-CN" w:bidi="ar-SA"/>
              </w:rPr>
              <w:t>3</w:t>
            </w:r>
            <w:r>
              <w:rPr>
                <w:rFonts w:hint="eastAsia" w:ascii="Times New Roman" w:hAnsi="Times New Roman" w:eastAsia="宋体" w:cs="宋体"/>
                <w:b/>
                <w:bCs/>
                <w:color w:val="auto"/>
                <w:kern w:val="2"/>
                <w:sz w:val="24"/>
                <w:szCs w:val="21"/>
                <w:lang w:val="en-US" w:eastAsia="zh-CN" w:bidi="ar-SA"/>
              </w:rPr>
              <w:t>.1-3</w:t>
            </w:r>
            <w:r>
              <w:rPr>
                <w:rFonts w:hint="eastAsia" w:ascii="Times New Roman" w:hAnsi="Times New Roman" w:eastAsia="宋体" w:cs="Times New Roman"/>
                <w:b/>
                <w:bCs/>
                <w:color w:val="auto"/>
                <w:kern w:val="2"/>
                <w:sz w:val="24"/>
                <w:szCs w:val="21"/>
                <w:highlight w:val="none"/>
                <w:lang w:val="en-US" w:eastAsia="zh-CN" w:bidi="ar-SA"/>
              </w:rPr>
              <w:t xml:space="preserve"> 202</w:t>
            </w:r>
            <w:r>
              <w:rPr>
                <w:rFonts w:hint="eastAsia" w:cs="Times New Roman"/>
                <w:b/>
                <w:bCs/>
                <w:color w:val="auto"/>
                <w:kern w:val="2"/>
                <w:sz w:val="24"/>
                <w:szCs w:val="21"/>
                <w:highlight w:val="none"/>
                <w:lang w:val="en-US" w:eastAsia="zh-CN" w:bidi="ar-SA"/>
              </w:rPr>
              <w:t>5</w:t>
            </w:r>
            <w:r>
              <w:rPr>
                <w:rFonts w:hint="eastAsia" w:ascii="Times New Roman" w:hAnsi="Times New Roman" w:eastAsia="宋体" w:cs="Times New Roman"/>
                <w:b/>
                <w:bCs/>
                <w:color w:val="auto"/>
                <w:kern w:val="2"/>
                <w:sz w:val="24"/>
                <w:szCs w:val="21"/>
                <w:highlight w:val="none"/>
                <w:lang w:val="en-US" w:eastAsia="zh-CN" w:bidi="ar-SA"/>
              </w:rPr>
              <w:t>年1—12月县级城市环境空气质量状况</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Layout w:type="autofit"/>
              <w:tblCellMar>
                <w:top w:w="0" w:type="dxa"/>
                <w:left w:w="0" w:type="dxa"/>
                <w:bottom w:w="0" w:type="dxa"/>
                <w:right w:w="0" w:type="dxa"/>
              </w:tblCellMar>
            </w:tblPr>
            <w:tblGrid>
              <w:gridCol w:w="534"/>
              <w:gridCol w:w="829"/>
              <w:gridCol w:w="805"/>
              <w:gridCol w:w="704"/>
              <w:gridCol w:w="737"/>
              <w:gridCol w:w="797"/>
              <w:gridCol w:w="868"/>
              <w:gridCol w:w="1102"/>
              <w:gridCol w:w="1308"/>
              <w:gridCol w:w="932"/>
            </w:tblGrid>
            <w:tr w14:paraId="33B4B61E">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5" w:hRule="atLeast"/>
              </w:trPr>
              <w:tc>
                <w:tcPr>
                  <w:tcW w:w="310" w:type="pct"/>
                  <w:tcBorders>
                    <w:tl2br w:val="nil"/>
                    <w:tr2bl w:val="nil"/>
                  </w:tcBorders>
                  <w:vAlign w:val="center"/>
                </w:tcPr>
                <w:p w14:paraId="3F8770C6">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排</w:t>
                  </w:r>
                </w:p>
                <w:p w14:paraId="0E43485F">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名</w:t>
                  </w:r>
                </w:p>
              </w:tc>
              <w:tc>
                <w:tcPr>
                  <w:tcW w:w="481" w:type="pct"/>
                  <w:tcBorders>
                    <w:tl2br w:val="nil"/>
                    <w:tr2bl w:val="nil"/>
                  </w:tcBorders>
                  <w:vAlign w:val="center"/>
                </w:tcPr>
                <w:p w14:paraId="11885F43">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城市</w:t>
                  </w:r>
                </w:p>
              </w:tc>
              <w:tc>
                <w:tcPr>
                  <w:tcW w:w="467" w:type="pct"/>
                  <w:tcBorders>
                    <w:tl2br w:val="nil"/>
                    <w:tr2bl w:val="nil"/>
                  </w:tcBorders>
                  <w:vAlign w:val="center"/>
                </w:tcPr>
                <w:p w14:paraId="3CC55730">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综合</w:t>
                  </w:r>
                </w:p>
                <w:p w14:paraId="2B006537">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指数</w:t>
                  </w:r>
                </w:p>
              </w:tc>
              <w:tc>
                <w:tcPr>
                  <w:tcW w:w="408" w:type="pct"/>
                  <w:tcBorders>
                    <w:tl2br w:val="nil"/>
                    <w:tr2bl w:val="nil"/>
                  </w:tcBorders>
                  <w:vAlign w:val="center"/>
                </w:tcPr>
                <w:p w14:paraId="07B3287F">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position w:val="2"/>
                      <w:sz w:val="21"/>
                      <w:szCs w:val="21"/>
                    </w:rPr>
                    <w:t>SO</w:t>
                  </w:r>
                  <w:r>
                    <w:rPr>
                      <w:rFonts w:ascii="Times New Roman" w:hAnsi="Times New Roman" w:eastAsia="宋体"/>
                      <w:color w:val="auto"/>
                      <w:spacing w:val="-5"/>
                      <w:sz w:val="21"/>
                      <w:szCs w:val="21"/>
                    </w:rPr>
                    <w:t>2</w:t>
                  </w:r>
                </w:p>
              </w:tc>
              <w:tc>
                <w:tcPr>
                  <w:tcW w:w="427" w:type="pct"/>
                  <w:tcBorders>
                    <w:tl2br w:val="nil"/>
                    <w:tr2bl w:val="nil"/>
                  </w:tcBorders>
                  <w:vAlign w:val="center"/>
                </w:tcPr>
                <w:p w14:paraId="50E73FA6">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position w:val="2"/>
                      <w:sz w:val="21"/>
                      <w:szCs w:val="21"/>
                    </w:rPr>
                    <w:t>NO</w:t>
                  </w:r>
                  <w:r>
                    <w:rPr>
                      <w:rFonts w:ascii="Times New Roman" w:hAnsi="Times New Roman" w:eastAsia="宋体"/>
                      <w:color w:val="auto"/>
                      <w:spacing w:val="-5"/>
                      <w:sz w:val="21"/>
                      <w:szCs w:val="21"/>
                    </w:rPr>
                    <w:t>2</w:t>
                  </w:r>
                </w:p>
              </w:tc>
              <w:tc>
                <w:tcPr>
                  <w:tcW w:w="462" w:type="pct"/>
                  <w:tcBorders>
                    <w:tl2br w:val="nil"/>
                    <w:tr2bl w:val="nil"/>
                  </w:tcBorders>
                  <w:vAlign w:val="center"/>
                </w:tcPr>
                <w:p w14:paraId="0042ABBB">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4"/>
                      <w:position w:val="2"/>
                      <w:sz w:val="21"/>
                      <w:szCs w:val="21"/>
                    </w:rPr>
                    <w:t>PM</w:t>
                  </w:r>
                  <w:r>
                    <w:rPr>
                      <w:rFonts w:ascii="Times New Roman" w:hAnsi="Times New Roman" w:eastAsia="宋体"/>
                      <w:color w:val="auto"/>
                      <w:spacing w:val="-4"/>
                      <w:sz w:val="21"/>
                      <w:szCs w:val="21"/>
                    </w:rPr>
                    <w:t>10</w:t>
                  </w:r>
                </w:p>
              </w:tc>
              <w:tc>
                <w:tcPr>
                  <w:tcW w:w="503" w:type="pct"/>
                  <w:tcBorders>
                    <w:tl2br w:val="nil"/>
                    <w:tr2bl w:val="nil"/>
                  </w:tcBorders>
                  <w:vAlign w:val="center"/>
                </w:tcPr>
                <w:p w14:paraId="1357FBB7">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2"/>
                      <w:w w:val="105"/>
                      <w:position w:val="2"/>
                      <w:sz w:val="21"/>
                      <w:szCs w:val="21"/>
                    </w:rPr>
                    <w:t>PM</w:t>
                  </w:r>
                  <w:r>
                    <w:rPr>
                      <w:rFonts w:ascii="Times New Roman" w:hAnsi="Times New Roman" w:eastAsia="宋体"/>
                      <w:color w:val="auto"/>
                      <w:spacing w:val="-2"/>
                      <w:w w:val="105"/>
                      <w:sz w:val="21"/>
                      <w:szCs w:val="21"/>
                    </w:rPr>
                    <w:t>2.5</w:t>
                  </w:r>
                </w:p>
              </w:tc>
              <w:tc>
                <w:tcPr>
                  <w:tcW w:w="639" w:type="pct"/>
                  <w:tcBorders>
                    <w:tl2br w:val="nil"/>
                    <w:tr2bl w:val="nil"/>
                  </w:tcBorders>
                  <w:vAlign w:val="center"/>
                </w:tcPr>
                <w:p w14:paraId="4E8DE08C">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2"/>
                      <w:position w:val="2"/>
                      <w:sz w:val="21"/>
                      <w:szCs w:val="21"/>
                    </w:rPr>
                    <w:t>CO-</w:t>
                  </w:r>
                  <w:r>
                    <w:rPr>
                      <w:rFonts w:ascii="Times New Roman" w:hAnsi="Times New Roman" w:eastAsia="宋体"/>
                      <w:color w:val="auto"/>
                      <w:spacing w:val="-2"/>
                      <w:sz w:val="21"/>
                      <w:szCs w:val="21"/>
                    </w:rPr>
                    <w:t>95per</w:t>
                  </w:r>
                </w:p>
              </w:tc>
              <w:tc>
                <w:tcPr>
                  <w:tcW w:w="758" w:type="pct"/>
                  <w:tcBorders>
                    <w:tl2br w:val="nil"/>
                    <w:tr2bl w:val="nil"/>
                  </w:tcBorders>
                  <w:vAlign w:val="center"/>
                </w:tcPr>
                <w:p w14:paraId="2FC57400">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position w:val="2"/>
                      <w:sz w:val="21"/>
                      <w:szCs w:val="21"/>
                    </w:rPr>
                    <w:t>O</w:t>
                  </w:r>
                  <w:r>
                    <w:rPr>
                      <w:rFonts w:ascii="Times New Roman" w:hAnsi="Times New Roman" w:eastAsia="宋体"/>
                      <w:color w:val="auto"/>
                      <w:sz w:val="21"/>
                      <w:szCs w:val="21"/>
                    </w:rPr>
                    <w:t>3</w:t>
                  </w:r>
                  <w:r>
                    <w:rPr>
                      <w:rFonts w:ascii="Times New Roman" w:hAnsi="Times New Roman" w:eastAsia="宋体"/>
                      <w:color w:val="auto"/>
                      <w:position w:val="2"/>
                      <w:sz w:val="21"/>
                      <w:szCs w:val="21"/>
                    </w:rPr>
                    <w:t>_</w:t>
                  </w:r>
                  <w:r>
                    <w:rPr>
                      <w:rFonts w:ascii="Times New Roman" w:hAnsi="Times New Roman" w:eastAsia="宋体"/>
                      <w:color w:val="auto"/>
                      <w:sz w:val="21"/>
                      <w:szCs w:val="21"/>
                    </w:rPr>
                    <w:t>8h-</w:t>
                  </w:r>
                  <w:r>
                    <w:rPr>
                      <w:rFonts w:ascii="Times New Roman" w:hAnsi="Times New Roman" w:eastAsia="宋体"/>
                      <w:color w:val="auto"/>
                      <w:spacing w:val="-2"/>
                      <w:sz w:val="21"/>
                      <w:szCs w:val="21"/>
                    </w:rPr>
                    <w:t>90per</w:t>
                  </w:r>
                </w:p>
              </w:tc>
              <w:tc>
                <w:tcPr>
                  <w:tcW w:w="540" w:type="pct"/>
                  <w:tcBorders>
                    <w:tl2br w:val="nil"/>
                    <w:tr2bl w:val="nil"/>
                  </w:tcBorders>
                  <w:vAlign w:val="center"/>
                </w:tcPr>
                <w:p w14:paraId="5982A95B">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首要污</w:t>
                  </w:r>
                </w:p>
                <w:p w14:paraId="439E8F2B">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染物</w:t>
                  </w:r>
                </w:p>
              </w:tc>
            </w:tr>
            <w:tr w14:paraId="18EB407C">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PrEx>
              <w:trPr>
                <w:trHeight w:val="544" w:hRule="atLeast"/>
              </w:trPr>
              <w:tc>
                <w:tcPr>
                  <w:tcW w:w="310" w:type="pct"/>
                  <w:tcBorders>
                    <w:tl2br w:val="nil"/>
                    <w:tr2bl w:val="nil"/>
                  </w:tcBorders>
                  <w:vAlign w:val="center"/>
                </w:tcPr>
                <w:p w14:paraId="546FD28F">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1</w:t>
                  </w:r>
                </w:p>
              </w:tc>
              <w:tc>
                <w:tcPr>
                  <w:tcW w:w="481" w:type="pct"/>
                  <w:tcBorders>
                    <w:tl2br w:val="nil"/>
                    <w:tr2bl w:val="nil"/>
                  </w:tcBorders>
                  <w:vAlign w:val="center"/>
                </w:tcPr>
                <w:p w14:paraId="4FB42D4A">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福州</w:t>
                  </w:r>
                </w:p>
                <w:p w14:paraId="20B3F384">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市</w:t>
                  </w:r>
                </w:p>
              </w:tc>
              <w:tc>
                <w:tcPr>
                  <w:tcW w:w="467" w:type="pct"/>
                  <w:tcBorders>
                    <w:tl2br w:val="nil"/>
                    <w:tr2bl w:val="nil"/>
                  </w:tcBorders>
                  <w:vAlign w:val="center"/>
                </w:tcPr>
                <w:p w14:paraId="017294B0">
                  <w:pPr>
                    <w:pStyle w:val="8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hint="default" w:ascii="Times New Roman" w:hAnsi="Times New Roman" w:eastAsia="宋体"/>
                      <w:color w:val="auto"/>
                      <w:sz w:val="21"/>
                      <w:szCs w:val="21"/>
                      <w:lang w:val="en-US" w:eastAsia="zh-CN"/>
                    </w:rPr>
                  </w:pPr>
                  <w:r>
                    <w:rPr>
                      <w:rFonts w:ascii="Times New Roman" w:hAnsi="Times New Roman" w:eastAsia="宋体"/>
                      <w:color w:val="auto"/>
                      <w:spacing w:val="-4"/>
                      <w:sz w:val="21"/>
                      <w:szCs w:val="21"/>
                    </w:rPr>
                    <w:t>2.</w:t>
                  </w:r>
                  <w:r>
                    <w:rPr>
                      <w:rFonts w:hint="eastAsia" w:ascii="Times New Roman" w:hAnsi="Times New Roman" w:eastAsia="宋体"/>
                      <w:color w:val="auto"/>
                      <w:spacing w:val="-4"/>
                      <w:sz w:val="21"/>
                      <w:szCs w:val="21"/>
                      <w:lang w:val="en-US" w:eastAsia="zh-CN"/>
                    </w:rPr>
                    <w:t>40</w:t>
                  </w:r>
                </w:p>
              </w:tc>
              <w:tc>
                <w:tcPr>
                  <w:tcW w:w="704" w:type="dxa"/>
                  <w:tcBorders>
                    <w:tl2br w:val="nil"/>
                    <w:tr2bl w:val="nil"/>
                  </w:tcBorders>
                  <w:vAlign w:val="center"/>
                </w:tcPr>
                <w:p w14:paraId="14E0C0D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s="宋体"/>
                      <w:i w:val="0"/>
                      <w:iCs w:val="0"/>
                      <w:caps w:val="0"/>
                      <w:color w:val="auto"/>
                      <w:spacing w:val="0"/>
                      <w:sz w:val="21"/>
                      <w:szCs w:val="21"/>
                    </w:rPr>
                    <w:t>4</w:t>
                  </w:r>
                </w:p>
              </w:tc>
              <w:tc>
                <w:tcPr>
                  <w:tcW w:w="736" w:type="dxa"/>
                  <w:tcBorders>
                    <w:tl2br w:val="nil"/>
                    <w:tr2bl w:val="nil"/>
                  </w:tcBorders>
                  <w:vAlign w:val="center"/>
                </w:tcPr>
                <w:p w14:paraId="6B522415">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cs="宋体"/>
                      <w:i w:val="0"/>
                      <w:iCs w:val="0"/>
                      <w:caps w:val="0"/>
                      <w:color w:val="auto"/>
                      <w:spacing w:val="0"/>
                      <w:sz w:val="21"/>
                      <w:szCs w:val="21"/>
                      <w:lang w:val="en-US" w:eastAsia="zh-CN"/>
                    </w:rPr>
                    <w:t>15</w:t>
                  </w:r>
                </w:p>
              </w:tc>
              <w:tc>
                <w:tcPr>
                  <w:tcW w:w="797" w:type="dxa"/>
                  <w:tcBorders>
                    <w:tl2br w:val="nil"/>
                    <w:tr2bl w:val="nil"/>
                  </w:tcBorders>
                  <w:vAlign w:val="center"/>
                </w:tcPr>
                <w:p w14:paraId="34653365">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宋体"/>
                      <w:i w:val="0"/>
                      <w:iCs w:val="0"/>
                      <w:caps w:val="0"/>
                      <w:color w:val="auto"/>
                      <w:spacing w:val="0"/>
                      <w:sz w:val="21"/>
                      <w:szCs w:val="21"/>
                    </w:rPr>
                    <w:t>3</w:t>
                  </w:r>
                  <w:r>
                    <w:rPr>
                      <w:rFonts w:hint="eastAsia" w:cs="宋体"/>
                      <w:i w:val="0"/>
                      <w:iCs w:val="0"/>
                      <w:caps w:val="0"/>
                      <w:color w:val="auto"/>
                      <w:spacing w:val="0"/>
                      <w:sz w:val="21"/>
                      <w:szCs w:val="21"/>
                      <w:lang w:val="en-US" w:eastAsia="zh-CN"/>
                    </w:rPr>
                    <w:t>2</w:t>
                  </w:r>
                </w:p>
              </w:tc>
              <w:tc>
                <w:tcPr>
                  <w:tcW w:w="867" w:type="dxa"/>
                  <w:tcBorders>
                    <w:tl2br w:val="nil"/>
                    <w:tr2bl w:val="nil"/>
                  </w:tcBorders>
                  <w:vAlign w:val="center"/>
                </w:tcPr>
                <w:p w14:paraId="101F9C6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cs="宋体"/>
                      <w:i w:val="0"/>
                      <w:iCs w:val="0"/>
                      <w:caps w:val="0"/>
                      <w:color w:val="auto"/>
                      <w:spacing w:val="0"/>
                      <w:sz w:val="21"/>
                      <w:szCs w:val="21"/>
                      <w:lang w:val="en-US" w:eastAsia="zh-CN"/>
                    </w:rPr>
                    <w:t>17</w:t>
                  </w:r>
                </w:p>
              </w:tc>
              <w:tc>
                <w:tcPr>
                  <w:tcW w:w="1102" w:type="dxa"/>
                  <w:tcBorders>
                    <w:tl2br w:val="nil"/>
                    <w:tr2bl w:val="nil"/>
                  </w:tcBorders>
                  <w:vAlign w:val="center"/>
                </w:tcPr>
                <w:p w14:paraId="268A8719">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宋体"/>
                      <w:i w:val="0"/>
                      <w:iCs w:val="0"/>
                      <w:caps w:val="0"/>
                      <w:color w:val="auto"/>
                      <w:spacing w:val="0"/>
                      <w:sz w:val="21"/>
                      <w:szCs w:val="21"/>
                    </w:rPr>
                    <w:t>0.</w:t>
                  </w:r>
                  <w:r>
                    <w:rPr>
                      <w:rFonts w:hint="eastAsia" w:cs="宋体"/>
                      <w:i w:val="0"/>
                      <w:iCs w:val="0"/>
                      <w:caps w:val="0"/>
                      <w:color w:val="auto"/>
                      <w:spacing w:val="0"/>
                      <w:sz w:val="21"/>
                      <w:szCs w:val="21"/>
                      <w:lang w:val="en-US" w:eastAsia="zh-CN"/>
                    </w:rPr>
                    <w:t>6</w:t>
                  </w:r>
                </w:p>
              </w:tc>
              <w:tc>
                <w:tcPr>
                  <w:tcW w:w="1306" w:type="dxa"/>
                  <w:tcBorders>
                    <w:tl2br w:val="nil"/>
                    <w:tr2bl w:val="nil"/>
                  </w:tcBorders>
                  <w:vAlign w:val="center"/>
                </w:tcPr>
                <w:p w14:paraId="3058D7C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宋体"/>
                      <w:i w:val="0"/>
                      <w:iCs w:val="0"/>
                      <w:caps w:val="0"/>
                      <w:color w:val="auto"/>
                      <w:spacing w:val="0"/>
                      <w:sz w:val="21"/>
                      <w:szCs w:val="21"/>
                    </w:rPr>
                    <w:t>13</w:t>
                  </w:r>
                  <w:r>
                    <w:rPr>
                      <w:rFonts w:hint="eastAsia" w:cs="宋体"/>
                      <w:i w:val="0"/>
                      <w:iCs w:val="0"/>
                      <w:caps w:val="0"/>
                      <w:color w:val="auto"/>
                      <w:spacing w:val="0"/>
                      <w:sz w:val="21"/>
                      <w:szCs w:val="21"/>
                      <w:lang w:val="en-US" w:eastAsia="zh-CN"/>
                    </w:rPr>
                    <w:t>6</w:t>
                  </w:r>
                </w:p>
              </w:tc>
              <w:tc>
                <w:tcPr>
                  <w:tcW w:w="931" w:type="dxa"/>
                  <w:tcBorders>
                    <w:tl2br w:val="nil"/>
                    <w:tr2bl w:val="nil"/>
                  </w:tcBorders>
                  <w:vAlign w:val="center"/>
                </w:tcPr>
                <w:p w14:paraId="47E788C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s="宋体"/>
                      <w:i w:val="0"/>
                      <w:iCs w:val="0"/>
                      <w:caps w:val="0"/>
                      <w:color w:val="auto"/>
                      <w:spacing w:val="0"/>
                      <w:sz w:val="21"/>
                      <w:szCs w:val="21"/>
                    </w:rPr>
                    <w:t>臭氧</w:t>
                  </w:r>
                </w:p>
              </w:tc>
            </w:tr>
          </w:tbl>
          <w:p w14:paraId="38BA07CC">
            <w:pPr>
              <w:widowControl w:val="0"/>
              <w:tabs>
                <w:tab w:val="left" w:pos="0"/>
              </w:tabs>
              <w:autoSpaceDE w:val="0"/>
              <w:autoSpaceDN w:val="0"/>
              <w:bidi w:val="0"/>
              <w:spacing w:line="360" w:lineRule="auto"/>
              <w:ind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详见附图八、附图九</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w:t>
            </w:r>
          </w:p>
          <w:p w14:paraId="53615C2E">
            <w:pPr>
              <w:widowControl w:val="0"/>
              <w:numPr>
                <w:ilvl w:val="0"/>
                <w:numId w:val="0"/>
              </w:numPr>
              <w:tabs>
                <w:tab w:val="left" w:pos="0"/>
              </w:tabs>
              <w:autoSpaceDE w:val="0"/>
              <w:autoSpaceDN w:val="0"/>
              <w:bidi w:val="0"/>
              <w:spacing w:line="360" w:lineRule="auto"/>
              <w:ind w:leftChars="0"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（2）</w:t>
            </w:r>
            <w:r>
              <w:rPr>
                <w:rFonts w:hint="eastAsia" w:ascii="宋体" w:hAnsi="宋体" w:eastAsia="宋体" w:cs="宋体"/>
                <w:color w:val="auto"/>
                <w:kern w:val="0"/>
                <w:sz w:val="24"/>
                <w:szCs w:val="20"/>
                <w:highlight w:val="none"/>
                <w:lang w:val="zh-CN" w:eastAsia="zh-CN" w:bidi="ar-SA"/>
              </w:rPr>
              <w:t>特征</w:t>
            </w:r>
            <w:r>
              <w:rPr>
                <w:rFonts w:hint="eastAsia" w:ascii="Times New Roman" w:hAnsi="Times New Roman" w:eastAsia="宋体" w:cs="宋体"/>
                <w:color w:val="auto"/>
                <w:kern w:val="0"/>
                <w:sz w:val="24"/>
                <w:szCs w:val="20"/>
                <w:highlight w:val="none"/>
                <w:lang w:val="zh-CN" w:eastAsia="zh-CN" w:bidi="ar-SA"/>
              </w:rPr>
              <w:t>污染</w:t>
            </w:r>
            <w:r>
              <w:rPr>
                <w:rFonts w:hint="eastAsia" w:ascii="宋体" w:hAnsi="宋体" w:eastAsia="宋体" w:cs="宋体"/>
                <w:color w:val="auto"/>
                <w:kern w:val="0"/>
                <w:sz w:val="24"/>
                <w:szCs w:val="20"/>
                <w:highlight w:val="none"/>
                <w:lang w:val="zh-CN" w:eastAsia="zh-CN" w:bidi="ar-SA"/>
              </w:rPr>
              <w:t>因子</w:t>
            </w:r>
          </w:p>
          <w:p w14:paraId="75F6BE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根据《关于</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建设项目环境影响报告表</w:t>
            </w:r>
            <w:r>
              <w:rPr>
                <w:rFonts w:hint="eastAsia" w:ascii="Times New Roman" w:hAnsi="Times New Roman" w:eastAsia="宋体" w:cs="Times New Roman"/>
                <w:color w:val="auto"/>
                <w:kern w:val="2"/>
                <w:sz w:val="24"/>
                <w:szCs w:val="24"/>
                <w:highlight w:val="none"/>
                <w:lang w:val="en-US" w:eastAsia="zh-CN" w:bidi="ar-SA"/>
              </w:rPr>
              <w:t>&gt;</w:t>
            </w:r>
            <w:r>
              <w:rPr>
                <w:rFonts w:ascii="Times New Roman" w:hAnsi="Times New Roman" w:eastAsia="宋体" w:cs="Times New Roman"/>
                <w:color w:val="auto"/>
                <w:kern w:val="2"/>
                <w:sz w:val="24"/>
                <w:szCs w:val="24"/>
                <w:highlight w:val="none"/>
                <w:lang w:val="en-US" w:eastAsia="zh-CN" w:bidi="ar-SA"/>
              </w:rPr>
              <w:t>内容、格式及编制技术指南常见问题解答》（生态环境部环境工程评估中心）</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技术指南中提到</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排放国家、地方环境空气质量标准中有标准限值要求的特征污染物</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，其中环境空气质量标准指《环境空气质量标准》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GB3095</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和地方的环境空气质量标准，不包括《环境影响评价技术导则 大气环境》</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HJ2.2-2018</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附录D、《工业企业设计卫生标准》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TJ36-97</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《前苏联居住区标准》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CH245-71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、《环境影响评价技术导则 制药建设项目》</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HJ611-2011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、《大气污染物综合排放标准详解》等导则或参考资料。排放的特征污染物需要在国家、地方环境空气质量标准中有限值要求才涉及现状监测</w:t>
            </w:r>
            <w:r>
              <w:rPr>
                <w:rFonts w:hint="eastAsia" w:cs="Times New Roman"/>
                <w:color w:val="auto"/>
                <w:kern w:val="2"/>
                <w:sz w:val="24"/>
                <w:szCs w:val="24"/>
                <w:highlight w:val="none"/>
                <w:lang w:val="en-US" w:eastAsia="zh-CN" w:bidi="ar-SA"/>
              </w:rPr>
              <w:t>且</w:t>
            </w:r>
            <w:r>
              <w:rPr>
                <w:rFonts w:ascii="Times New Roman" w:hAnsi="Times New Roman" w:eastAsia="宋体" w:cs="Times New Roman"/>
                <w:color w:val="auto"/>
                <w:kern w:val="2"/>
                <w:sz w:val="24"/>
                <w:szCs w:val="24"/>
                <w:highlight w:val="none"/>
                <w:lang w:val="en-US" w:eastAsia="zh-CN" w:bidi="ar-SA"/>
              </w:rPr>
              <w:t>优先引用现有监测数据</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w:t>
            </w:r>
          </w:p>
          <w:p w14:paraId="5B56E55A">
            <w:pPr>
              <w:adjustRightInd w:val="0"/>
              <w:spacing w:line="360" w:lineRule="auto"/>
              <w:ind w:firstLine="480" w:firstLineChars="200"/>
              <w:contextualSpacing/>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排放的其他污染物为非甲烷总烃，</w:t>
            </w:r>
            <w:r>
              <w:rPr>
                <w:rFonts w:hint="eastAsia" w:ascii="Times New Roman" w:hAnsi="Times New Roman" w:eastAsia="宋体" w:cs="Times New Roman"/>
                <w:color w:val="auto"/>
                <w:sz w:val="24"/>
                <w:highlight w:val="none"/>
                <w:lang w:val="en-US" w:eastAsia="zh-CN"/>
              </w:rPr>
              <w:t>其中非甲烷总烃</w:t>
            </w:r>
            <w:r>
              <w:rPr>
                <w:rFonts w:ascii="Times New Roman" w:hAnsi="Times New Roman" w:eastAsia="宋体" w:cs="Times New Roman"/>
                <w:color w:val="auto"/>
                <w:sz w:val="24"/>
                <w:highlight w:val="none"/>
              </w:rPr>
              <w:t>不属于《环境空气质量标准》</w:t>
            </w:r>
            <w:r>
              <w:rPr>
                <w:rFonts w:hint="eastAsia" w:cs="Times New Roman"/>
                <w:color w:val="auto"/>
                <w:sz w:val="24"/>
                <w:highlight w:val="none"/>
                <w:lang w:eastAsia="zh-CN"/>
              </w:rPr>
              <w:t>（GB3095-2026）</w:t>
            </w:r>
            <w:r>
              <w:rPr>
                <w:rFonts w:ascii="Times New Roman" w:hAnsi="Times New Roman" w:eastAsia="宋体" w:cs="Times New Roman"/>
                <w:color w:val="auto"/>
                <w:sz w:val="24"/>
                <w:highlight w:val="none"/>
              </w:rPr>
              <w:t>和地方的环境空气质量中有标准限值要求的污染物，因此</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对非甲烷总烃</w:t>
            </w:r>
            <w:r>
              <w:rPr>
                <w:rFonts w:ascii="Times New Roman" w:hAnsi="Times New Roman" w:eastAsia="宋体" w:cs="Times New Roman"/>
                <w:color w:val="auto"/>
                <w:sz w:val="24"/>
                <w:highlight w:val="none"/>
              </w:rPr>
              <w:t>进行</w:t>
            </w:r>
            <w:r>
              <w:rPr>
                <w:rFonts w:hint="eastAsia" w:ascii="Times New Roman" w:hAnsi="Times New Roman" w:eastAsia="宋体" w:cs="Times New Roman"/>
                <w:color w:val="auto"/>
                <w:sz w:val="24"/>
                <w:highlight w:val="none"/>
              </w:rPr>
              <w:t>特征污染物</w:t>
            </w:r>
            <w:r>
              <w:rPr>
                <w:rFonts w:ascii="Times New Roman" w:hAnsi="Times New Roman" w:eastAsia="宋体" w:cs="Times New Roman"/>
                <w:color w:val="auto"/>
                <w:sz w:val="24"/>
                <w:highlight w:val="none"/>
              </w:rPr>
              <w:t>现状检测评价。</w:t>
            </w:r>
          </w:p>
          <w:p w14:paraId="1B35A964">
            <w:pPr>
              <w:widowControl w:val="0"/>
              <w:spacing w:after="0" w:line="360" w:lineRule="auto"/>
              <w:ind w:left="0" w:leftChars="0" w:firstLine="0" w:firstLineChars="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引用数据的有效性分析</w:t>
            </w:r>
          </w:p>
          <w:p w14:paraId="6BA67D0F">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highlight w:val="none"/>
                <w:lang w:val="en-US" w:eastAsia="zh-CN"/>
              </w:rPr>
              <w:t>根据《环境影响评价技术导则 大气环境》</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HJ2.2-2018</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的6.2.1.1要求：“项目所在区域达标判定，优先采用国家或地方生态环境主管部门发布的评价基准年环境质量公告或环境质量报告中的数据或结论”，根据</w:t>
            </w:r>
            <w:r>
              <w:rPr>
                <w:rFonts w:hint="eastAsia" w:ascii="Times New Roman" w:hAnsi="Times New Roman" w:eastAsia="宋体" w:cs="Times New Roman"/>
                <w:color w:val="auto"/>
                <w:sz w:val="24"/>
                <w:highlight w:val="none"/>
                <w:lang w:val="en-US" w:eastAsia="zh-CN"/>
              </w:rPr>
              <w:t>《建设项目环境影</w:t>
            </w:r>
            <w:r>
              <w:rPr>
                <w:rFonts w:hint="eastAsia" w:ascii="Times New Roman" w:hAnsi="Times New Roman" w:eastAsia="宋体" w:cs="Times New Roman"/>
                <w:color w:val="auto"/>
                <w:kern w:val="0"/>
                <w:sz w:val="24"/>
                <w:szCs w:val="24"/>
                <w:lang w:val="en-US" w:eastAsia="zh-CN" w:bidi="ar"/>
              </w:rPr>
              <w:t>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5E6EB1F0">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本次评价选取福建省生态环境厅</w:t>
            </w:r>
            <w:r>
              <w:rPr>
                <w:rFonts w:hint="eastAsia" w:ascii="Times New Roman" w:hAnsi="Times New Roman" w:eastAsia="宋体" w:cs="Times New Roman"/>
                <w:color w:val="auto"/>
                <w:kern w:val="0"/>
                <w:sz w:val="24"/>
                <w:szCs w:val="24"/>
                <w:lang w:val="en-US" w:eastAsia="zh-CN" w:bidi="ar"/>
              </w:rPr>
              <w:t>发</w:t>
            </w:r>
            <w:r>
              <w:rPr>
                <w:rFonts w:hint="default" w:ascii="Times New Roman" w:hAnsi="Times New Roman" w:eastAsia="宋体" w:cs="Times New Roman"/>
                <w:color w:val="auto"/>
                <w:kern w:val="0"/>
                <w:sz w:val="24"/>
                <w:szCs w:val="24"/>
                <w:lang w:val="en-US" w:eastAsia="zh-CN" w:bidi="ar"/>
              </w:rPr>
              <w:t>布的环境空气质量</w:t>
            </w:r>
            <w:r>
              <w:rPr>
                <w:rFonts w:hint="eastAsia" w:ascii="Times New Roman" w:hAnsi="Times New Roman" w:eastAsia="宋体" w:cs="Times New Roman"/>
                <w:color w:val="auto"/>
                <w:kern w:val="0"/>
                <w:sz w:val="24"/>
                <w:szCs w:val="24"/>
                <w:lang w:val="en-US" w:eastAsia="zh-CN" w:bidi="ar"/>
              </w:rPr>
              <w:t>数据</w:t>
            </w:r>
            <w:r>
              <w:rPr>
                <w:rFonts w:hint="default" w:ascii="Times New Roman" w:hAnsi="Times New Roman" w:eastAsia="宋体" w:cs="Times New Roman"/>
                <w:color w:val="auto"/>
                <w:kern w:val="0"/>
                <w:sz w:val="24"/>
                <w:szCs w:val="24"/>
                <w:lang w:val="en-US" w:eastAsia="zh-CN" w:bidi="ar"/>
              </w:rPr>
              <w:t>，符合《环境影响评价技术导则 大气环境》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、《建设项目环境影响报告表编制技术指南（污染影响类）（试行）》的要求，环境现状监测数据可行。</w:t>
            </w:r>
          </w:p>
          <w:p w14:paraId="5B7C17B7">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.1.3</w:t>
            </w:r>
            <w:r>
              <w:rPr>
                <w:rFonts w:hint="eastAsia" w:ascii="Times New Roman" w:hAnsi="Times New Roman" w:eastAsia="宋体" w:cs="Times New Roman"/>
                <w:b/>
                <w:bCs/>
                <w:color w:val="auto"/>
                <w:kern w:val="2"/>
                <w:sz w:val="24"/>
                <w:szCs w:val="32"/>
                <w:highlight w:val="none"/>
                <w:lang w:val="en-US" w:eastAsia="zh-CN" w:bidi="ar-SA"/>
              </w:rPr>
              <w:t>声环境质量现状</w:t>
            </w:r>
          </w:p>
          <w:p w14:paraId="1E628B71">
            <w:pPr>
              <w:widowControl w:val="0"/>
              <w:numPr>
                <w:ilvl w:val="0"/>
                <w:numId w:val="9"/>
              </w:numPr>
              <w:tabs>
                <w:tab w:val="left" w:pos="0"/>
              </w:tabs>
              <w:autoSpaceDE w:val="0"/>
              <w:autoSpaceDN w:val="0"/>
              <w:spacing w:before="120" w:beforeLines="50" w:line="360" w:lineRule="auto"/>
              <w:ind w:left="425" w:leftChars="0" w:hanging="425" w:firstLineChars="0"/>
              <w:jc w:val="both"/>
              <w:rPr>
                <w:rFonts w:hint="eastAsia" w:ascii="Times New Roman" w:hAnsi="Times New Roman" w:eastAsia="宋体" w:cs="宋体"/>
                <w:color w:val="auto"/>
                <w:kern w:val="0"/>
                <w:sz w:val="24"/>
                <w:szCs w:val="20"/>
                <w:highlight w:val="none"/>
                <w:lang w:val="zh-CN" w:eastAsia="zh-CN" w:bidi="ar-SA"/>
              </w:rPr>
            </w:pPr>
            <w:r>
              <w:rPr>
                <w:rFonts w:hint="eastAsia" w:ascii="Times New Roman" w:hAnsi="Times New Roman" w:eastAsia="宋体" w:cs="宋体"/>
                <w:color w:val="auto"/>
                <w:kern w:val="0"/>
                <w:sz w:val="24"/>
                <w:szCs w:val="20"/>
                <w:highlight w:val="none"/>
                <w:lang w:val="zh-CN" w:eastAsia="zh-CN" w:bidi="ar-SA"/>
              </w:rPr>
              <w:t>声环境功能区</w:t>
            </w:r>
          </w:p>
          <w:p w14:paraId="3CB3C41A">
            <w:pPr>
              <w:widowControl w:val="0"/>
              <w:shd w:val="clear"/>
              <w:tabs>
                <w:tab w:val="left" w:pos="0"/>
              </w:tabs>
              <w:autoSpaceDE w:val="0"/>
              <w:autoSpaceDN w:val="0"/>
              <w:bidi w:val="0"/>
              <w:spacing w:line="360" w:lineRule="auto"/>
              <w:ind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声环境功能执行《声环境质量标准》</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GB3096-2008</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表1中3类标准；</w:t>
            </w:r>
          </w:p>
          <w:p w14:paraId="39776FE1">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宋体"/>
                <w:b/>
                <w:bCs/>
                <w:color w:val="auto"/>
                <w:kern w:val="2"/>
                <w:sz w:val="24"/>
                <w:szCs w:val="21"/>
                <w:lang w:val="en-US" w:eastAsia="zh-CN" w:bidi="ar-SA"/>
              </w:rPr>
              <w:t>表</w:t>
            </w:r>
            <w:r>
              <w:rPr>
                <w:rFonts w:hint="eastAsia" w:cs="宋体"/>
                <w:b/>
                <w:bCs/>
                <w:color w:val="auto"/>
                <w:kern w:val="2"/>
                <w:sz w:val="24"/>
                <w:szCs w:val="21"/>
                <w:lang w:val="en-US" w:eastAsia="zh-CN" w:bidi="ar-SA"/>
              </w:rPr>
              <w:t>3</w:t>
            </w:r>
            <w:r>
              <w:rPr>
                <w:rFonts w:hint="eastAsia" w:ascii="Times New Roman" w:hAnsi="Times New Roman" w:eastAsia="宋体" w:cs="宋体"/>
                <w:b/>
                <w:bCs/>
                <w:color w:val="auto"/>
                <w:kern w:val="2"/>
                <w:sz w:val="24"/>
                <w:szCs w:val="21"/>
                <w:lang w:val="en-US" w:eastAsia="zh-CN" w:bidi="ar-SA"/>
              </w:rPr>
              <w:t>.1-5</w:t>
            </w:r>
            <w:r>
              <w:rPr>
                <w:rFonts w:hint="eastAsia" w:ascii="Times New Roman" w:hAnsi="Times New Roman" w:eastAsia="宋体" w:cs="Times New Roman"/>
                <w:b/>
                <w:bCs/>
                <w:color w:val="auto"/>
                <w:kern w:val="2"/>
                <w:sz w:val="24"/>
                <w:szCs w:val="21"/>
                <w:highlight w:val="none"/>
                <w:lang w:val="en-US" w:eastAsia="zh-CN" w:bidi="ar-SA"/>
              </w:rPr>
              <w:t>《声环境质量标准》</w:t>
            </w:r>
            <w:r>
              <w:rPr>
                <w:rFonts w:hint="eastAsia" w:cs="Times New Roman"/>
                <w:b/>
                <w:bCs/>
                <w:color w:val="auto"/>
                <w:kern w:val="2"/>
                <w:sz w:val="24"/>
                <w:szCs w:val="21"/>
                <w:highlight w:val="none"/>
                <w:lang w:val="en-US" w:eastAsia="zh-CN" w:bidi="ar-SA"/>
              </w:rPr>
              <w:t>（</w:t>
            </w:r>
            <w:r>
              <w:rPr>
                <w:rFonts w:hint="eastAsia" w:ascii="Times New Roman" w:hAnsi="Times New Roman" w:eastAsia="宋体" w:cs="Times New Roman"/>
                <w:b/>
                <w:bCs/>
                <w:color w:val="auto"/>
                <w:kern w:val="2"/>
                <w:sz w:val="24"/>
                <w:szCs w:val="21"/>
                <w:highlight w:val="none"/>
                <w:lang w:val="en-US" w:eastAsia="zh-CN" w:bidi="ar-SA"/>
              </w:rPr>
              <w:t>GB3096-2008)</w:t>
            </w:r>
            <w:r>
              <w:rPr>
                <w:rFonts w:hint="eastAsia" w:cs="Times New Roman"/>
                <w:b/>
                <w:bCs/>
                <w:color w:val="auto"/>
                <w:kern w:val="2"/>
                <w:sz w:val="24"/>
                <w:szCs w:val="21"/>
                <w:highlight w:val="none"/>
                <w:lang w:val="en-US" w:eastAsia="zh-CN" w:bidi="ar-SA"/>
              </w:rPr>
              <w:t>（</w:t>
            </w:r>
            <w:r>
              <w:rPr>
                <w:rFonts w:hint="eastAsia" w:ascii="Times New Roman" w:hAnsi="Times New Roman" w:eastAsia="宋体" w:cs="Times New Roman"/>
                <w:b/>
                <w:bCs/>
                <w:color w:val="auto"/>
                <w:kern w:val="2"/>
                <w:sz w:val="24"/>
                <w:szCs w:val="21"/>
                <w:highlight w:val="none"/>
                <w:lang w:val="en-US" w:eastAsia="zh-CN" w:bidi="ar-SA"/>
              </w:rPr>
              <w:t>摘录</w:t>
            </w:r>
            <w:r>
              <w:rPr>
                <w:rFonts w:hint="eastAsia" w:cs="Times New Roman"/>
                <w:b/>
                <w:bCs/>
                <w:color w:val="auto"/>
                <w:kern w:val="2"/>
                <w:sz w:val="24"/>
                <w:szCs w:val="21"/>
                <w:highlight w:val="none"/>
                <w:lang w:val="en-US" w:eastAsia="zh-CN" w:bidi="ar-SA"/>
              </w:rPr>
              <w:t>）</w:t>
            </w:r>
          </w:p>
          <w:tbl>
            <w:tblPr>
              <w:tblStyle w:val="24"/>
              <w:tblW w:w="5073" w:type="pct"/>
              <w:tblInd w:w="-79"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autofit"/>
              <w:tblCellMar>
                <w:top w:w="0" w:type="dxa"/>
                <w:left w:w="0" w:type="dxa"/>
                <w:bottom w:w="0" w:type="dxa"/>
                <w:right w:w="0" w:type="dxa"/>
              </w:tblCellMar>
            </w:tblPr>
            <w:tblGrid>
              <w:gridCol w:w="1018"/>
              <w:gridCol w:w="4637"/>
              <w:gridCol w:w="1531"/>
              <w:gridCol w:w="1561"/>
            </w:tblGrid>
            <w:tr w14:paraId="7024279B">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PrEx>
              <w:trPr>
                <w:trHeight w:val="397" w:hRule="atLeast"/>
              </w:trPr>
              <w:tc>
                <w:tcPr>
                  <w:tcW w:w="582" w:type="pct"/>
                  <w:vMerge w:val="restart"/>
                  <w:tcBorders>
                    <w:bottom w:val="single" w:color="000000" w:sz="4" w:space="0"/>
                  </w:tcBorders>
                  <w:vAlign w:val="center"/>
                </w:tcPr>
                <w:p w14:paraId="34B74FC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6"/>
                      <w:kern w:val="2"/>
                      <w:sz w:val="21"/>
                      <w:szCs w:val="24"/>
                      <w:lang w:val="zh-CN" w:eastAsia="zh-CN" w:bidi="zh-CN"/>
                    </w:rPr>
                    <w:t>标准</w:t>
                  </w:r>
                  <w:r>
                    <w:rPr>
                      <w:rFonts w:ascii="Times New Roman" w:hAnsi="Times New Roman" w:eastAsia="宋体" w:cs="宋体"/>
                      <w:color w:val="auto"/>
                      <w:spacing w:val="-8"/>
                      <w:kern w:val="2"/>
                      <w:sz w:val="21"/>
                      <w:szCs w:val="24"/>
                      <w:lang w:val="zh-CN" w:eastAsia="zh-CN" w:bidi="zh-CN"/>
                    </w:rPr>
                    <w:t>类别</w:t>
                  </w:r>
                </w:p>
              </w:tc>
              <w:tc>
                <w:tcPr>
                  <w:tcW w:w="2650" w:type="pct"/>
                  <w:vMerge w:val="restart"/>
                  <w:tcBorders>
                    <w:bottom w:val="single" w:color="000000" w:sz="4" w:space="0"/>
                  </w:tcBorders>
                  <w:vAlign w:val="center"/>
                </w:tcPr>
                <w:p w14:paraId="1F5FDA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7"/>
                      <w:kern w:val="2"/>
                      <w:sz w:val="21"/>
                      <w:szCs w:val="24"/>
                      <w:lang w:val="zh-CN" w:eastAsia="zh-CN" w:bidi="zh-CN"/>
                    </w:rPr>
                    <w:t>适用区域</w:t>
                  </w:r>
                </w:p>
              </w:tc>
              <w:tc>
                <w:tcPr>
                  <w:tcW w:w="1767" w:type="pct"/>
                  <w:gridSpan w:val="2"/>
                  <w:tcBorders>
                    <w:bottom w:val="single" w:color="000000" w:sz="4" w:space="0"/>
                  </w:tcBorders>
                  <w:vAlign w:val="center"/>
                </w:tcPr>
                <w:p w14:paraId="3641136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spacing w:val="-12"/>
                      <w:kern w:val="2"/>
                      <w:position w:val="2"/>
                      <w:sz w:val="21"/>
                      <w:szCs w:val="24"/>
                      <w:lang w:val="zh-CN" w:eastAsia="zh-CN" w:bidi="zh-CN"/>
                    </w:rPr>
                  </w:pPr>
                  <w:r>
                    <w:rPr>
                      <w:rFonts w:ascii="Times New Roman" w:hAnsi="Times New Roman" w:eastAsia="宋体" w:cs="宋体"/>
                      <w:color w:val="auto"/>
                      <w:spacing w:val="-12"/>
                      <w:kern w:val="2"/>
                      <w:position w:val="2"/>
                      <w:sz w:val="21"/>
                      <w:szCs w:val="24"/>
                      <w:lang w:val="zh-CN" w:eastAsia="zh-CN" w:bidi="zh-CN"/>
                    </w:rPr>
                    <w:t xml:space="preserve">等效声级 </w:t>
                  </w:r>
                  <w:r>
                    <w:rPr>
                      <w:rFonts w:ascii="Times New Roman" w:hAnsi="Times New Roman" w:eastAsia="宋体" w:cs="宋体"/>
                      <w:color w:val="auto"/>
                      <w:spacing w:val="-4"/>
                      <w:kern w:val="2"/>
                      <w:position w:val="2"/>
                      <w:sz w:val="21"/>
                      <w:szCs w:val="24"/>
                      <w:lang w:val="zh-CN" w:eastAsia="zh-CN" w:bidi="zh-CN"/>
                    </w:rPr>
                    <w:t>L</w:t>
                  </w:r>
                  <w:r>
                    <w:rPr>
                      <w:rFonts w:ascii="Times New Roman" w:hAnsi="Times New Roman" w:eastAsia="宋体" w:cs="宋体"/>
                      <w:color w:val="auto"/>
                      <w:spacing w:val="-4"/>
                      <w:kern w:val="2"/>
                      <w:sz w:val="13"/>
                      <w:szCs w:val="24"/>
                      <w:lang w:val="zh-CN" w:eastAsia="zh-CN" w:bidi="zh-CN"/>
                    </w:rPr>
                    <w:t>eq</w:t>
                  </w:r>
                  <w:r>
                    <w:rPr>
                      <w:rFonts w:ascii="Times New Roman" w:hAnsi="Times New Roman" w:eastAsia="宋体" w:cs="宋体"/>
                      <w:color w:val="auto"/>
                      <w:spacing w:val="-4"/>
                      <w:kern w:val="2"/>
                      <w:position w:val="2"/>
                      <w:sz w:val="21"/>
                      <w:szCs w:val="24"/>
                      <w:lang w:val="zh-CN" w:eastAsia="zh-CN" w:bidi="zh-CN"/>
                    </w:rPr>
                    <w:t>(dB(A))</w:t>
                  </w:r>
                </w:p>
              </w:tc>
            </w:tr>
            <w:tr w14:paraId="4D007BBA">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582" w:type="pct"/>
                  <w:vMerge w:val="continue"/>
                  <w:tcBorders>
                    <w:top w:val="single" w:color="000000" w:sz="4" w:space="0"/>
                    <w:tl2br w:val="nil"/>
                    <w:tr2bl w:val="nil"/>
                  </w:tcBorders>
                  <w:vAlign w:val="center"/>
                </w:tcPr>
                <w:p w14:paraId="10D5427B">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s="Times New Roman"/>
                      <w:color w:val="auto"/>
                      <w:sz w:val="2"/>
                      <w:szCs w:val="2"/>
                    </w:rPr>
                  </w:pPr>
                </w:p>
              </w:tc>
              <w:tc>
                <w:tcPr>
                  <w:tcW w:w="2650" w:type="pct"/>
                  <w:vMerge w:val="continue"/>
                  <w:tcBorders>
                    <w:top w:val="single" w:color="000000" w:sz="4" w:space="0"/>
                    <w:tl2br w:val="nil"/>
                    <w:tr2bl w:val="nil"/>
                  </w:tcBorders>
                  <w:vAlign w:val="center"/>
                </w:tcPr>
                <w:p w14:paraId="5696F101">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s="Times New Roman"/>
                      <w:color w:val="auto"/>
                      <w:sz w:val="2"/>
                      <w:szCs w:val="2"/>
                    </w:rPr>
                  </w:pPr>
                </w:p>
              </w:tc>
              <w:tc>
                <w:tcPr>
                  <w:tcW w:w="875" w:type="pct"/>
                  <w:tcBorders>
                    <w:top w:val="single" w:color="000000" w:sz="4" w:space="0"/>
                    <w:tl2br w:val="nil"/>
                    <w:tr2bl w:val="nil"/>
                  </w:tcBorders>
                  <w:vAlign w:val="center"/>
                </w:tcPr>
                <w:p w14:paraId="78039B8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8"/>
                      <w:kern w:val="2"/>
                      <w:sz w:val="21"/>
                      <w:szCs w:val="24"/>
                      <w:lang w:val="zh-CN" w:eastAsia="zh-CN" w:bidi="zh-CN"/>
                    </w:rPr>
                    <w:t>昼间</w:t>
                  </w:r>
                </w:p>
              </w:tc>
              <w:tc>
                <w:tcPr>
                  <w:tcW w:w="891" w:type="pct"/>
                  <w:tcBorders>
                    <w:top w:val="single" w:color="000000" w:sz="4" w:space="0"/>
                    <w:tl2br w:val="nil"/>
                    <w:tr2bl w:val="nil"/>
                  </w:tcBorders>
                  <w:vAlign w:val="center"/>
                </w:tcPr>
                <w:p w14:paraId="5FA2A9D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color w:val="auto"/>
                      <w:spacing w:val="-8"/>
                      <w:kern w:val="2"/>
                      <w:sz w:val="21"/>
                      <w:szCs w:val="24"/>
                      <w:lang w:val="en-US" w:eastAsia="zh-CN" w:bidi="zh-CN"/>
                    </w:rPr>
                  </w:pPr>
                  <w:r>
                    <w:rPr>
                      <w:rFonts w:hint="eastAsia" w:ascii="Times New Roman" w:hAnsi="Times New Roman" w:eastAsia="宋体" w:cs="宋体"/>
                      <w:color w:val="auto"/>
                      <w:spacing w:val="-8"/>
                      <w:kern w:val="2"/>
                      <w:sz w:val="21"/>
                      <w:szCs w:val="24"/>
                      <w:lang w:val="en-US" w:eastAsia="zh-CN" w:bidi="zh-CN"/>
                    </w:rPr>
                    <w:t>夜间</w:t>
                  </w:r>
                </w:p>
              </w:tc>
            </w:tr>
            <w:tr w14:paraId="67727932">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679" w:hRule="atLeast"/>
              </w:trPr>
              <w:tc>
                <w:tcPr>
                  <w:tcW w:w="582" w:type="pct"/>
                  <w:tcBorders>
                    <w:tl2br w:val="nil"/>
                    <w:tr2bl w:val="nil"/>
                  </w:tcBorders>
                  <w:vAlign w:val="center"/>
                </w:tcPr>
                <w:p w14:paraId="58E61FC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color w:val="auto"/>
                      <w:spacing w:val="-10"/>
                      <w:kern w:val="2"/>
                      <w:sz w:val="21"/>
                      <w:szCs w:val="24"/>
                      <w:lang w:val="en-US" w:eastAsia="zh-CN" w:bidi="zh-CN"/>
                    </w:rPr>
                  </w:pPr>
                  <w:r>
                    <w:rPr>
                      <w:rFonts w:hint="eastAsia" w:ascii="Times New Roman" w:hAnsi="Times New Roman" w:eastAsia="宋体" w:cs="宋体"/>
                      <w:color w:val="auto"/>
                      <w:spacing w:val="-10"/>
                      <w:kern w:val="2"/>
                      <w:sz w:val="21"/>
                      <w:szCs w:val="24"/>
                      <w:lang w:val="en-US" w:eastAsia="zh-CN" w:bidi="zh-CN"/>
                    </w:rPr>
                    <w:t>3</w:t>
                  </w:r>
                </w:p>
              </w:tc>
              <w:tc>
                <w:tcPr>
                  <w:tcW w:w="2650" w:type="pct"/>
                  <w:tcBorders>
                    <w:tl2br w:val="nil"/>
                    <w:tr2bl w:val="nil"/>
                  </w:tcBorders>
                  <w:vAlign w:val="center"/>
                </w:tcPr>
                <w:p w14:paraId="597E36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spacing w:val="-3"/>
                      <w:kern w:val="2"/>
                      <w:sz w:val="21"/>
                      <w:szCs w:val="24"/>
                      <w:lang w:val="zh-CN" w:eastAsia="zh-CN" w:bidi="zh-CN"/>
                    </w:rPr>
                  </w:pPr>
                  <w:r>
                    <w:rPr>
                      <w:rFonts w:hint="eastAsia" w:ascii="Times New Roman" w:hAnsi="Times New Roman" w:eastAsia="宋体" w:cs="宋体"/>
                      <w:color w:val="auto"/>
                      <w:spacing w:val="-3"/>
                      <w:kern w:val="2"/>
                      <w:sz w:val="21"/>
                      <w:szCs w:val="24"/>
                      <w:lang w:val="zh-CN" w:eastAsia="zh-CN" w:bidi="zh-CN"/>
                    </w:rPr>
                    <w:t>指</w:t>
                  </w:r>
                  <w:r>
                    <w:rPr>
                      <w:rFonts w:hint="eastAsia" w:ascii="Times New Roman" w:hAnsi="Times New Roman" w:eastAsia="宋体" w:cs="宋体"/>
                      <w:color w:val="auto"/>
                      <w:spacing w:val="-3"/>
                      <w:kern w:val="2"/>
                      <w:sz w:val="21"/>
                      <w:szCs w:val="24"/>
                      <w:lang w:val="en-US" w:eastAsia="zh-CN" w:bidi="zh-CN"/>
                    </w:rPr>
                    <w:t>以工业生产、仓储物流为主要功能，需要防止工业噪声对周围环境产生严重影响的区域。</w:t>
                  </w:r>
                </w:p>
              </w:tc>
              <w:tc>
                <w:tcPr>
                  <w:tcW w:w="875" w:type="pct"/>
                  <w:tcBorders>
                    <w:tl2br w:val="nil"/>
                    <w:tr2bl w:val="nil"/>
                  </w:tcBorders>
                  <w:vAlign w:val="center"/>
                </w:tcPr>
                <w:p w14:paraId="319715A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color w:val="auto"/>
                      <w:spacing w:val="-5"/>
                      <w:kern w:val="2"/>
                      <w:sz w:val="21"/>
                      <w:szCs w:val="24"/>
                      <w:lang w:val="zh-CN" w:eastAsia="zh-CN" w:bidi="zh-CN"/>
                    </w:rPr>
                  </w:pPr>
                  <w:r>
                    <w:rPr>
                      <w:rFonts w:ascii="Times New Roman" w:hAnsi="Times New Roman" w:eastAsia="宋体" w:cs="宋体"/>
                      <w:color w:val="auto"/>
                      <w:spacing w:val="-5"/>
                      <w:kern w:val="2"/>
                      <w:sz w:val="21"/>
                      <w:szCs w:val="24"/>
                      <w:lang w:val="zh-CN" w:eastAsia="zh-CN" w:bidi="zh-CN"/>
                    </w:rPr>
                    <w:t>≤6</w:t>
                  </w:r>
                  <w:r>
                    <w:rPr>
                      <w:rFonts w:hint="eastAsia" w:ascii="Times New Roman" w:hAnsi="Times New Roman" w:eastAsia="宋体" w:cs="宋体"/>
                      <w:color w:val="auto"/>
                      <w:spacing w:val="-5"/>
                      <w:kern w:val="2"/>
                      <w:sz w:val="21"/>
                      <w:szCs w:val="24"/>
                      <w:lang w:val="en-US" w:eastAsia="zh-CN" w:bidi="zh-CN"/>
                    </w:rPr>
                    <w:t>5</w:t>
                  </w:r>
                </w:p>
              </w:tc>
              <w:tc>
                <w:tcPr>
                  <w:tcW w:w="891" w:type="pct"/>
                  <w:tcBorders>
                    <w:tl2br w:val="nil"/>
                    <w:tr2bl w:val="nil"/>
                  </w:tcBorders>
                  <w:vAlign w:val="center"/>
                </w:tcPr>
                <w:p w14:paraId="48B06C3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宋体"/>
                      <w:color w:val="auto"/>
                      <w:spacing w:val="-5"/>
                      <w:kern w:val="2"/>
                      <w:sz w:val="21"/>
                      <w:szCs w:val="24"/>
                      <w:lang w:val="en-US" w:eastAsia="zh-CN" w:bidi="zh-CN"/>
                    </w:rPr>
                  </w:pPr>
                  <w:r>
                    <w:rPr>
                      <w:rFonts w:ascii="Times New Roman" w:hAnsi="Times New Roman" w:eastAsia="宋体" w:cs="宋体"/>
                      <w:color w:val="auto"/>
                      <w:spacing w:val="-5"/>
                      <w:kern w:val="2"/>
                      <w:sz w:val="21"/>
                      <w:szCs w:val="24"/>
                      <w:lang w:val="zh-CN" w:eastAsia="zh-CN" w:bidi="zh-CN"/>
                    </w:rPr>
                    <w:t>≤</w:t>
                  </w:r>
                  <w:r>
                    <w:rPr>
                      <w:rFonts w:hint="eastAsia" w:ascii="Times New Roman" w:hAnsi="Times New Roman" w:eastAsia="宋体" w:cs="宋体"/>
                      <w:color w:val="auto"/>
                      <w:spacing w:val="-5"/>
                      <w:kern w:val="2"/>
                      <w:sz w:val="21"/>
                      <w:szCs w:val="24"/>
                      <w:lang w:val="en-US" w:eastAsia="zh-CN" w:bidi="zh-CN"/>
                    </w:rPr>
                    <w:t>55</w:t>
                  </w:r>
                </w:p>
              </w:tc>
            </w:tr>
          </w:tbl>
          <w:p w14:paraId="24DB56EE">
            <w:pPr>
              <w:widowControl w:val="0"/>
              <w:numPr>
                <w:ilvl w:val="0"/>
                <w:numId w:val="9"/>
              </w:numPr>
              <w:tabs>
                <w:tab w:val="left" w:pos="0"/>
              </w:tabs>
              <w:autoSpaceDE w:val="0"/>
              <w:autoSpaceDN w:val="0"/>
              <w:spacing w:before="120" w:beforeLines="50" w:line="360" w:lineRule="auto"/>
              <w:ind w:left="425" w:leftChars="0" w:hanging="425" w:firstLineChars="0"/>
              <w:jc w:val="both"/>
              <w:rPr>
                <w:rFonts w:hint="eastAsia" w:ascii="Times New Roman" w:hAnsi="Times New Roman" w:eastAsia="宋体" w:cs="宋体"/>
                <w:color w:val="auto"/>
                <w:kern w:val="0"/>
                <w:sz w:val="24"/>
                <w:szCs w:val="20"/>
                <w:highlight w:val="none"/>
                <w:lang w:val="zh-CN" w:eastAsia="zh-CN" w:bidi="ar-SA"/>
              </w:rPr>
            </w:pPr>
            <w:r>
              <w:rPr>
                <w:rFonts w:hint="eastAsia" w:ascii="Times New Roman" w:hAnsi="Times New Roman" w:eastAsia="宋体" w:cs="宋体"/>
                <w:color w:val="auto"/>
                <w:kern w:val="0"/>
                <w:sz w:val="24"/>
                <w:szCs w:val="20"/>
                <w:highlight w:val="none"/>
                <w:lang w:val="zh-CN" w:eastAsia="zh-CN" w:bidi="ar-SA"/>
              </w:rPr>
              <w:t>声环境质量现状</w:t>
            </w:r>
          </w:p>
          <w:p w14:paraId="56899798">
            <w:pPr>
              <w:widowControl w:val="0"/>
              <w:shd w:val="clear"/>
              <w:tabs>
                <w:tab w:val="left" w:pos="0"/>
              </w:tabs>
              <w:autoSpaceDE w:val="0"/>
              <w:autoSpaceDN w:val="0"/>
              <w:bidi w:val="0"/>
              <w:spacing w:line="360" w:lineRule="auto"/>
              <w:ind w:firstLine="480" w:firstLineChars="200"/>
              <w:jc w:val="both"/>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3B2BABC3">
            <w:pPr>
              <w:widowControl w:val="0"/>
              <w:shd w:val="clear"/>
              <w:tabs>
                <w:tab w:val="left" w:pos="0"/>
              </w:tabs>
              <w:autoSpaceDE w:val="0"/>
              <w:autoSpaceDN w:val="0"/>
              <w:bidi w:val="0"/>
              <w:spacing w:line="360" w:lineRule="auto"/>
              <w:ind w:firstLine="480" w:firstLineChars="200"/>
              <w:jc w:val="both"/>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根据现场踏勘可知，项目周边50米范围内无声环境保护目标，可不进行声环境质量现状的监测。</w:t>
            </w:r>
          </w:p>
          <w:p w14:paraId="5650E7E5">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.1.4</w:t>
            </w:r>
            <w:r>
              <w:rPr>
                <w:rFonts w:hint="eastAsia" w:ascii="Times New Roman" w:hAnsi="Times New Roman" w:eastAsia="宋体" w:cs="Times New Roman"/>
                <w:b/>
                <w:bCs/>
                <w:color w:val="auto"/>
                <w:kern w:val="2"/>
                <w:sz w:val="24"/>
                <w:szCs w:val="32"/>
                <w:highlight w:val="none"/>
                <w:lang w:val="en-US" w:eastAsia="zh-CN" w:bidi="ar-SA"/>
              </w:rPr>
              <w:t>生态环境</w:t>
            </w:r>
          </w:p>
          <w:p w14:paraId="57460F4A">
            <w:pPr>
              <w:keepNext w:val="0"/>
              <w:keepLines w:val="0"/>
              <w:pageBreakBefore w:val="0"/>
              <w:widowControl w:val="0"/>
              <w:tabs>
                <w:tab w:val="left" w:pos="0"/>
              </w:tabs>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eastAsia="宋体" w:cs="宋体"/>
                <w:color w:val="auto"/>
                <w:kern w:val="0"/>
                <w:sz w:val="24"/>
                <w:szCs w:val="20"/>
                <w:highlight w:val="none"/>
                <w:lang w:val="zh-CN" w:eastAsia="zh-CN" w:bidi="ar-SA"/>
              </w:rPr>
            </w:pPr>
            <w:r>
              <w:rPr>
                <w:rFonts w:hint="eastAsia" w:ascii="Times New Roman" w:hAnsi="Times New Roman" w:eastAsia="宋体" w:cs="宋体"/>
                <w:color w:val="auto"/>
                <w:kern w:val="0"/>
                <w:sz w:val="24"/>
                <w:szCs w:val="20"/>
                <w:highlight w:val="none"/>
                <w:lang w:val="zh-CN" w:eastAsia="zh-CN" w:bidi="ar-SA"/>
              </w:rPr>
              <w:t>根据《建设项目环境影响报告表编制技术指南（污染影响类）（试行）》，“产业园区外建设项目新增用地且用地范围内含生态环境保护目标时，应进行生态现状调查”。本项目位于福清市福清融侨经济技术开发区，</w:t>
            </w:r>
            <w:r>
              <w:rPr>
                <w:rFonts w:hint="eastAsia" w:ascii="Times New Roman" w:hAnsi="Times New Roman" w:eastAsia="宋体" w:cs="宋体"/>
                <w:color w:val="auto"/>
                <w:kern w:val="0"/>
                <w:sz w:val="24"/>
                <w:szCs w:val="20"/>
                <w:highlight w:val="none"/>
                <w:lang w:val="en-US" w:eastAsia="zh-CN" w:bidi="ar-SA"/>
              </w:rPr>
              <w:t>厂房已建设，</w:t>
            </w:r>
            <w:r>
              <w:rPr>
                <w:rFonts w:hint="eastAsia" w:ascii="Times New Roman" w:hAnsi="Times New Roman" w:eastAsia="宋体" w:cs="宋体"/>
                <w:color w:val="auto"/>
                <w:kern w:val="0"/>
                <w:sz w:val="24"/>
                <w:szCs w:val="20"/>
                <w:highlight w:val="none"/>
                <w:lang w:val="zh-CN" w:eastAsia="zh-CN" w:bidi="ar-SA"/>
              </w:rPr>
              <w:t>用地范围内无生态环境保护目标，无需进行生态现状调查。</w:t>
            </w:r>
          </w:p>
          <w:p w14:paraId="197D37F6">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.1.5</w:t>
            </w:r>
            <w:r>
              <w:rPr>
                <w:rFonts w:hint="eastAsia" w:ascii="Times New Roman" w:hAnsi="Times New Roman" w:eastAsia="宋体" w:cs="Times New Roman"/>
                <w:b/>
                <w:bCs/>
                <w:color w:val="auto"/>
                <w:kern w:val="2"/>
                <w:sz w:val="24"/>
                <w:szCs w:val="32"/>
                <w:highlight w:val="none"/>
                <w:lang w:val="en-US" w:eastAsia="zh-CN" w:bidi="ar-SA"/>
              </w:rPr>
              <w:t>地下水、土壤环境</w:t>
            </w:r>
          </w:p>
          <w:p w14:paraId="5EAD7237">
            <w:pPr>
              <w:widowControl/>
              <w:spacing w:line="360" w:lineRule="auto"/>
              <w:ind w:firstLine="480" w:firstLineChars="200"/>
              <w:jc w:val="left"/>
              <w:rPr>
                <w:rFonts w:hint="eastAsia"/>
                <w:vertAlign w:val="baseline"/>
                <w:lang w:eastAsia="zh-CN"/>
              </w:rPr>
            </w:pPr>
            <w:r>
              <w:rPr>
                <w:rFonts w:hint="eastAsia" w:ascii="Times New Roman" w:hAnsi="Times New Roman" w:eastAsia="宋体" w:cs="宋体"/>
                <w:b w:val="0"/>
                <w:bCs w:val="0"/>
                <w:color w:val="auto"/>
                <w:kern w:val="0"/>
                <w:sz w:val="24"/>
                <w:szCs w:val="20"/>
                <w:highlight w:val="none"/>
                <w:lang w:val="zh-CN" w:eastAsia="zh-CN" w:bidi="ar-SA"/>
              </w:rPr>
              <w:t>根据《建设项目环境影响报告表编制技术指南（污染影响类）（试行）》中表明：原则上不开展地下水、土壤环境质量现状调查。本项目厂区车间经分区防渗后，项目基本不会对土壤、地下水产生影响</w:t>
            </w:r>
            <w:r>
              <w:rPr>
                <w:rFonts w:hint="eastAsia" w:cs="宋体"/>
                <w:b w:val="0"/>
                <w:bCs w:val="0"/>
                <w:color w:val="auto"/>
                <w:kern w:val="0"/>
                <w:sz w:val="24"/>
                <w:szCs w:val="20"/>
                <w:highlight w:val="none"/>
                <w:lang w:val="zh-CN" w:eastAsia="zh-CN" w:bidi="ar-SA"/>
              </w:rPr>
              <w:t>且</w:t>
            </w:r>
            <w:r>
              <w:rPr>
                <w:rFonts w:hint="eastAsia" w:ascii="Times New Roman" w:hAnsi="Times New Roman" w:eastAsia="宋体" w:cs="宋体"/>
                <w:b w:val="0"/>
                <w:bCs w:val="0"/>
                <w:color w:val="auto"/>
                <w:kern w:val="0"/>
                <w:sz w:val="24"/>
                <w:szCs w:val="20"/>
                <w:highlight w:val="none"/>
                <w:lang w:val="zh-CN" w:eastAsia="zh-CN" w:bidi="ar-SA"/>
              </w:rPr>
              <w:t>项目厂界外500m范围内无地下水集中式饮用水水源和热水、矿泉水、泉水等特殊地下水资源。因此，本项目不开展地下水、土壤环境质量现状调查。</w:t>
            </w:r>
            <w:bookmarkEnd w:id="40"/>
          </w:p>
        </w:tc>
      </w:tr>
      <w:tr w14:paraId="42EB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2" w:hRule="atLeast"/>
        </w:trPr>
        <w:tc>
          <w:tcPr>
            <w:tcW w:w="456" w:type="dxa"/>
            <w:vAlign w:val="center"/>
          </w:tcPr>
          <w:p w14:paraId="786291D9">
            <w:pPr>
              <w:jc w:val="center"/>
              <w:rPr>
                <w:rFonts w:hint="eastAsia"/>
                <w:vertAlign w:val="baseline"/>
                <w:lang w:eastAsia="zh-CN"/>
              </w:rPr>
            </w:pPr>
            <w:r>
              <w:rPr>
                <w:rFonts w:hint="eastAsia"/>
                <w:sz w:val="24"/>
                <w:szCs w:val="24"/>
                <w:vertAlign w:val="baseline"/>
                <w:lang w:eastAsia="zh-CN"/>
              </w:rPr>
              <w:t>环境保护目标</w:t>
            </w:r>
          </w:p>
        </w:tc>
        <w:tc>
          <w:tcPr>
            <w:tcW w:w="8749" w:type="dxa"/>
          </w:tcPr>
          <w:p w14:paraId="1A7E126E">
            <w:pPr>
              <w:pStyle w:val="48"/>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42" w:name="_Toc11230"/>
            <w:r>
              <w:rPr>
                <w:color w:val="auto"/>
                <w:szCs w:val="28"/>
              </w:rPr>
              <w:t>3.</w:t>
            </w:r>
            <w:r>
              <w:rPr>
                <w:rFonts w:hint="eastAsia"/>
                <w:color w:val="auto"/>
                <w:szCs w:val="28"/>
                <w:lang w:val="en-US" w:eastAsia="zh-CN"/>
              </w:rPr>
              <w:t>6</w:t>
            </w:r>
            <w:r>
              <w:rPr>
                <w:color w:val="auto"/>
                <w:szCs w:val="28"/>
              </w:rPr>
              <w:t>主要环境保护目标</w:t>
            </w:r>
            <w:bookmarkEnd w:id="42"/>
          </w:p>
          <w:p w14:paraId="5442EA35">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二</w:t>
            </w:r>
            <w:r>
              <w:rPr>
                <w:color w:val="auto"/>
                <w:sz w:val="24"/>
              </w:rPr>
              <w:t>。</w:t>
            </w:r>
          </w:p>
          <w:p w14:paraId="1B37BF8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1"/>
              <w:gridCol w:w="1118"/>
              <w:gridCol w:w="1631"/>
              <w:gridCol w:w="1051"/>
              <w:gridCol w:w="3590"/>
            </w:tblGrid>
            <w:tr w14:paraId="4C54E8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709" w:type="pct"/>
                  <w:tcBorders>
                    <w:bottom w:val="single" w:color="auto" w:sz="12" w:space="0"/>
                  </w:tcBorders>
                  <w:noWrap w:val="0"/>
                  <w:vAlign w:val="center"/>
                </w:tcPr>
                <w:p w14:paraId="7F143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tcBorders>
                    <w:bottom w:val="single" w:color="auto" w:sz="12" w:space="0"/>
                  </w:tcBorders>
                  <w:noWrap w:val="0"/>
                  <w:vAlign w:val="center"/>
                </w:tcPr>
                <w:p w14:paraId="635C3C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947" w:type="pct"/>
                  <w:tcBorders>
                    <w:bottom w:val="single" w:color="auto" w:sz="12" w:space="0"/>
                  </w:tcBorders>
                  <w:noWrap w:val="0"/>
                  <w:vAlign w:val="center"/>
                </w:tcPr>
                <w:p w14:paraId="79B06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288EA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10" w:type="pct"/>
                  <w:tcBorders>
                    <w:bottom w:val="single" w:color="auto" w:sz="12" w:space="0"/>
                  </w:tcBorders>
                  <w:noWrap w:val="0"/>
                  <w:vAlign w:val="center"/>
                </w:tcPr>
                <w:p w14:paraId="4AC4C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2083" w:type="pct"/>
                  <w:tcBorders>
                    <w:bottom w:val="single" w:color="auto" w:sz="12" w:space="0"/>
                  </w:tcBorders>
                  <w:noWrap w:val="0"/>
                  <w:vAlign w:val="center"/>
                </w:tcPr>
                <w:p w14:paraId="2329F7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011AEA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709" w:type="pct"/>
                  <w:vMerge w:val="restart"/>
                  <w:tcBorders>
                    <w:top w:val="single" w:color="auto" w:sz="12" w:space="0"/>
                  </w:tcBorders>
                  <w:noWrap w:val="0"/>
                  <w:vAlign w:val="center"/>
                </w:tcPr>
                <w:p w14:paraId="43CD3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tcBorders>
                    <w:top w:val="single" w:color="auto" w:sz="12" w:space="0"/>
                  </w:tcBorders>
                  <w:noWrap w:val="0"/>
                  <w:vAlign w:val="center"/>
                </w:tcPr>
                <w:p w14:paraId="27BD4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下田村</w:t>
                  </w:r>
                </w:p>
              </w:tc>
              <w:tc>
                <w:tcPr>
                  <w:tcW w:w="947" w:type="pct"/>
                  <w:tcBorders>
                    <w:top w:val="single" w:color="auto" w:sz="12" w:space="0"/>
                  </w:tcBorders>
                  <w:noWrap w:val="0"/>
                  <w:vAlign w:val="center"/>
                </w:tcPr>
                <w:p w14:paraId="5015C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西南侧约</w:t>
                  </w:r>
                  <w:r>
                    <w:rPr>
                      <w:rFonts w:hint="eastAsia" w:cs="Times New Roman"/>
                      <w:color w:val="auto"/>
                      <w:sz w:val="21"/>
                      <w:szCs w:val="21"/>
                      <w:lang w:val="en-US" w:eastAsia="zh-CN"/>
                    </w:rPr>
                    <w:t>76</w:t>
                  </w:r>
                  <w:r>
                    <w:rPr>
                      <w:rFonts w:hint="default" w:ascii="Times New Roman" w:hAnsi="Times New Roman" w:eastAsia="宋体" w:cs="Times New Roman"/>
                      <w:color w:val="auto"/>
                      <w:sz w:val="21"/>
                      <w:szCs w:val="21"/>
                      <w:lang w:val="en-US" w:eastAsia="zh-CN"/>
                    </w:rPr>
                    <w:t>m</w:t>
                  </w:r>
                </w:p>
              </w:tc>
              <w:tc>
                <w:tcPr>
                  <w:tcW w:w="610" w:type="pct"/>
                  <w:tcBorders>
                    <w:top w:val="single" w:color="auto" w:sz="12" w:space="0"/>
                  </w:tcBorders>
                  <w:noWrap w:val="0"/>
                  <w:vAlign w:val="center"/>
                </w:tcPr>
                <w:p w14:paraId="5CE0E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约30户/120人</w:t>
                  </w:r>
                </w:p>
              </w:tc>
              <w:tc>
                <w:tcPr>
                  <w:tcW w:w="2083" w:type="pct"/>
                  <w:vMerge w:val="restart"/>
                  <w:tcBorders>
                    <w:top w:val="single" w:color="auto" w:sz="12" w:space="0"/>
                  </w:tcBorders>
                  <w:noWrap w:val="0"/>
                  <w:vAlign w:val="center"/>
                </w:tcPr>
                <w:p w14:paraId="6EE47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r>
                    <w:rPr>
                      <w:rFonts w:hint="eastAsia" w:cs="Times New Roman"/>
                      <w:color w:val="auto"/>
                      <w:sz w:val="21"/>
                      <w:szCs w:val="21"/>
                      <w:lang w:eastAsia="zh-CN"/>
                    </w:rPr>
                    <w:t>（GB3095-2026）</w:t>
                  </w:r>
                  <w:r>
                    <w:rPr>
                      <w:rFonts w:hint="default" w:ascii="Times New Roman" w:hAnsi="Times New Roman" w:eastAsia="宋体" w:cs="Times New Roman"/>
                      <w:color w:val="auto"/>
                      <w:sz w:val="21"/>
                      <w:szCs w:val="21"/>
                    </w:rPr>
                    <w:t>二级标准</w:t>
                  </w:r>
                </w:p>
              </w:tc>
            </w:tr>
            <w:tr w14:paraId="16B2FD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709" w:type="pct"/>
                  <w:vMerge w:val="continue"/>
                  <w:noWrap w:val="0"/>
                  <w:vAlign w:val="center"/>
                </w:tcPr>
                <w:p w14:paraId="1A0DD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49" w:type="pct"/>
                  <w:noWrap w:val="0"/>
                  <w:vAlign w:val="center"/>
                </w:tcPr>
                <w:p w14:paraId="1D883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潘厝后</w:t>
                  </w:r>
                </w:p>
              </w:tc>
              <w:tc>
                <w:tcPr>
                  <w:tcW w:w="947" w:type="pct"/>
                  <w:noWrap w:val="0"/>
                  <w:vAlign w:val="center"/>
                </w:tcPr>
                <w:p w14:paraId="2B60C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西南侧约363m</w:t>
                  </w:r>
                </w:p>
              </w:tc>
              <w:tc>
                <w:tcPr>
                  <w:tcW w:w="610" w:type="pct"/>
                  <w:noWrap w:val="0"/>
                  <w:vAlign w:val="center"/>
                </w:tcPr>
                <w:p w14:paraId="14EF82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户/20</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人</w:t>
                  </w:r>
                </w:p>
              </w:tc>
              <w:tc>
                <w:tcPr>
                  <w:tcW w:w="2083" w:type="pct"/>
                  <w:vMerge w:val="continue"/>
                  <w:noWrap w:val="0"/>
                  <w:vAlign w:val="center"/>
                </w:tcPr>
                <w:p w14:paraId="21FB35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2EA685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723" w:hRule="atLeast"/>
                <w:jc w:val="center"/>
              </w:trPr>
              <w:tc>
                <w:tcPr>
                  <w:tcW w:w="709" w:type="pct"/>
                  <w:noWrap w:val="0"/>
                  <w:vAlign w:val="center"/>
                </w:tcPr>
                <w:p w14:paraId="73E96B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7872E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罗汉溪</w:t>
                  </w:r>
                </w:p>
              </w:tc>
              <w:tc>
                <w:tcPr>
                  <w:tcW w:w="947" w:type="pct"/>
                  <w:noWrap w:val="0"/>
                  <w:vAlign w:val="center"/>
                </w:tcPr>
                <w:p w14:paraId="2D792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西北侧约</w:t>
                  </w:r>
                  <w:r>
                    <w:rPr>
                      <w:rFonts w:hint="eastAsia" w:cs="Times New Roman"/>
                      <w:color w:val="auto"/>
                      <w:sz w:val="21"/>
                      <w:szCs w:val="21"/>
                      <w:lang w:val="en-US" w:eastAsia="zh-CN"/>
                    </w:rPr>
                    <w:t>267</w:t>
                  </w:r>
                  <w:r>
                    <w:rPr>
                      <w:rFonts w:hint="default" w:ascii="Times New Roman" w:hAnsi="Times New Roman" w:eastAsia="宋体" w:cs="Times New Roman"/>
                      <w:color w:val="auto"/>
                      <w:sz w:val="21"/>
                      <w:szCs w:val="21"/>
                      <w:lang w:val="en-US" w:eastAsia="zh-CN"/>
                    </w:rPr>
                    <w:t>m</w:t>
                  </w:r>
                </w:p>
              </w:tc>
              <w:tc>
                <w:tcPr>
                  <w:tcW w:w="610" w:type="pct"/>
                  <w:noWrap w:val="0"/>
                  <w:vAlign w:val="center"/>
                </w:tcPr>
                <w:p w14:paraId="48FB00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河流</w:t>
                  </w:r>
                </w:p>
              </w:tc>
              <w:tc>
                <w:tcPr>
                  <w:tcW w:w="2083" w:type="pct"/>
                  <w:noWrap w:val="0"/>
                  <w:vAlign w:val="center"/>
                </w:tcPr>
                <w:p w14:paraId="0028CC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GB3838-2002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Ⅲ类标准</w:t>
                  </w:r>
                </w:p>
              </w:tc>
            </w:tr>
            <w:tr w14:paraId="75125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709" w:type="pct"/>
                  <w:noWrap w:val="0"/>
                  <w:vAlign w:val="center"/>
                </w:tcPr>
                <w:p w14:paraId="1CFA4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90" w:type="pct"/>
                  <w:gridSpan w:val="4"/>
                  <w:noWrap w:val="0"/>
                  <w:vAlign w:val="center"/>
                </w:tcPr>
                <w:p w14:paraId="3F946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36ECCE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709" w:type="pct"/>
                  <w:noWrap w:val="0"/>
                  <w:vAlign w:val="center"/>
                </w:tcPr>
                <w:p w14:paraId="1177DD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90" w:type="pct"/>
                  <w:gridSpan w:val="4"/>
                  <w:noWrap w:val="0"/>
                  <w:vAlign w:val="center"/>
                </w:tcPr>
                <w:p w14:paraId="6F8A4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7C90BD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09" w:type="pct"/>
                  <w:noWrap w:val="0"/>
                  <w:vAlign w:val="center"/>
                </w:tcPr>
                <w:p w14:paraId="05D52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90" w:type="pct"/>
                  <w:gridSpan w:val="4"/>
                  <w:noWrap w:val="0"/>
                  <w:vAlign w:val="center"/>
                </w:tcPr>
                <w:p w14:paraId="5560A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本项目位于园区内，无生态环境保护目标</w:t>
                  </w:r>
                </w:p>
              </w:tc>
            </w:tr>
          </w:tbl>
          <w:p w14:paraId="1C14C79D">
            <w:pPr>
              <w:rPr>
                <w:rFonts w:hint="eastAsia"/>
                <w:vertAlign w:val="baseline"/>
                <w:lang w:eastAsia="zh-CN"/>
              </w:rPr>
            </w:pPr>
          </w:p>
        </w:tc>
      </w:tr>
      <w:tr w14:paraId="6F87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9" w:hRule="atLeast"/>
        </w:trPr>
        <w:tc>
          <w:tcPr>
            <w:tcW w:w="456" w:type="dxa"/>
            <w:vAlign w:val="center"/>
          </w:tcPr>
          <w:p w14:paraId="4A4FF1C9">
            <w:pPr>
              <w:jc w:val="center"/>
              <w:rPr>
                <w:rFonts w:hint="eastAsia"/>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16EA5CB8">
            <w:pPr>
              <w:pStyle w:val="48"/>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auto"/>
                <w:szCs w:val="28"/>
                <w:lang w:val="en-US" w:eastAsia="zh-CN"/>
              </w:rPr>
            </w:pPr>
            <w:bookmarkStart w:id="43" w:name="_Toc5981"/>
            <w:bookmarkStart w:id="44" w:name="_Toc10661"/>
            <w:bookmarkStart w:id="45" w:name="_Toc4178"/>
            <w:bookmarkStart w:id="46" w:name="_Toc10339"/>
            <w:bookmarkStart w:id="47" w:name="_Toc15260"/>
            <w:r>
              <w:rPr>
                <w:rFonts w:hint="default"/>
                <w:color w:val="auto"/>
                <w:szCs w:val="28"/>
                <w:lang w:val="en-US" w:eastAsia="zh-CN"/>
              </w:rPr>
              <w:t>3.7 污染物排放标准</w:t>
            </w:r>
            <w:bookmarkEnd w:id="43"/>
            <w:bookmarkEnd w:id="44"/>
            <w:bookmarkEnd w:id="45"/>
            <w:bookmarkEnd w:id="46"/>
            <w:bookmarkEnd w:id="47"/>
          </w:p>
          <w:p w14:paraId="75E1ADA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48" w:name="_Toc31771"/>
            <w:r>
              <w:rPr>
                <w:rFonts w:hint="eastAsia" w:ascii="Times New Roman" w:hAnsi="Times New Roman" w:eastAsia="宋体" w:cs="Times New Roman"/>
                <w:b/>
                <w:bCs/>
                <w:color w:val="auto"/>
                <w:sz w:val="24"/>
                <w:szCs w:val="24"/>
                <w:u w:val="none"/>
                <w:lang w:val="en-US" w:eastAsia="zh-CN"/>
              </w:rPr>
              <w:t xml:space="preserve">3.7.1 </w:t>
            </w:r>
            <w:r>
              <w:rPr>
                <w:rFonts w:hint="default" w:ascii="Times New Roman" w:hAnsi="Times New Roman" w:eastAsia="宋体" w:cs="Times New Roman"/>
                <w:b/>
                <w:bCs/>
                <w:color w:val="auto"/>
                <w:sz w:val="24"/>
                <w:szCs w:val="24"/>
                <w:u w:val="none"/>
                <w:lang w:val="en-US" w:eastAsia="zh-CN"/>
              </w:rPr>
              <w:t>废水</w:t>
            </w:r>
            <w:bookmarkEnd w:id="48"/>
          </w:p>
          <w:p w14:paraId="65DB6CC9">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（1）项目水污染物排放标准</w:t>
            </w:r>
          </w:p>
          <w:p w14:paraId="598F8698">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运营期不产生生产废水排放，冷却水为间接冷却，不接触物料且循环使用不外排，因此不产生生产废水；仅产生职工生活污水</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color w:val="auto"/>
                <w:sz w:val="24"/>
                <w:szCs w:val="24"/>
              </w:rPr>
              <w:t>根据现场勘查，</w:t>
            </w:r>
            <w:r>
              <w:rPr>
                <w:rFonts w:hint="eastAsia" w:ascii="Times New Roman" w:hAnsi="Times New Roman" w:cs="Times New Roman"/>
                <w:color w:val="auto"/>
                <w:sz w:val="24"/>
                <w:szCs w:val="24"/>
                <w:highlight w:val="none"/>
                <w:lang w:val="en-US" w:eastAsia="zh-CN"/>
              </w:rPr>
              <w:t>项目生活污水依托</w:t>
            </w:r>
            <w:r>
              <w:rPr>
                <w:rFonts w:hint="eastAsia" w:ascii="Times New Roman" w:hAnsi="Times New Roman" w:eastAsia="宋体" w:cs="Times New Roman"/>
                <w:color w:val="auto"/>
                <w:sz w:val="24"/>
                <w:szCs w:val="24"/>
                <w:highlight w:val="none"/>
                <w:lang w:val="en-US" w:eastAsia="zh-CN"/>
              </w:rPr>
              <w:t>园区内已建化粪池预处理后，接入市政污水管网，纳入福清融元污水处理厂统一处理，尾水排入龙江。</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rPr>
              <w:t>属于</w:t>
            </w:r>
            <w:r>
              <w:rPr>
                <w:rFonts w:hint="default" w:ascii="Times New Roman" w:hAnsi="Times New Roman" w:cs="Times New Roman"/>
                <w:color w:val="auto"/>
                <w:sz w:val="24"/>
                <w:szCs w:val="24"/>
                <w:highlight w:val="none"/>
                <w:lang w:eastAsia="zh-CN"/>
              </w:rPr>
              <w:t>福清市融元污水处理厂</w:t>
            </w:r>
            <w:r>
              <w:rPr>
                <w:rFonts w:hint="default" w:ascii="Times New Roman" w:hAnsi="Times New Roman" w:cs="Times New Roman"/>
                <w:color w:val="auto"/>
                <w:sz w:val="24"/>
                <w:szCs w:val="24"/>
                <w:highlight w:val="none"/>
              </w:rPr>
              <w:t>服务范围</w:t>
            </w:r>
            <w:r>
              <w:rPr>
                <w:rFonts w:hint="eastAsia" w:cs="Times New Roman"/>
                <w:color w:val="auto"/>
                <w:sz w:val="24"/>
                <w:szCs w:val="24"/>
                <w:highlight w:val="none"/>
                <w:lang w:eastAsia="zh-CN"/>
              </w:rPr>
              <w:t>且</w:t>
            </w:r>
            <w:r>
              <w:rPr>
                <w:rFonts w:hint="default" w:ascii="Times New Roman" w:hAnsi="Times New Roman" w:cs="Times New Roman"/>
                <w:color w:val="auto"/>
                <w:sz w:val="24"/>
                <w:szCs w:val="24"/>
                <w:highlight w:val="none"/>
              </w:rPr>
              <w:t>污水管网已铺设到位，项目生活污水经</w:t>
            </w:r>
            <w:r>
              <w:rPr>
                <w:rFonts w:hint="eastAsia" w:ascii="Times New Roman" w:hAnsi="Times New Roman" w:cs="Times New Roman"/>
                <w:color w:val="auto"/>
                <w:sz w:val="24"/>
                <w:szCs w:val="24"/>
                <w:highlight w:val="none"/>
                <w:lang w:val="en-US" w:eastAsia="zh-CN"/>
              </w:rPr>
              <w:t>园区</w:t>
            </w:r>
            <w:r>
              <w:rPr>
                <w:rFonts w:hint="default" w:ascii="Times New Roman" w:hAnsi="Times New Roman" w:cs="Times New Roman"/>
                <w:color w:val="auto"/>
                <w:sz w:val="24"/>
                <w:szCs w:val="24"/>
                <w:highlight w:val="none"/>
              </w:rPr>
              <w:t>已建的化粪池预处理</w:t>
            </w:r>
            <w:r>
              <w:rPr>
                <w:rFonts w:hint="default" w:ascii="Times New Roman" w:hAnsi="Times New Roman" w:cs="Times New Roman"/>
                <w:color w:val="auto"/>
                <w:sz w:val="24"/>
                <w:szCs w:val="24"/>
                <w:highlight w:val="none"/>
                <w:lang w:val="en-US" w:eastAsia="zh-CN"/>
              </w:rPr>
              <w:t>后接入市政污水管网，外</w:t>
            </w:r>
            <w:r>
              <w:rPr>
                <w:rFonts w:hint="default" w:ascii="Times New Roman" w:hAnsi="Times New Roman" w:cs="Times New Roman"/>
                <w:color w:val="auto"/>
                <w:sz w:val="24"/>
                <w:szCs w:val="24"/>
                <w:lang w:val="en-US" w:eastAsia="zh-CN"/>
              </w:rPr>
              <w:t>排废水需</w:t>
            </w:r>
            <w:r>
              <w:rPr>
                <w:rFonts w:hint="default" w:ascii="Times New Roman" w:hAnsi="Times New Roman" w:cs="Times New Roman"/>
                <w:color w:val="auto"/>
                <w:sz w:val="24"/>
                <w:szCs w:val="24"/>
              </w:rPr>
              <w:t>达到《污水综合排放标准》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GB8978-1996</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表4中的三级标准后排入市政污水管网送往</w:t>
            </w:r>
            <w:r>
              <w:rPr>
                <w:rFonts w:hint="default" w:ascii="Times New Roman" w:hAnsi="Times New Roman" w:cs="Times New Roman"/>
                <w:color w:val="auto"/>
                <w:sz w:val="24"/>
                <w:szCs w:val="24"/>
                <w:lang w:eastAsia="zh-CN"/>
              </w:rPr>
              <w:t>福清市融元污水处理厂</w:t>
            </w:r>
            <w:r>
              <w:rPr>
                <w:rFonts w:hint="default" w:ascii="Times New Roman" w:hAnsi="Times New Roman" w:cs="Times New Roman"/>
                <w:color w:val="auto"/>
                <w:sz w:val="24"/>
                <w:szCs w:val="24"/>
              </w:rPr>
              <w:t>集中处理，</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r>
              <w:rPr>
                <w:rFonts w:hint="default" w:ascii="Times New Roman" w:hAnsi="Times New Roman" w:cs="Times New Roman"/>
                <w:color w:val="auto"/>
                <w:sz w:val="24"/>
                <w:szCs w:val="24"/>
              </w:rPr>
              <w:t>参照执行《污水排入城镇下水道水质标准》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GB/T 31962-2015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表1中B级标准，详见表3.7-1。</w:t>
            </w:r>
          </w:p>
          <w:p w14:paraId="0A4DC80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表3.7-1</w:t>
            </w:r>
            <w:r>
              <w:rPr>
                <w:rFonts w:hint="default" w:ascii="Times New Roman" w:hAnsi="Times New Roman" w:eastAsia="宋体" w:cs="Times New Roman"/>
                <w:b/>
                <w:bCs/>
                <w:color w:val="auto"/>
                <w:sz w:val="24"/>
                <w:szCs w:val="24"/>
                <w:u w:val="none"/>
                <w:lang w:val="en-US" w:eastAsia="zh-CN"/>
              </w:rPr>
              <w:t>项目污水排放标准限值一览表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22"/>
              <w:gridCol w:w="3949"/>
              <w:gridCol w:w="1527"/>
              <w:gridCol w:w="1718"/>
            </w:tblGrid>
            <w:tr w14:paraId="38EF9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6" w:hRule="exact"/>
                <w:jc w:val="center"/>
              </w:trPr>
              <w:tc>
                <w:tcPr>
                  <w:tcW w:w="825" w:type="pct"/>
                  <w:tcBorders>
                    <w:top w:val="single" w:color="auto" w:sz="12" w:space="0"/>
                    <w:bottom w:val="single" w:color="000000" w:sz="12" w:space="0"/>
                  </w:tcBorders>
                  <w:noWrap w:val="0"/>
                  <w:vAlign w:val="center"/>
                </w:tcPr>
                <w:p w14:paraId="166C1B4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2291" w:type="pct"/>
                  <w:tcBorders>
                    <w:top w:val="single" w:color="auto" w:sz="12" w:space="0"/>
                    <w:bottom w:val="single" w:color="000000" w:sz="12" w:space="0"/>
                  </w:tcBorders>
                  <w:noWrap w:val="0"/>
                  <w:vAlign w:val="center"/>
                </w:tcPr>
                <w:p w14:paraId="025A5A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标准名称</w:t>
                  </w:r>
                </w:p>
              </w:tc>
              <w:tc>
                <w:tcPr>
                  <w:tcW w:w="886" w:type="pct"/>
                  <w:tcBorders>
                    <w:top w:val="single" w:color="auto" w:sz="12" w:space="0"/>
                    <w:bottom w:val="single" w:color="000000" w:sz="12" w:space="0"/>
                  </w:tcBorders>
                  <w:noWrap w:val="0"/>
                  <w:vAlign w:val="center"/>
                </w:tcPr>
                <w:p w14:paraId="767C4BD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997" w:type="pct"/>
                  <w:tcBorders>
                    <w:top w:val="single" w:color="auto" w:sz="12" w:space="0"/>
                    <w:bottom w:val="single" w:color="000000" w:sz="12" w:space="0"/>
                  </w:tcBorders>
                  <w:noWrap w:val="0"/>
                  <w:vAlign w:val="center"/>
                </w:tcPr>
                <w:p w14:paraId="13B1D10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p>
              </w:tc>
            </w:tr>
            <w:tr w14:paraId="112CF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9" w:hRule="exact"/>
                <w:jc w:val="center"/>
              </w:trPr>
              <w:tc>
                <w:tcPr>
                  <w:tcW w:w="825" w:type="pct"/>
                  <w:vMerge w:val="restart"/>
                  <w:tcBorders>
                    <w:top w:val="single" w:color="000000" w:sz="12" w:space="0"/>
                  </w:tcBorders>
                  <w:noWrap w:val="0"/>
                  <w:vAlign w:val="center"/>
                </w:tcPr>
                <w:p w14:paraId="7999417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2291" w:type="pct"/>
                  <w:vMerge w:val="restart"/>
                  <w:tcBorders>
                    <w:top w:val="single" w:color="000000" w:sz="12" w:space="0"/>
                  </w:tcBorders>
                  <w:noWrap w:val="0"/>
                  <w:vAlign w:val="center"/>
                </w:tcPr>
                <w:p w14:paraId="506386D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《污水综合排放标准》</w:t>
                  </w:r>
                </w:p>
                <w:p w14:paraId="36CC1C8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eastAsia" w:cs="Times New Roman"/>
                      <w:sz w:val="21"/>
                      <w:szCs w:val="21"/>
                      <w:lang w:eastAsia="zh-CN"/>
                    </w:rPr>
                    <w:t>（</w:t>
                  </w:r>
                  <w:r>
                    <w:rPr>
                      <w:rFonts w:hint="default" w:ascii="Times New Roman" w:hAnsi="Times New Roman" w:eastAsia="宋体" w:cs="Times New Roman"/>
                      <w:sz w:val="21"/>
                      <w:szCs w:val="21"/>
                    </w:rPr>
                    <w:t>GB8978-1996</w:t>
                  </w:r>
                  <w:r>
                    <w:rPr>
                      <w:rFonts w:hint="eastAsia" w:cs="Times New Roman"/>
                      <w:sz w:val="21"/>
                      <w:szCs w:val="21"/>
                      <w:lang w:eastAsia="zh-CN"/>
                    </w:rPr>
                    <w:t>）</w:t>
                  </w:r>
                  <w:r>
                    <w:rPr>
                      <w:rFonts w:hint="default" w:ascii="Times New Roman" w:hAnsi="Times New Roman" w:eastAsia="宋体" w:cs="Times New Roman"/>
                      <w:sz w:val="21"/>
                      <w:szCs w:val="21"/>
                    </w:rPr>
                    <w:t>表4三级标准</w:t>
                  </w:r>
                </w:p>
              </w:tc>
              <w:tc>
                <w:tcPr>
                  <w:tcW w:w="886" w:type="pct"/>
                  <w:tcBorders>
                    <w:top w:val="single" w:color="000000" w:sz="12" w:space="0"/>
                  </w:tcBorders>
                  <w:noWrap w:val="0"/>
                  <w:vAlign w:val="center"/>
                </w:tcPr>
                <w:p w14:paraId="0A9F3DC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997" w:type="pct"/>
                  <w:tcBorders>
                    <w:top w:val="single" w:color="000000" w:sz="12" w:space="0"/>
                  </w:tcBorders>
                  <w:noWrap w:val="0"/>
                  <w:vAlign w:val="center"/>
                </w:tcPr>
                <w:p w14:paraId="201D4E5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r>
                    <w:rPr>
                      <w:rFonts w:hint="eastAsia" w:cs="Times New Roman"/>
                      <w:sz w:val="21"/>
                      <w:szCs w:val="21"/>
                      <w:lang w:eastAsia="zh-CN"/>
                    </w:rPr>
                    <w:t>~</w:t>
                  </w:r>
                  <w:r>
                    <w:rPr>
                      <w:rFonts w:hint="default" w:ascii="Times New Roman" w:hAnsi="Times New Roman" w:eastAsia="宋体" w:cs="Times New Roman"/>
                      <w:sz w:val="21"/>
                      <w:szCs w:val="21"/>
                    </w:rPr>
                    <w:t>9</w:t>
                  </w:r>
                </w:p>
              </w:tc>
            </w:tr>
            <w:tr w14:paraId="5AF8FA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2" w:hRule="exact"/>
                <w:jc w:val="center"/>
              </w:trPr>
              <w:tc>
                <w:tcPr>
                  <w:tcW w:w="825" w:type="pct"/>
                  <w:vMerge w:val="continue"/>
                  <w:noWrap w:val="0"/>
                  <w:vAlign w:val="center"/>
                </w:tcPr>
                <w:p w14:paraId="2DB3B92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3B17024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048C178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997" w:type="pct"/>
                  <w:noWrap w:val="0"/>
                  <w:vAlign w:val="center"/>
                </w:tcPr>
                <w:p w14:paraId="4C0B7C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500mg/L</w:t>
                  </w:r>
                </w:p>
              </w:tc>
            </w:tr>
            <w:tr w14:paraId="0C1C8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8" w:hRule="exact"/>
                <w:jc w:val="center"/>
              </w:trPr>
              <w:tc>
                <w:tcPr>
                  <w:tcW w:w="825" w:type="pct"/>
                  <w:vMerge w:val="continue"/>
                  <w:noWrap w:val="0"/>
                  <w:vAlign w:val="center"/>
                </w:tcPr>
                <w:p w14:paraId="7D5510B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0980151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5537C3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997" w:type="pct"/>
                  <w:noWrap w:val="0"/>
                  <w:vAlign w:val="center"/>
                </w:tcPr>
                <w:p w14:paraId="283A0F6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300mg/L</w:t>
                  </w:r>
                </w:p>
              </w:tc>
            </w:tr>
            <w:tr w14:paraId="47234E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5" w:hRule="exact"/>
                <w:jc w:val="center"/>
              </w:trPr>
              <w:tc>
                <w:tcPr>
                  <w:tcW w:w="825" w:type="pct"/>
                  <w:vMerge w:val="continue"/>
                  <w:noWrap w:val="0"/>
                  <w:vAlign w:val="center"/>
                </w:tcPr>
                <w:p w14:paraId="1166289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3D34DDA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77C0F61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997" w:type="pct"/>
                  <w:noWrap w:val="0"/>
                  <w:vAlign w:val="center"/>
                </w:tcPr>
                <w:p w14:paraId="2B103B3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400mg/L</w:t>
                  </w:r>
                </w:p>
              </w:tc>
            </w:tr>
            <w:tr w14:paraId="570BCF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20" w:hRule="exact"/>
                <w:jc w:val="center"/>
              </w:trPr>
              <w:tc>
                <w:tcPr>
                  <w:tcW w:w="825" w:type="pct"/>
                  <w:vMerge w:val="continue"/>
                  <w:noWrap w:val="0"/>
                  <w:vAlign w:val="center"/>
                </w:tcPr>
                <w:p w14:paraId="7ED3300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noWrap w:val="0"/>
                  <w:vAlign w:val="center"/>
                </w:tcPr>
                <w:p w14:paraId="13F75E3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《污水排入城镇下水道水质标准》</w:t>
                  </w:r>
                </w:p>
                <w:p w14:paraId="1E2BACA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（GB/T31962-2015）</w:t>
                  </w:r>
                  <w:r>
                    <w:rPr>
                      <w:rFonts w:hint="default" w:ascii="Times New Roman" w:hAnsi="Times New Roman" w:eastAsia="宋体" w:cs="Times New Roman"/>
                      <w:sz w:val="21"/>
                      <w:szCs w:val="21"/>
                      <w:lang w:val="en-US" w:eastAsia="zh-CN"/>
                    </w:rPr>
                    <w:t>表1中B级标准</w:t>
                  </w:r>
                </w:p>
              </w:tc>
              <w:tc>
                <w:tcPr>
                  <w:tcW w:w="886" w:type="pct"/>
                  <w:noWrap w:val="0"/>
                  <w:vAlign w:val="center"/>
                </w:tcPr>
                <w:p w14:paraId="08288D1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997" w:type="pct"/>
                  <w:noWrap w:val="0"/>
                  <w:vAlign w:val="center"/>
                </w:tcPr>
                <w:p w14:paraId="131A8A4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45mg/L</w:t>
                  </w:r>
                </w:p>
              </w:tc>
            </w:tr>
          </w:tbl>
          <w:p w14:paraId="2FA0C7AF">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（2）污水处理厂尾水排放标准</w:t>
            </w:r>
          </w:p>
          <w:p w14:paraId="46CD4FFE">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根据调查，</w:t>
            </w:r>
            <w:r>
              <w:rPr>
                <w:rFonts w:hint="eastAsia" w:ascii="Times New Roman" w:hAnsi="Times New Roman" w:eastAsia="宋体" w:cs="Times New Roman"/>
                <w:bCs/>
                <w:color w:val="auto"/>
                <w:kern w:val="2"/>
                <w:sz w:val="24"/>
                <w:szCs w:val="24"/>
                <w:lang w:val="en-US" w:eastAsia="zh-CN" w:bidi="ar-SA"/>
              </w:rPr>
              <w:t>福清市融元污水处理厂</w:t>
            </w:r>
            <w:r>
              <w:rPr>
                <w:rFonts w:hint="default" w:ascii="Times New Roman" w:hAnsi="Times New Roman" w:eastAsia="宋体" w:cs="Times New Roman"/>
                <w:bCs/>
                <w:color w:val="auto"/>
                <w:kern w:val="2"/>
                <w:sz w:val="24"/>
                <w:szCs w:val="24"/>
                <w:lang w:val="en-US" w:eastAsia="zh-CN" w:bidi="ar-SA"/>
              </w:rPr>
              <w:t>尾水</w:t>
            </w:r>
            <w:r>
              <w:rPr>
                <w:rFonts w:hint="eastAsia" w:ascii="Times New Roman" w:hAnsi="Times New Roman" w:eastAsia="宋体" w:cs="Times New Roman"/>
                <w:bCs/>
                <w:color w:val="auto"/>
                <w:kern w:val="2"/>
                <w:sz w:val="24"/>
                <w:szCs w:val="24"/>
                <w:lang w:val="en-US" w:eastAsia="zh-CN" w:bidi="ar-SA"/>
              </w:rPr>
              <w:t>目前</w:t>
            </w:r>
            <w:r>
              <w:rPr>
                <w:rFonts w:hint="default" w:ascii="Times New Roman" w:hAnsi="Times New Roman" w:eastAsia="宋体" w:cs="Times New Roman"/>
                <w:bCs/>
                <w:color w:val="auto"/>
                <w:kern w:val="2"/>
                <w:sz w:val="24"/>
                <w:szCs w:val="24"/>
                <w:lang w:val="en-US" w:eastAsia="zh-CN" w:bidi="ar-SA"/>
              </w:rPr>
              <w:t>排放执行《城镇污水处理厂污染物排放标准》</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GB18918-2002</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及其修改单表1的一级</w:t>
            </w:r>
            <w:r>
              <w:rPr>
                <w:rFonts w:hint="eastAsia" w:ascii="Times New Roman" w:hAnsi="Times New Roman" w:eastAsia="宋体" w:cs="Times New Roman"/>
                <w:bCs/>
                <w:color w:val="auto"/>
                <w:kern w:val="2"/>
                <w:sz w:val="24"/>
                <w:szCs w:val="24"/>
                <w:lang w:val="en-US" w:eastAsia="zh-CN" w:bidi="ar-SA"/>
              </w:rPr>
              <w:t>标准A</w:t>
            </w:r>
            <w:r>
              <w:rPr>
                <w:rFonts w:hint="default" w:ascii="Times New Roman" w:hAnsi="Times New Roman" w:eastAsia="宋体" w:cs="Times New Roman"/>
                <w:bCs/>
                <w:color w:val="auto"/>
                <w:kern w:val="2"/>
                <w:sz w:val="24"/>
                <w:szCs w:val="24"/>
                <w:lang w:val="en-US" w:eastAsia="zh-CN" w:bidi="ar-SA"/>
              </w:rPr>
              <w:t>标准，具体详见表3.</w:t>
            </w:r>
            <w:r>
              <w:rPr>
                <w:rFonts w:hint="eastAsia" w:ascii="Times New Roman" w:hAnsi="Times New Roman" w:eastAsia="宋体" w:cs="Times New Roman"/>
                <w:bCs/>
                <w:color w:val="auto"/>
                <w:kern w:val="2"/>
                <w:sz w:val="24"/>
                <w:szCs w:val="24"/>
                <w:lang w:val="en-US" w:eastAsia="zh-CN" w:bidi="ar-SA"/>
              </w:rPr>
              <w:t>7</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6ACFC98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w:t>
            </w:r>
            <w:r>
              <w:rPr>
                <w:rFonts w:hint="eastAsia" w:ascii="Times New Roman" w:hAnsi="Times New Roman" w:eastAsia="宋体" w:cs="Times New Roman"/>
                <w:b/>
                <w:bCs/>
                <w:color w:val="auto"/>
                <w:sz w:val="24"/>
                <w:szCs w:val="24"/>
                <w:u w:val="none"/>
                <w:lang w:val="en-US" w:eastAsia="zh-CN"/>
              </w:rPr>
              <w:t>7-2福清市融元</w:t>
            </w:r>
            <w:r>
              <w:rPr>
                <w:rFonts w:hint="default" w:ascii="Times New Roman" w:hAnsi="Times New Roman" w:eastAsia="宋体" w:cs="Times New Roman"/>
                <w:b/>
                <w:bCs/>
                <w:color w:val="auto"/>
                <w:sz w:val="24"/>
                <w:szCs w:val="24"/>
                <w:u w:val="none"/>
                <w:lang w:val="en-US" w:eastAsia="zh-CN"/>
              </w:rPr>
              <w:t>污水处理厂尾水排放标准一览表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415"/>
              <w:gridCol w:w="2729"/>
              <w:gridCol w:w="3431"/>
            </w:tblGrid>
            <w:tr w14:paraId="6B4B2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04" w:type="pct"/>
                  <w:tcBorders>
                    <w:bottom w:val="single" w:color="000000" w:sz="12" w:space="0"/>
                  </w:tcBorders>
                  <w:noWrap w:val="0"/>
                  <w:vAlign w:val="center"/>
                </w:tcPr>
                <w:p w14:paraId="2485B6E5">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序号</w:t>
                  </w:r>
                </w:p>
              </w:tc>
              <w:tc>
                <w:tcPr>
                  <w:tcW w:w="821" w:type="pct"/>
                  <w:tcBorders>
                    <w:bottom w:val="single" w:color="000000" w:sz="12" w:space="0"/>
                  </w:tcBorders>
                  <w:noWrap w:val="0"/>
                  <w:vAlign w:val="center"/>
                </w:tcPr>
                <w:p w14:paraId="5B591264">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污染物名称</w:t>
                  </w:r>
                </w:p>
              </w:tc>
              <w:tc>
                <w:tcPr>
                  <w:tcW w:w="1583" w:type="pct"/>
                  <w:tcBorders>
                    <w:bottom w:val="single" w:color="000000" w:sz="12" w:space="0"/>
                  </w:tcBorders>
                  <w:noWrap w:val="0"/>
                  <w:vAlign w:val="center"/>
                </w:tcPr>
                <w:p w14:paraId="0411896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一级标准</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标准</w:t>
                  </w:r>
                </w:p>
              </w:tc>
              <w:tc>
                <w:tcPr>
                  <w:tcW w:w="1990" w:type="pct"/>
                  <w:tcBorders>
                    <w:bottom w:val="single" w:color="000000" w:sz="12" w:space="0"/>
                  </w:tcBorders>
                  <w:noWrap w:val="0"/>
                  <w:vAlign w:val="center"/>
                </w:tcPr>
                <w:p w14:paraId="00A46E3D">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标准来源</w:t>
                  </w:r>
                </w:p>
              </w:tc>
            </w:tr>
            <w:tr w14:paraId="6A101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4" w:type="pct"/>
                  <w:tcBorders>
                    <w:top w:val="single" w:color="000000" w:sz="12" w:space="0"/>
                  </w:tcBorders>
                  <w:noWrap w:val="0"/>
                  <w:vAlign w:val="center"/>
                </w:tcPr>
                <w:p w14:paraId="30BB5E98">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1</w:t>
                  </w:r>
                </w:p>
              </w:tc>
              <w:tc>
                <w:tcPr>
                  <w:tcW w:w="821" w:type="pct"/>
                  <w:tcBorders>
                    <w:top w:val="single" w:color="000000" w:sz="12" w:space="0"/>
                  </w:tcBorders>
                  <w:noWrap w:val="0"/>
                  <w:vAlign w:val="center"/>
                </w:tcPr>
                <w:p w14:paraId="20087DE0">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pH</w:t>
                  </w:r>
                </w:p>
              </w:tc>
              <w:tc>
                <w:tcPr>
                  <w:tcW w:w="1583" w:type="pct"/>
                  <w:tcBorders>
                    <w:top w:val="single" w:color="000000" w:sz="12" w:space="0"/>
                  </w:tcBorders>
                  <w:noWrap w:val="0"/>
                  <w:vAlign w:val="center"/>
                </w:tcPr>
                <w:p w14:paraId="1EFAE122">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rPr>
                    <w:t xml:space="preserve">6～9 </w:t>
                  </w:r>
                  <w:r>
                    <w:rPr>
                      <w:rFonts w:hint="eastAsia" w:cs="Times New Roman"/>
                      <w:color w:val="auto"/>
                      <w:kern w:val="18"/>
                      <w:sz w:val="21"/>
                      <w:szCs w:val="21"/>
                      <w:lang w:eastAsia="zh-CN"/>
                    </w:rPr>
                    <w:t>（</w:t>
                  </w:r>
                  <w:r>
                    <w:rPr>
                      <w:rFonts w:hint="default" w:ascii="Times New Roman" w:hAnsi="Times New Roman" w:eastAsia="宋体" w:cs="Times New Roman"/>
                      <w:color w:val="auto"/>
                      <w:sz w:val="21"/>
                      <w:szCs w:val="21"/>
                    </w:rPr>
                    <w:t>无量纲</w:t>
                  </w:r>
                  <w:r>
                    <w:rPr>
                      <w:rFonts w:hint="eastAsia" w:cs="Times New Roman"/>
                      <w:color w:val="auto"/>
                      <w:sz w:val="21"/>
                      <w:szCs w:val="21"/>
                      <w:lang w:eastAsia="zh-CN"/>
                    </w:rPr>
                    <w:t>）</w:t>
                  </w:r>
                </w:p>
              </w:tc>
              <w:tc>
                <w:tcPr>
                  <w:tcW w:w="1990" w:type="pct"/>
                  <w:vMerge w:val="restart"/>
                  <w:tcBorders>
                    <w:top w:val="single" w:color="000000" w:sz="12" w:space="0"/>
                  </w:tcBorders>
                  <w:noWrap w:val="0"/>
                  <w:vAlign w:val="center"/>
                </w:tcPr>
                <w:p w14:paraId="4655D1C5">
                  <w:pPr>
                    <w:widowControl/>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GB18918-2002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及其修改单表1</w:t>
                  </w:r>
                </w:p>
              </w:tc>
            </w:tr>
            <w:tr w14:paraId="2C8AE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FB734C3">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2</w:t>
                  </w:r>
                </w:p>
              </w:tc>
              <w:tc>
                <w:tcPr>
                  <w:tcW w:w="821" w:type="pct"/>
                  <w:noWrap w:val="0"/>
                  <w:vAlign w:val="center"/>
                </w:tcPr>
                <w:p w14:paraId="17F5532D">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COD</w:t>
                  </w:r>
                  <w:r>
                    <w:rPr>
                      <w:rFonts w:hint="default" w:ascii="Times New Roman" w:hAnsi="Times New Roman" w:eastAsia="宋体" w:cs="Times New Roman"/>
                      <w:color w:val="auto"/>
                      <w:kern w:val="18"/>
                      <w:sz w:val="21"/>
                      <w:szCs w:val="21"/>
                      <w:highlight w:val="none"/>
                      <w:lang w:val="en-US" w:eastAsia="zh-CN"/>
                    </w:rPr>
                    <w:t>cr</w:t>
                  </w:r>
                </w:p>
              </w:tc>
              <w:tc>
                <w:tcPr>
                  <w:tcW w:w="1583" w:type="pct"/>
                  <w:noWrap w:val="0"/>
                  <w:vAlign w:val="center"/>
                </w:tcPr>
                <w:p w14:paraId="7412B7AF">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5</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6848B943">
                  <w:pPr>
                    <w:widowControl/>
                    <w:spacing w:line="340" w:lineRule="exact"/>
                    <w:jc w:val="left"/>
                    <w:rPr>
                      <w:rFonts w:hint="default" w:ascii="Times New Roman" w:hAnsi="Times New Roman" w:eastAsia="宋体" w:cs="Times New Roman"/>
                      <w:color w:val="auto"/>
                      <w:kern w:val="18"/>
                      <w:sz w:val="21"/>
                      <w:szCs w:val="21"/>
                    </w:rPr>
                  </w:pPr>
                </w:p>
              </w:tc>
            </w:tr>
            <w:tr w14:paraId="09BB6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127FC7B6">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3</w:t>
                  </w:r>
                </w:p>
              </w:tc>
              <w:tc>
                <w:tcPr>
                  <w:tcW w:w="821" w:type="pct"/>
                  <w:noWrap w:val="0"/>
                  <w:vAlign w:val="center"/>
                </w:tcPr>
                <w:p w14:paraId="39688BD4">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BOD</w:t>
                  </w:r>
                  <w:r>
                    <w:rPr>
                      <w:rFonts w:hint="default" w:ascii="Times New Roman" w:hAnsi="Times New Roman" w:eastAsia="宋体" w:cs="Times New Roman"/>
                      <w:color w:val="auto"/>
                      <w:kern w:val="18"/>
                      <w:sz w:val="21"/>
                      <w:szCs w:val="21"/>
                      <w:vertAlign w:val="subscript"/>
                    </w:rPr>
                    <w:t>5</w:t>
                  </w:r>
                </w:p>
              </w:tc>
              <w:tc>
                <w:tcPr>
                  <w:tcW w:w="1583" w:type="pct"/>
                  <w:noWrap w:val="0"/>
                  <w:vAlign w:val="center"/>
                </w:tcPr>
                <w:p w14:paraId="180E36D7">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1</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0B3B5193">
                  <w:pPr>
                    <w:widowControl/>
                    <w:spacing w:line="340" w:lineRule="exact"/>
                    <w:jc w:val="left"/>
                    <w:rPr>
                      <w:rFonts w:hint="default" w:ascii="Times New Roman" w:hAnsi="Times New Roman" w:eastAsia="宋体" w:cs="Times New Roman"/>
                      <w:color w:val="auto"/>
                      <w:kern w:val="18"/>
                      <w:sz w:val="21"/>
                      <w:szCs w:val="21"/>
                    </w:rPr>
                  </w:pPr>
                </w:p>
              </w:tc>
            </w:tr>
            <w:tr w14:paraId="009D0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538B5E72">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4</w:t>
                  </w:r>
                </w:p>
              </w:tc>
              <w:tc>
                <w:tcPr>
                  <w:tcW w:w="821" w:type="pct"/>
                  <w:noWrap w:val="0"/>
                  <w:vAlign w:val="center"/>
                </w:tcPr>
                <w:p w14:paraId="4428C2B5">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SS</w:t>
                  </w:r>
                </w:p>
              </w:tc>
              <w:tc>
                <w:tcPr>
                  <w:tcW w:w="1583" w:type="pct"/>
                  <w:noWrap w:val="0"/>
                  <w:vAlign w:val="center"/>
                </w:tcPr>
                <w:p w14:paraId="496D5FF2">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1</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406B35F6">
                  <w:pPr>
                    <w:widowControl/>
                    <w:spacing w:line="340" w:lineRule="exact"/>
                    <w:jc w:val="left"/>
                    <w:rPr>
                      <w:rFonts w:hint="default" w:ascii="Times New Roman" w:hAnsi="Times New Roman" w:eastAsia="宋体" w:cs="Times New Roman"/>
                      <w:color w:val="auto"/>
                      <w:kern w:val="18"/>
                      <w:sz w:val="21"/>
                      <w:szCs w:val="21"/>
                    </w:rPr>
                  </w:pPr>
                </w:p>
              </w:tc>
            </w:tr>
            <w:tr w14:paraId="13A19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B828654">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5</w:t>
                  </w:r>
                </w:p>
              </w:tc>
              <w:tc>
                <w:tcPr>
                  <w:tcW w:w="821" w:type="pct"/>
                  <w:noWrap w:val="0"/>
                  <w:vAlign w:val="center"/>
                </w:tcPr>
                <w:p w14:paraId="5B5D755A">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NH</w:t>
                  </w:r>
                  <w:r>
                    <w:rPr>
                      <w:rFonts w:hint="default" w:ascii="Times New Roman" w:hAnsi="Times New Roman" w:eastAsia="宋体" w:cs="Times New Roman"/>
                      <w:color w:val="auto"/>
                      <w:kern w:val="18"/>
                      <w:sz w:val="21"/>
                      <w:szCs w:val="21"/>
                      <w:vertAlign w:val="subscript"/>
                    </w:rPr>
                    <w:t>3</w:t>
                  </w:r>
                  <w:r>
                    <w:rPr>
                      <w:rFonts w:hint="default" w:ascii="Times New Roman" w:hAnsi="Times New Roman" w:eastAsia="宋体" w:cs="Times New Roman"/>
                      <w:color w:val="auto"/>
                      <w:kern w:val="18"/>
                      <w:sz w:val="21"/>
                      <w:szCs w:val="21"/>
                    </w:rPr>
                    <w:t>-N</w:t>
                  </w:r>
                </w:p>
              </w:tc>
              <w:tc>
                <w:tcPr>
                  <w:tcW w:w="1583" w:type="pct"/>
                  <w:noWrap w:val="0"/>
                  <w:vAlign w:val="center"/>
                </w:tcPr>
                <w:p w14:paraId="3466C271">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5</w:t>
                  </w:r>
                  <w:r>
                    <w:rPr>
                      <w:rFonts w:hint="default" w:ascii="Times New Roman" w:hAnsi="Times New Roman" w:eastAsia="宋体" w:cs="Times New Roman"/>
                      <w:color w:val="auto"/>
                      <w:kern w:val="18"/>
                      <w:sz w:val="21"/>
                      <w:szCs w:val="21"/>
                    </w:rPr>
                    <w:t>mg/L</w:t>
                  </w:r>
                </w:p>
              </w:tc>
              <w:tc>
                <w:tcPr>
                  <w:tcW w:w="1990" w:type="pct"/>
                  <w:vMerge w:val="continue"/>
                  <w:noWrap w:val="0"/>
                  <w:vAlign w:val="center"/>
                </w:tcPr>
                <w:p w14:paraId="43252C4F">
                  <w:pPr>
                    <w:widowControl/>
                    <w:spacing w:line="340" w:lineRule="exact"/>
                    <w:jc w:val="center"/>
                    <w:rPr>
                      <w:rFonts w:hint="default" w:ascii="Times New Roman" w:hAnsi="Times New Roman" w:eastAsia="宋体" w:cs="Times New Roman"/>
                      <w:color w:val="auto"/>
                      <w:kern w:val="18"/>
                      <w:sz w:val="21"/>
                      <w:szCs w:val="21"/>
                    </w:rPr>
                  </w:pPr>
                </w:p>
              </w:tc>
            </w:tr>
          </w:tbl>
          <w:p w14:paraId="0086078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49" w:name="_Toc28740"/>
            <w:r>
              <w:rPr>
                <w:rFonts w:hint="eastAsia" w:ascii="Times New Roman" w:hAnsi="Times New Roman" w:eastAsia="宋体" w:cs="Times New Roman"/>
                <w:b/>
                <w:bCs/>
                <w:color w:val="auto"/>
                <w:sz w:val="24"/>
                <w:szCs w:val="24"/>
                <w:u w:val="none"/>
                <w:lang w:val="en-US" w:eastAsia="zh-CN"/>
              </w:rPr>
              <w:t>3.7.2 废气</w:t>
            </w:r>
            <w:bookmarkEnd w:id="49"/>
          </w:p>
          <w:p w14:paraId="6597508B">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（1）项目有组织废气污染物排放标准</w:t>
            </w:r>
          </w:p>
          <w:p w14:paraId="5D3BE6EF">
            <w:pPr>
              <w:pStyle w:val="12"/>
              <w:spacing w:after="0" w:line="360" w:lineRule="auto"/>
              <w:ind w:left="0" w:leftChars="0" w:firstLine="480" w:firstLineChars="200"/>
              <w:jc w:val="both"/>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lang w:val="en-US" w:eastAsia="zh-CN"/>
              </w:rPr>
              <w:t>本</w:t>
            </w:r>
            <w:r>
              <w:rPr>
                <w:rFonts w:hint="eastAsia" w:ascii="Times New Roman" w:hAnsi="Times New Roman" w:eastAsia="宋体" w:cs="Times New Roman"/>
                <w:color w:val="000000"/>
                <w:lang w:val="en-US" w:eastAsia="zh-CN"/>
              </w:rPr>
              <w:t>项目生产过程中使用油墨和稀释剂进行印刷、使用胶水进行复合和熟化加固</w:t>
            </w:r>
            <w:r>
              <w:rPr>
                <w:rFonts w:hint="default" w:ascii="Times New Roman" w:hAnsi="Times New Roman" w:eastAsia="宋体" w:cs="Times New Roman"/>
                <w:color w:val="000000"/>
                <w:lang w:val="en-US" w:eastAsia="zh-CN"/>
              </w:rPr>
              <w:t>，</w:t>
            </w:r>
            <w:r>
              <w:rPr>
                <w:rFonts w:hint="eastAsia" w:cs="Times New Roman"/>
                <w:color w:val="000000"/>
                <w:lang w:val="en-US" w:eastAsia="zh-CN"/>
              </w:rPr>
              <w:t>以及吹膜、制袋</w:t>
            </w:r>
            <w:r>
              <w:rPr>
                <w:rFonts w:hint="eastAsia" w:ascii="Times New Roman" w:hAnsi="Times New Roman" w:eastAsia="宋体" w:cs="Times New Roman"/>
                <w:color w:val="000000"/>
                <w:lang w:val="en-US" w:eastAsia="zh-CN"/>
              </w:rPr>
              <w:t>过程中</w:t>
            </w:r>
            <w:r>
              <w:rPr>
                <w:rFonts w:hint="eastAsia" w:cs="Times New Roman"/>
                <w:color w:val="000000"/>
                <w:lang w:val="en-US" w:eastAsia="zh-CN"/>
              </w:rPr>
              <w:t>也</w:t>
            </w:r>
            <w:r>
              <w:rPr>
                <w:rFonts w:hint="eastAsia" w:ascii="Times New Roman" w:hAnsi="Times New Roman" w:eastAsia="宋体" w:cs="Times New Roman"/>
                <w:color w:val="000000"/>
                <w:lang w:val="en-US" w:eastAsia="zh-CN"/>
              </w:rPr>
              <w:t>会产生有机废气，</w:t>
            </w:r>
            <w:r>
              <w:rPr>
                <w:rFonts w:hint="default" w:ascii="Times New Roman" w:hAnsi="Times New Roman" w:eastAsia="宋体" w:cs="Times New Roman"/>
                <w:color w:val="000000"/>
                <w:lang w:val="en-US" w:eastAsia="zh-CN"/>
              </w:rPr>
              <w:t>项目印刷、复合、熟化</w:t>
            </w:r>
            <w:r>
              <w:rPr>
                <w:rFonts w:hint="eastAsia" w:cs="Times New Roman"/>
                <w:color w:val="000000"/>
                <w:lang w:val="en-US" w:eastAsia="zh-CN"/>
              </w:rPr>
              <w:t>、吹膜、制袋</w:t>
            </w:r>
            <w:r>
              <w:rPr>
                <w:rFonts w:hint="default" w:ascii="Times New Roman" w:hAnsi="Times New Roman" w:eastAsia="宋体" w:cs="Times New Roman"/>
                <w:color w:val="000000"/>
                <w:lang w:val="en-US" w:eastAsia="zh-CN"/>
              </w:rPr>
              <w:t>过程会产生的有机废气，主要以非甲烷总烃进行评价。</w:t>
            </w:r>
            <w:r>
              <w:rPr>
                <w:rFonts w:hint="default" w:ascii="Times New Roman" w:hAnsi="Times New Roman" w:eastAsia="宋体" w:cs="Times New Roman"/>
                <w:color w:val="000000"/>
                <w:szCs w:val="24"/>
                <w:lang w:val="en-US" w:eastAsia="zh-CN"/>
              </w:rPr>
              <w:t>根据《福建省生态环境厅关于国家和地方相关大气污染物排放标准执行有关事项的通知》（闽环保大气（2019）6号），项目</w:t>
            </w:r>
            <w:r>
              <w:rPr>
                <w:rFonts w:hint="eastAsia" w:ascii="Times New Roman" w:hAnsi="Times New Roman" w:eastAsia="宋体" w:cs="Times New Roman"/>
                <w:color w:val="000000"/>
                <w:szCs w:val="24"/>
                <w:lang w:val="en-US" w:eastAsia="zh-CN"/>
              </w:rPr>
              <w:t>有组织排放：</w:t>
            </w:r>
            <w:r>
              <w:rPr>
                <w:rFonts w:hint="default" w:ascii="Times New Roman" w:hAnsi="Times New Roman" w:eastAsia="宋体" w:cs="Times New Roman"/>
                <w:color w:val="000000"/>
                <w:lang w:val="en-US" w:eastAsia="zh-CN"/>
              </w:rPr>
              <w:t>印刷</w:t>
            </w:r>
            <w:r>
              <w:rPr>
                <w:rFonts w:hint="eastAsia" w:ascii="Times New Roman" w:hAnsi="Times New Roman" w:eastAsia="宋体" w:cs="Times New Roman"/>
                <w:color w:val="000000"/>
                <w:lang w:val="en-US" w:eastAsia="zh-CN"/>
              </w:rPr>
              <w:t>工序产生的</w:t>
            </w:r>
            <w:r>
              <w:rPr>
                <w:rFonts w:hint="default" w:ascii="Times New Roman" w:hAnsi="Times New Roman" w:eastAsia="宋体" w:cs="Times New Roman"/>
                <w:color w:val="000000"/>
                <w:szCs w:val="24"/>
                <w:lang w:val="en-US" w:eastAsia="zh-CN"/>
              </w:rPr>
              <w:t>非甲烷总烃执行《印刷行业挥发性有机物排放标准》（DB35/1784-2018）表1排放标准</w:t>
            </w:r>
            <w:r>
              <w:rPr>
                <w:rFonts w:hint="eastAsia" w:ascii="Times New Roman" w:hAnsi="Times New Roman" w:eastAsia="宋体" w:cs="Times New Roman"/>
                <w:color w:val="000000"/>
                <w:szCs w:val="24"/>
                <w:lang w:val="en-US" w:eastAsia="zh-CN"/>
              </w:rPr>
              <w:t>；吹膜、</w:t>
            </w:r>
            <w:r>
              <w:rPr>
                <w:rFonts w:hint="default" w:ascii="Times New Roman" w:hAnsi="Times New Roman" w:eastAsia="宋体" w:cs="Times New Roman"/>
                <w:color w:val="000000"/>
                <w:lang w:val="en-US" w:eastAsia="zh-CN"/>
              </w:rPr>
              <w:t>复合</w:t>
            </w:r>
            <w:r>
              <w:rPr>
                <w:rFonts w:hint="eastAsia" w:ascii="Times New Roman" w:hAnsi="Times New Roman" w:eastAsia="宋体" w:cs="Times New Roman"/>
                <w:color w:val="000000"/>
                <w:lang w:val="en-US" w:eastAsia="zh-CN"/>
              </w:rPr>
              <w:t>、熟化</w:t>
            </w:r>
            <w:r>
              <w:rPr>
                <w:rFonts w:hint="eastAsia" w:cs="Times New Roman"/>
                <w:color w:val="000000"/>
                <w:lang w:val="en-US" w:eastAsia="zh-CN"/>
              </w:rPr>
              <w:t>、制袋</w:t>
            </w:r>
            <w:r>
              <w:rPr>
                <w:rFonts w:hint="eastAsia" w:ascii="Times New Roman" w:hAnsi="Times New Roman" w:eastAsia="宋体" w:cs="Times New Roman"/>
                <w:color w:val="000000"/>
                <w:lang w:val="en-US" w:eastAsia="zh-CN"/>
              </w:rPr>
              <w:t>工序产生的有组织</w:t>
            </w:r>
            <w:r>
              <w:rPr>
                <w:rFonts w:hint="default" w:ascii="Times New Roman" w:hAnsi="Times New Roman" w:eastAsia="宋体" w:cs="Times New Roman"/>
                <w:color w:val="000000"/>
                <w:szCs w:val="24"/>
                <w:lang w:val="en-US" w:eastAsia="zh-CN"/>
              </w:rPr>
              <w:t>非甲烷总烃执行《</w:t>
            </w:r>
            <w:r>
              <w:rPr>
                <w:rFonts w:hint="eastAsia" w:ascii="Times New Roman" w:hAnsi="Times New Roman" w:eastAsia="宋体" w:cs="Times New Roman"/>
                <w:color w:val="000000"/>
                <w:szCs w:val="24"/>
                <w:lang w:val="en-US" w:eastAsia="zh-CN"/>
              </w:rPr>
              <w:t>合成树脂工业污染物排放标准</w:t>
            </w:r>
            <w:r>
              <w:rPr>
                <w:rFonts w:hint="default" w:ascii="Times New Roman" w:hAnsi="Times New Roman" w:eastAsia="宋体" w:cs="Times New Roman"/>
                <w:color w:val="000000"/>
                <w:szCs w:val="24"/>
                <w:lang w:val="en-US" w:eastAsia="zh-CN"/>
              </w:rPr>
              <w:t>》</w:t>
            </w:r>
            <w:r>
              <w:rPr>
                <w:rFonts w:hint="eastAsia" w:ascii="Times New Roman" w:hAnsi="Times New Roman" w:eastAsia="宋体" w:cs="Times New Roman"/>
                <w:color w:val="000000"/>
                <w:szCs w:val="24"/>
                <w:lang w:val="en-US" w:eastAsia="zh-CN"/>
              </w:rPr>
              <w:t>（GB 31572-2015）表5大气污染物特别</w:t>
            </w:r>
            <w:r>
              <w:rPr>
                <w:rFonts w:hint="default" w:ascii="Times New Roman" w:hAnsi="Times New Roman" w:eastAsia="宋体" w:cs="Times New Roman"/>
                <w:color w:val="000000"/>
                <w:szCs w:val="24"/>
                <w:lang w:val="en-US" w:eastAsia="zh-CN"/>
              </w:rPr>
              <w:t>排放标准</w:t>
            </w:r>
            <w:r>
              <w:rPr>
                <w:rFonts w:hint="eastAsia" w:cs="Times New Roman"/>
                <w:color w:val="000000"/>
                <w:szCs w:val="24"/>
                <w:lang w:val="en-US" w:eastAsia="zh-CN"/>
              </w:rPr>
              <w:t>；故</w:t>
            </w:r>
            <w:r>
              <w:rPr>
                <w:rFonts w:hint="eastAsia" w:cs="Times New Roman"/>
                <w:b/>
                <w:bCs/>
                <w:color w:val="000000"/>
                <w:szCs w:val="24"/>
                <w:lang w:val="en-US" w:eastAsia="zh-CN"/>
              </w:rPr>
              <w:t>本项目有组织非甲烷总烃从严执行《印刷行业挥发性有机物排放标准》（DB35/1784-2018）中</w:t>
            </w:r>
            <w:r>
              <w:rPr>
                <w:rFonts w:hint="eastAsia" w:ascii="Times New Roman" w:hAnsi="Times New Roman" w:eastAsia="宋体" w:cs="Times New Roman"/>
                <w:b/>
                <w:bCs/>
                <w:color w:val="000000"/>
                <w:szCs w:val="24"/>
                <w:lang w:val="en-US" w:eastAsia="zh-CN"/>
              </w:rPr>
              <w:t>大气污染物特别</w:t>
            </w:r>
            <w:r>
              <w:rPr>
                <w:rFonts w:hint="default" w:ascii="Times New Roman" w:hAnsi="Times New Roman" w:eastAsia="宋体" w:cs="Times New Roman"/>
                <w:b/>
                <w:bCs/>
                <w:color w:val="000000"/>
                <w:szCs w:val="24"/>
                <w:lang w:val="en-US" w:eastAsia="zh-CN"/>
              </w:rPr>
              <w:t>排放标准</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000000"/>
                <w:szCs w:val="24"/>
                <w:lang w:val="en-US" w:eastAsia="zh-CN"/>
              </w:rPr>
              <w:t>厂界：印刷厂界非甲烷总烃</w:t>
            </w:r>
            <w:r>
              <w:rPr>
                <w:rFonts w:hint="default" w:ascii="Times New Roman" w:hAnsi="Times New Roman" w:eastAsia="宋体" w:cs="Times New Roman"/>
                <w:color w:val="000000"/>
                <w:szCs w:val="24"/>
                <w:lang w:val="en-US" w:eastAsia="zh-CN"/>
              </w:rPr>
              <w:t>执行《印刷行业挥发性有机物排放标准》（DB35/1784-2018）表3中的排放标准</w:t>
            </w:r>
            <w:r>
              <w:rPr>
                <w:rFonts w:hint="eastAsia" w:ascii="Times New Roman" w:hAnsi="Times New Roman" w:eastAsia="宋体" w:cs="Times New Roman"/>
                <w:color w:val="000000"/>
                <w:szCs w:val="24"/>
                <w:lang w:val="en-US" w:eastAsia="zh-CN"/>
              </w:rPr>
              <w:t>；吹膜、</w:t>
            </w:r>
            <w:r>
              <w:rPr>
                <w:rFonts w:hint="default" w:ascii="Times New Roman" w:hAnsi="Times New Roman" w:eastAsia="宋体" w:cs="Times New Roman"/>
                <w:color w:val="000000"/>
                <w:lang w:val="en-US" w:eastAsia="zh-CN"/>
              </w:rPr>
              <w:t>复合</w:t>
            </w:r>
            <w:r>
              <w:rPr>
                <w:rFonts w:hint="eastAsia" w:ascii="Times New Roman" w:hAnsi="Times New Roman" w:eastAsia="宋体" w:cs="Times New Roman"/>
                <w:color w:val="000000"/>
                <w:lang w:val="en-US" w:eastAsia="zh-CN"/>
              </w:rPr>
              <w:t>、熟化工序</w:t>
            </w:r>
            <w:r>
              <w:rPr>
                <w:rFonts w:hint="eastAsia" w:ascii="Times New Roman" w:hAnsi="Times New Roman" w:eastAsia="宋体" w:cs="Times New Roman"/>
                <w:color w:val="000000"/>
                <w:szCs w:val="24"/>
                <w:lang w:val="en-US" w:eastAsia="zh-CN"/>
              </w:rPr>
              <w:t>厂界非甲烷总烃</w:t>
            </w:r>
            <w:r>
              <w:rPr>
                <w:rFonts w:hint="default" w:ascii="Times New Roman" w:hAnsi="Times New Roman" w:eastAsia="宋体" w:cs="Times New Roman"/>
                <w:color w:val="000000"/>
                <w:szCs w:val="24"/>
                <w:lang w:val="en-US" w:eastAsia="zh-CN"/>
              </w:rPr>
              <w:t>执行《</w:t>
            </w:r>
            <w:r>
              <w:rPr>
                <w:rFonts w:hint="eastAsia" w:ascii="Times New Roman" w:hAnsi="Times New Roman" w:eastAsia="宋体" w:cs="Times New Roman"/>
                <w:color w:val="000000"/>
                <w:szCs w:val="24"/>
                <w:lang w:val="en-US" w:eastAsia="zh-CN"/>
              </w:rPr>
              <w:t>合成树脂工业污染物排放标准</w:t>
            </w:r>
            <w:r>
              <w:rPr>
                <w:rFonts w:hint="default" w:ascii="Times New Roman" w:hAnsi="Times New Roman" w:eastAsia="宋体" w:cs="Times New Roman"/>
                <w:color w:val="000000"/>
                <w:szCs w:val="24"/>
                <w:lang w:val="en-US" w:eastAsia="zh-CN"/>
              </w:rPr>
              <w:t>》</w:t>
            </w:r>
            <w:r>
              <w:rPr>
                <w:rFonts w:hint="eastAsia" w:ascii="Times New Roman" w:hAnsi="Times New Roman" w:eastAsia="宋体" w:cs="Times New Roman"/>
                <w:color w:val="000000"/>
                <w:szCs w:val="24"/>
                <w:lang w:val="en-US" w:eastAsia="zh-CN"/>
              </w:rPr>
              <w:t>（GB 31572-2015）表9</w:t>
            </w:r>
            <w:r>
              <w:rPr>
                <w:rFonts w:hint="default" w:ascii="Times New Roman" w:hAnsi="Times New Roman" w:eastAsia="宋体" w:cs="Times New Roman"/>
                <w:color w:val="000000"/>
                <w:szCs w:val="24"/>
                <w:lang w:val="en-US" w:eastAsia="zh-CN"/>
              </w:rPr>
              <w:t>中的排放标准</w:t>
            </w:r>
            <w:r>
              <w:rPr>
                <w:rFonts w:hint="eastAsia" w:ascii="Times New Roman" w:hAnsi="Times New Roman" w:eastAsia="宋体" w:cs="Times New Roman"/>
                <w:color w:val="000000"/>
                <w:szCs w:val="24"/>
                <w:lang w:val="en-US" w:eastAsia="zh-CN"/>
              </w:rPr>
              <w:t>限值。因此，</w:t>
            </w:r>
            <w:r>
              <w:rPr>
                <w:rFonts w:hint="eastAsia" w:ascii="Times New Roman" w:hAnsi="Times New Roman" w:eastAsia="宋体" w:cs="Times New Roman"/>
                <w:b/>
                <w:bCs/>
                <w:color w:val="000000"/>
                <w:szCs w:val="24"/>
                <w:lang w:val="en-US" w:eastAsia="zh-CN"/>
              </w:rPr>
              <w:t>项目厂界非甲烷总烃从严执行</w:t>
            </w:r>
            <w:r>
              <w:rPr>
                <w:rFonts w:hint="default" w:ascii="Times New Roman" w:hAnsi="Times New Roman" w:eastAsia="宋体" w:cs="Times New Roman"/>
                <w:b/>
                <w:bCs/>
                <w:color w:val="000000"/>
                <w:szCs w:val="24"/>
                <w:lang w:val="en-US" w:eastAsia="zh-CN"/>
              </w:rPr>
              <w:t>《印刷行业挥发性有机物排放标准》（DB35/1784-2018）表3中的排放标准</w:t>
            </w:r>
            <w:r>
              <w:rPr>
                <w:rFonts w:hint="eastAsia" w:ascii="Times New Roman" w:hAnsi="Times New Roman" w:eastAsia="宋体" w:cs="Times New Roman"/>
                <w:b/>
                <w:bCs/>
                <w:color w:val="000000"/>
                <w:szCs w:val="24"/>
                <w:lang w:val="en-US" w:eastAsia="zh-CN"/>
              </w:rPr>
              <w:t>。</w:t>
            </w:r>
          </w:p>
          <w:p w14:paraId="57E99E11">
            <w:pPr>
              <w:pStyle w:val="49"/>
              <w:keepNext w:val="0"/>
              <w:keepLines w:val="0"/>
              <w:pageBreakBefore w:val="0"/>
              <w:widowControl w:val="0"/>
              <w:kinsoku/>
              <w:wordWrap/>
              <w:overflowPunct/>
              <w:bidi w:val="0"/>
              <w:snapToGrid/>
              <w:ind w:firstLine="480"/>
              <w:jc w:val="both"/>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color w:val="000000"/>
                <w:szCs w:val="24"/>
                <w:lang w:val="en-US" w:eastAsia="zh-CN"/>
              </w:rPr>
              <w:t>厂区内：</w:t>
            </w:r>
            <w:r>
              <w:rPr>
                <w:rFonts w:hint="default" w:ascii="Times New Roman" w:hAnsi="Times New Roman" w:eastAsia="宋体" w:cs="Times New Roman"/>
                <w:color w:val="000000"/>
                <w:szCs w:val="24"/>
                <w:lang w:val="en-US" w:eastAsia="zh-CN"/>
              </w:rPr>
              <w:t>厂区内</w:t>
            </w:r>
            <w:r>
              <w:rPr>
                <w:rFonts w:hint="eastAsia" w:ascii="Times New Roman" w:hAnsi="Times New Roman" w:eastAsia="宋体" w:cs="Times New Roman"/>
                <w:color w:val="000000"/>
                <w:szCs w:val="24"/>
                <w:lang w:val="en-US" w:eastAsia="zh-CN"/>
              </w:rPr>
              <w:t>非甲烷总烃</w:t>
            </w:r>
            <w:r>
              <w:rPr>
                <w:rFonts w:hint="default" w:ascii="Times New Roman" w:hAnsi="Times New Roman" w:eastAsia="宋体" w:cs="Times New Roman"/>
                <w:color w:val="000000"/>
                <w:szCs w:val="24"/>
                <w:lang w:val="en-US" w:eastAsia="zh-CN"/>
              </w:rPr>
              <w:t>无组织排放监控点处任意一次浓度值执行《挥发性有机物无组织排放控制标准》（GB37822-2019）中附录A厂区内VOCs无组织排放限值要求</w:t>
            </w:r>
            <w:r>
              <w:rPr>
                <w:rFonts w:hint="eastAsia" w:cs="Times New Roman"/>
                <w:color w:val="auto"/>
                <w:sz w:val="24"/>
                <w:u w:val="none"/>
                <w:lang w:val="en-US" w:eastAsia="zh-CN"/>
              </w:rPr>
              <w:t>，</w:t>
            </w:r>
            <w:r>
              <w:rPr>
                <w:rFonts w:hint="eastAsia" w:ascii="Times New Roman" w:hAnsi="Times New Roman" w:eastAsia="宋体" w:cs="Times New Roman"/>
                <w:color w:val="auto"/>
                <w:sz w:val="24"/>
                <w:u w:val="none"/>
                <w:lang w:eastAsia="zh-CN"/>
              </w:rPr>
              <w:t>上述标准具体详见</w:t>
            </w:r>
            <w:r>
              <w:rPr>
                <w:rFonts w:hint="eastAsia" w:cs="Times New Roman"/>
                <w:color w:val="auto"/>
                <w:sz w:val="24"/>
                <w:u w:val="none"/>
                <w:lang w:val="en-US" w:eastAsia="zh-CN"/>
              </w:rPr>
              <w:t>下</w:t>
            </w:r>
            <w:r>
              <w:rPr>
                <w:rFonts w:hint="eastAsia" w:ascii="Times New Roman" w:hAnsi="Times New Roman" w:eastAsia="宋体" w:cs="Times New Roman"/>
                <w:color w:val="auto"/>
                <w:sz w:val="24"/>
                <w:u w:val="none"/>
                <w:lang w:eastAsia="zh-CN"/>
              </w:rPr>
              <w:t>表</w:t>
            </w:r>
            <w:r>
              <w:rPr>
                <w:rFonts w:hint="eastAsia" w:cs="Times New Roman"/>
                <w:color w:val="auto"/>
                <w:sz w:val="24"/>
                <w:u w:val="none"/>
                <w:lang w:eastAsia="zh-CN"/>
              </w:rPr>
              <w:t>。</w:t>
            </w:r>
          </w:p>
          <w:p w14:paraId="0F940774">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 xml:space="preserve">表3.7-3 </w:t>
            </w:r>
            <w:r>
              <w:rPr>
                <w:rFonts w:hint="default" w:ascii="Times New Roman" w:hAnsi="Times New Roman" w:eastAsia="宋体" w:cs="Times New Roman"/>
                <w:b/>
                <w:bCs/>
                <w:color w:val="auto"/>
                <w:sz w:val="24"/>
                <w:szCs w:val="24"/>
                <w:highlight w:val="none"/>
                <w:u w:val="none"/>
                <w:lang w:val="en-US" w:eastAsia="zh-CN"/>
              </w:rPr>
              <w:t>《印刷行业挥发性有机物排放标准》（DB35/1784-2018）</w:t>
            </w:r>
            <w:r>
              <w:rPr>
                <w:rFonts w:hint="eastAsia" w:ascii="Times New Roman" w:hAnsi="Times New Roman" w:eastAsia="宋体" w:cs="Times New Roman"/>
                <w:b/>
                <w:bCs/>
                <w:color w:val="auto"/>
                <w:sz w:val="24"/>
                <w:szCs w:val="24"/>
                <w:highlight w:val="none"/>
                <w:u w:val="none"/>
                <w:lang w:val="en-US" w:eastAsia="zh-CN"/>
              </w:rPr>
              <w:t>（摘录）</w:t>
            </w:r>
          </w:p>
          <w:tbl>
            <w:tblPr>
              <w:tblStyle w:val="24"/>
              <w:tblW w:w="492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5"/>
              <w:gridCol w:w="1198"/>
              <w:gridCol w:w="1015"/>
              <w:gridCol w:w="1697"/>
              <w:gridCol w:w="1297"/>
              <w:gridCol w:w="2183"/>
            </w:tblGrid>
            <w:tr w14:paraId="35100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29" w:hRule="atLeast"/>
                <w:tblHeader/>
                <w:jc w:val="center"/>
              </w:trPr>
              <w:tc>
                <w:tcPr>
                  <w:tcW w:w="645" w:type="pct"/>
                  <w:tcBorders>
                    <w:bottom w:val="single" w:color="000000" w:sz="12" w:space="0"/>
                  </w:tcBorders>
                  <w:noWrap w:val="0"/>
                  <w:vAlign w:val="center"/>
                </w:tcPr>
                <w:p w14:paraId="55FBDF99">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污染物</w:t>
                  </w:r>
                </w:p>
              </w:tc>
              <w:tc>
                <w:tcPr>
                  <w:tcW w:w="706" w:type="pct"/>
                  <w:tcBorders>
                    <w:bottom w:val="single" w:color="000000" w:sz="12" w:space="0"/>
                  </w:tcBorders>
                  <w:noWrap w:val="0"/>
                  <w:vAlign w:val="center"/>
                </w:tcPr>
                <w:p w14:paraId="6C54B696">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最高允许排放浓度（mg/m</w:t>
                  </w:r>
                  <w:r>
                    <w:rPr>
                      <w:rFonts w:hint="default" w:ascii="Times New Roman" w:hAnsi="Times New Roman" w:eastAsia="宋体" w:cs="Times New Roman"/>
                      <w:b w:val="0"/>
                      <w:bCs w:val="0"/>
                      <w:color w:val="000000"/>
                      <w:szCs w:val="21"/>
                      <w:vertAlign w:val="superscript"/>
                    </w:rPr>
                    <w:t>3</w:t>
                  </w:r>
                  <w:r>
                    <w:rPr>
                      <w:rFonts w:hint="default" w:ascii="Times New Roman" w:hAnsi="Times New Roman" w:eastAsia="宋体" w:cs="Times New Roman"/>
                      <w:b w:val="0"/>
                      <w:bCs w:val="0"/>
                      <w:color w:val="000000"/>
                      <w:szCs w:val="21"/>
                    </w:rPr>
                    <w:t>）</w:t>
                  </w:r>
                </w:p>
              </w:tc>
              <w:tc>
                <w:tcPr>
                  <w:tcW w:w="598" w:type="pct"/>
                  <w:tcBorders>
                    <w:bottom w:val="single" w:color="000000" w:sz="12" w:space="0"/>
                  </w:tcBorders>
                  <w:noWrap w:val="0"/>
                  <w:vAlign w:val="center"/>
                </w:tcPr>
                <w:p w14:paraId="25671194">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最高允许排放速率（kg/h）</w:t>
                  </w:r>
                </w:p>
              </w:tc>
              <w:tc>
                <w:tcPr>
                  <w:tcW w:w="1000" w:type="pct"/>
                  <w:tcBorders>
                    <w:bottom w:val="single" w:color="000000" w:sz="12" w:space="0"/>
                  </w:tcBorders>
                  <w:noWrap w:val="0"/>
                  <w:vAlign w:val="center"/>
                </w:tcPr>
                <w:p w14:paraId="4CC1316A">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厂区内监控点浓度限值（1h平均浓度值 mg/m</w:t>
                  </w:r>
                  <w:r>
                    <w:rPr>
                      <w:rFonts w:hint="default" w:ascii="Times New Roman" w:hAnsi="Times New Roman" w:eastAsia="宋体" w:cs="Times New Roman"/>
                      <w:b w:val="0"/>
                      <w:bCs w:val="0"/>
                      <w:color w:val="000000"/>
                      <w:szCs w:val="21"/>
                      <w:vertAlign w:val="superscript"/>
                    </w:rPr>
                    <w:t>3</w:t>
                  </w:r>
                  <w:r>
                    <w:rPr>
                      <w:rFonts w:hint="default" w:ascii="Times New Roman" w:hAnsi="Times New Roman" w:eastAsia="宋体" w:cs="Times New Roman"/>
                      <w:b w:val="0"/>
                      <w:bCs w:val="0"/>
                      <w:color w:val="000000"/>
                      <w:szCs w:val="21"/>
                    </w:rPr>
                    <w:t>）</w:t>
                  </w:r>
                </w:p>
              </w:tc>
              <w:tc>
                <w:tcPr>
                  <w:tcW w:w="764" w:type="pct"/>
                  <w:tcBorders>
                    <w:bottom w:val="single" w:color="000000" w:sz="12" w:space="0"/>
                  </w:tcBorders>
                  <w:noWrap w:val="0"/>
                  <w:vAlign w:val="center"/>
                </w:tcPr>
                <w:p w14:paraId="427D2561">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企业边界监控点浓度限值（mg/m</w:t>
                  </w:r>
                  <w:r>
                    <w:rPr>
                      <w:rFonts w:hint="default" w:ascii="Times New Roman" w:hAnsi="Times New Roman" w:eastAsia="宋体" w:cs="Times New Roman"/>
                      <w:b w:val="0"/>
                      <w:bCs w:val="0"/>
                      <w:color w:val="000000"/>
                      <w:szCs w:val="21"/>
                      <w:vertAlign w:val="superscript"/>
                    </w:rPr>
                    <w:t>3</w:t>
                  </w:r>
                  <w:r>
                    <w:rPr>
                      <w:rFonts w:hint="default" w:ascii="Times New Roman" w:hAnsi="Times New Roman" w:eastAsia="宋体" w:cs="Times New Roman"/>
                      <w:b w:val="0"/>
                      <w:bCs w:val="0"/>
                      <w:color w:val="000000"/>
                      <w:szCs w:val="21"/>
                    </w:rPr>
                    <w:t>）</w:t>
                  </w:r>
                </w:p>
              </w:tc>
              <w:tc>
                <w:tcPr>
                  <w:tcW w:w="1286" w:type="pct"/>
                  <w:tcBorders>
                    <w:bottom w:val="single" w:color="000000" w:sz="12" w:space="0"/>
                  </w:tcBorders>
                  <w:noWrap w:val="0"/>
                  <w:vAlign w:val="center"/>
                </w:tcPr>
                <w:p w14:paraId="66AA1972">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标准来源</w:t>
                  </w:r>
                </w:p>
              </w:tc>
            </w:tr>
            <w:tr w14:paraId="15934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74" w:hRule="atLeast"/>
                <w:jc w:val="center"/>
              </w:trPr>
              <w:tc>
                <w:tcPr>
                  <w:tcW w:w="645" w:type="pct"/>
                  <w:tcBorders>
                    <w:top w:val="single" w:color="000000" w:sz="12" w:space="0"/>
                  </w:tcBorders>
                  <w:noWrap w:val="0"/>
                  <w:vAlign w:val="center"/>
                </w:tcPr>
                <w:p w14:paraId="793EFF87">
                  <w:pPr>
                    <w:jc w:val="center"/>
                    <w:rPr>
                      <w:rFonts w:hint="default" w:ascii="Times New Roman" w:hAnsi="Times New Roman" w:eastAsia="宋体" w:cs="Times New Roman"/>
                      <w:color w:val="000000"/>
                      <w:szCs w:val="21"/>
                    </w:rPr>
                  </w:pPr>
                  <w:r>
                    <w:rPr>
                      <w:rFonts w:hint="default" w:ascii="Times New Roman" w:hAnsi="Times New Roman" w:eastAsia="宋体" w:cs="Times New Roman"/>
                      <w:bCs/>
                      <w:color w:val="000000"/>
                      <w:szCs w:val="21"/>
                      <w:lang w:bidi="ar"/>
                    </w:rPr>
                    <w:t>非甲烷总烃</w:t>
                  </w:r>
                </w:p>
              </w:tc>
              <w:tc>
                <w:tcPr>
                  <w:tcW w:w="706" w:type="pct"/>
                  <w:tcBorders>
                    <w:top w:val="single" w:color="000000" w:sz="12" w:space="0"/>
                  </w:tcBorders>
                  <w:noWrap w:val="0"/>
                  <w:vAlign w:val="center"/>
                </w:tcPr>
                <w:p w14:paraId="181FC0BD">
                  <w:pPr>
                    <w:jc w:val="center"/>
                    <w:rPr>
                      <w:rFonts w:hint="default" w:ascii="Times New Roman" w:hAnsi="Times New Roman" w:eastAsia="宋体" w:cs="Times New Roman"/>
                      <w:color w:val="000000"/>
                      <w:szCs w:val="21"/>
                    </w:rPr>
                  </w:pPr>
                  <w:r>
                    <w:rPr>
                      <w:rFonts w:hint="default" w:ascii="Times New Roman" w:hAnsi="Times New Roman" w:eastAsia="宋体" w:cs="Times New Roman"/>
                      <w:bCs/>
                      <w:color w:val="000000"/>
                      <w:szCs w:val="21"/>
                      <w:lang w:bidi="ar"/>
                    </w:rPr>
                    <w:t>50</w:t>
                  </w:r>
                </w:p>
              </w:tc>
              <w:tc>
                <w:tcPr>
                  <w:tcW w:w="598" w:type="pct"/>
                  <w:tcBorders>
                    <w:top w:val="single" w:color="000000" w:sz="12" w:space="0"/>
                  </w:tcBorders>
                  <w:noWrap w:val="0"/>
                  <w:vAlign w:val="center"/>
                </w:tcPr>
                <w:p w14:paraId="163DE38B">
                  <w:pPr>
                    <w:jc w:val="center"/>
                    <w:rPr>
                      <w:rFonts w:hint="default" w:ascii="Times New Roman" w:hAnsi="Times New Roman" w:eastAsia="宋体" w:cs="Times New Roman"/>
                      <w:bCs/>
                      <w:color w:val="000000"/>
                      <w:szCs w:val="21"/>
                      <w:lang w:bidi="ar"/>
                    </w:rPr>
                  </w:pPr>
                  <w:r>
                    <w:rPr>
                      <w:rFonts w:hint="default" w:ascii="Times New Roman" w:hAnsi="Times New Roman" w:eastAsia="宋体" w:cs="Times New Roman"/>
                      <w:bCs/>
                      <w:color w:val="000000"/>
                      <w:szCs w:val="21"/>
                      <w:lang w:bidi="ar"/>
                    </w:rPr>
                    <w:t>1.5</w:t>
                  </w:r>
                </w:p>
              </w:tc>
              <w:tc>
                <w:tcPr>
                  <w:tcW w:w="1000" w:type="pct"/>
                  <w:tcBorders>
                    <w:top w:val="single" w:color="000000" w:sz="12" w:space="0"/>
                  </w:tcBorders>
                  <w:noWrap w:val="0"/>
                  <w:vAlign w:val="center"/>
                </w:tcPr>
                <w:p w14:paraId="46CDEA23">
                  <w:pPr>
                    <w:jc w:val="center"/>
                    <w:rPr>
                      <w:rFonts w:hint="default" w:ascii="Times New Roman" w:hAnsi="Times New Roman" w:eastAsia="宋体" w:cs="Times New Roman"/>
                      <w:bCs/>
                      <w:color w:val="000000"/>
                      <w:szCs w:val="21"/>
                      <w:lang w:bidi="ar"/>
                    </w:rPr>
                  </w:pPr>
                  <w:r>
                    <w:rPr>
                      <w:rFonts w:hint="default" w:ascii="Times New Roman" w:hAnsi="Times New Roman" w:eastAsia="宋体" w:cs="Times New Roman"/>
                      <w:bCs/>
                      <w:color w:val="000000"/>
                      <w:szCs w:val="21"/>
                      <w:lang w:bidi="ar"/>
                    </w:rPr>
                    <w:t>8.0</w:t>
                  </w:r>
                </w:p>
              </w:tc>
              <w:tc>
                <w:tcPr>
                  <w:tcW w:w="764" w:type="pct"/>
                  <w:tcBorders>
                    <w:top w:val="single" w:color="000000" w:sz="12" w:space="0"/>
                  </w:tcBorders>
                  <w:noWrap w:val="0"/>
                  <w:vAlign w:val="center"/>
                </w:tcPr>
                <w:p w14:paraId="2FAA72A0">
                  <w:pPr>
                    <w:jc w:val="center"/>
                    <w:rPr>
                      <w:rFonts w:hint="default" w:ascii="Times New Roman" w:hAnsi="Times New Roman" w:eastAsia="宋体" w:cs="Times New Roman"/>
                      <w:bCs/>
                      <w:color w:val="000000"/>
                      <w:szCs w:val="21"/>
                      <w:lang w:bidi="ar"/>
                    </w:rPr>
                  </w:pPr>
                  <w:r>
                    <w:rPr>
                      <w:rFonts w:hint="default" w:ascii="Times New Roman" w:hAnsi="Times New Roman" w:eastAsia="宋体" w:cs="Times New Roman"/>
                      <w:bCs/>
                      <w:color w:val="000000"/>
                      <w:szCs w:val="21"/>
                      <w:lang w:bidi="ar"/>
                    </w:rPr>
                    <w:t>2.0</w:t>
                  </w:r>
                </w:p>
              </w:tc>
              <w:tc>
                <w:tcPr>
                  <w:tcW w:w="1286" w:type="pct"/>
                  <w:tcBorders>
                    <w:top w:val="single" w:color="000000" w:sz="12" w:space="0"/>
                  </w:tcBorders>
                  <w:noWrap w:val="0"/>
                  <w:vAlign w:val="center"/>
                </w:tcPr>
                <w:p w14:paraId="6917C17F">
                  <w:pPr>
                    <w:jc w:val="center"/>
                    <w:rPr>
                      <w:rFonts w:hint="default" w:ascii="Times New Roman" w:hAnsi="Times New Roman" w:eastAsia="宋体" w:cs="Times New Roman"/>
                      <w:bCs/>
                      <w:color w:val="000000"/>
                      <w:szCs w:val="21"/>
                      <w:lang w:bidi="ar"/>
                    </w:rPr>
                  </w:pPr>
                  <w:r>
                    <w:rPr>
                      <w:rFonts w:hint="default" w:ascii="Times New Roman" w:hAnsi="Times New Roman" w:eastAsia="宋体" w:cs="Times New Roman"/>
                      <w:color w:val="000000"/>
                      <w:szCs w:val="21"/>
                    </w:rPr>
                    <w:t>《印刷行业挥发性有机物排放标准》（DB35/1784-</w:t>
                  </w:r>
                  <w:r>
                    <w:rPr>
                      <w:rFonts w:hint="default" w:ascii="Times New Roman" w:hAnsi="Times New Roman" w:eastAsia="宋体" w:cs="Times New Roman"/>
                      <w:b w:val="0"/>
                      <w:bCs w:val="0"/>
                      <w:color w:val="000000"/>
                      <w:szCs w:val="21"/>
                    </w:rPr>
                    <w:t>2018）</w:t>
                  </w:r>
                  <w:r>
                    <w:rPr>
                      <w:rFonts w:hint="eastAsia" w:ascii="Times New Roman" w:hAnsi="Times New Roman" w:eastAsia="宋体" w:cs="Times New Roman"/>
                      <w:b w:val="0"/>
                      <w:bCs w:val="0"/>
                      <w:color w:val="000000"/>
                      <w:kern w:val="2"/>
                      <w:sz w:val="21"/>
                      <w:szCs w:val="21"/>
                      <w:highlight w:val="none"/>
                      <w:lang w:val="en-US" w:eastAsia="zh-CN" w:bidi="ar-SA"/>
                    </w:rPr>
                    <w:t>表1、表2、表3</w:t>
                  </w:r>
                </w:p>
              </w:tc>
            </w:tr>
          </w:tbl>
          <w:p w14:paraId="7827BD6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表3.</w:t>
            </w:r>
            <w:r>
              <w:rPr>
                <w:rFonts w:hint="eastAsia" w:ascii="Times New Roman" w:hAnsi="Times New Roman" w:eastAsia="宋体" w:cs="Times New Roman"/>
                <w:b/>
                <w:bCs/>
                <w:color w:val="auto"/>
                <w:sz w:val="24"/>
                <w:szCs w:val="24"/>
                <w:highlight w:val="none"/>
                <w:u w:val="none"/>
                <w:lang w:val="en-US" w:eastAsia="zh-CN"/>
              </w:rPr>
              <w:t>7</w:t>
            </w:r>
            <w:r>
              <w:rPr>
                <w:rFonts w:hint="default" w:ascii="Times New Roman" w:hAnsi="Times New Roman" w:eastAsia="宋体" w:cs="Times New Roman"/>
                <w:b/>
                <w:bCs/>
                <w:color w:val="auto"/>
                <w:sz w:val="24"/>
                <w:szCs w:val="24"/>
                <w:highlight w:val="none"/>
                <w:u w:val="none"/>
                <w:lang w:val="en-US" w:eastAsia="zh-CN"/>
              </w:rPr>
              <w:t>-</w:t>
            </w:r>
            <w:r>
              <w:rPr>
                <w:rFonts w:hint="eastAsia" w:ascii="Times New Roman" w:hAnsi="Times New Roman" w:eastAsia="宋体" w:cs="Times New Roman"/>
                <w:b/>
                <w:bCs/>
                <w:color w:val="auto"/>
                <w:sz w:val="24"/>
                <w:szCs w:val="24"/>
                <w:highlight w:val="none"/>
                <w:u w:val="none"/>
                <w:lang w:val="en-US" w:eastAsia="zh-CN"/>
              </w:rPr>
              <w:t xml:space="preserve">4 </w:t>
            </w:r>
            <w:r>
              <w:rPr>
                <w:rFonts w:hint="default" w:ascii="Times New Roman" w:hAnsi="Times New Roman" w:eastAsia="宋体" w:cs="Times New Roman"/>
                <w:b/>
                <w:bCs/>
                <w:color w:val="auto"/>
                <w:sz w:val="24"/>
                <w:szCs w:val="24"/>
                <w:highlight w:val="none"/>
                <w:u w:val="none"/>
                <w:lang w:val="en-US" w:eastAsia="zh-CN"/>
              </w:rPr>
              <w:t>《合成树脂工业污染物排放标准》（GB 31572-2015）</w:t>
            </w:r>
            <w:r>
              <w:rPr>
                <w:rFonts w:hint="eastAsia" w:ascii="Times New Roman" w:hAnsi="Times New Roman" w:eastAsia="宋体" w:cs="Times New Roman"/>
                <w:b/>
                <w:bCs/>
                <w:color w:val="auto"/>
                <w:sz w:val="24"/>
                <w:szCs w:val="24"/>
                <w:highlight w:val="none"/>
                <w:u w:val="none"/>
                <w:lang w:val="en-US" w:eastAsia="zh-CN"/>
              </w:rPr>
              <w:t>（摘录）</w:t>
            </w:r>
          </w:p>
          <w:tbl>
            <w:tblPr>
              <w:tblStyle w:val="24"/>
              <w:tblW w:w="49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37"/>
              <w:gridCol w:w="1920"/>
              <w:gridCol w:w="1925"/>
              <w:gridCol w:w="2808"/>
            </w:tblGrid>
            <w:tr w14:paraId="4D52E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9" w:hRule="atLeast"/>
                <w:tblHeader/>
                <w:jc w:val="center"/>
              </w:trPr>
              <w:tc>
                <w:tcPr>
                  <w:tcW w:w="1081" w:type="pct"/>
                  <w:tcBorders>
                    <w:bottom w:val="single" w:color="000000" w:sz="12" w:space="0"/>
                  </w:tcBorders>
                  <w:noWrap w:val="0"/>
                  <w:vAlign w:val="center"/>
                </w:tcPr>
                <w:p w14:paraId="6648BDC9">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污染物</w:t>
                  </w:r>
                </w:p>
              </w:tc>
              <w:tc>
                <w:tcPr>
                  <w:tcW w:w="1130" w:type="pct"/>
                  <w:tcBorders>
                    <w:bottom w:val="single" w:color="000000" w:sz="12" w:space="0"/>
                  </w:tcBorders>
                  <w:noWrap w:val="0"/>
                  <w:vAlign w:val="center"/>
                </w:tcPr>
                <w:p w14:paraId="6E750CF3">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最高允许排放浓度（mg/m</w:t>
                  </w:r>
                  <w:r>
                    <w:rPr>
                      <w:rFonts w:hint="default" w:ascii="Times New Roman" w:hAnsi="Times New Roman" w:eastAsia="宋体" w:cs="Times New Roman"/>
                      <w:b w:val="0"/>
                      <w:bCs w:val="0"/>
                      <w:color w:val="000000"/>
                      <w:szCs w:val="21"/>
                      <w:vertAlign w:val="superscript"/>
                    </w:rPr>
                    <w:t>3</w:t>
                  </w:r>
                  <w:r>
                    <w:rPr>
                      <w:rFonts w:hint="default" w:ascii="Times New Roman" w:hAnsi="Times New Roman" w:eastAsia="宋体" w:cs="Times New Roman"/>
                      <w:b w:val="0"/>
                      <w:bCs w:val="0"/>
                      <w:color w:val="000000"/>
                      <w:szCs w:val="21"/>
                    </w:rPr>
                    <w:t>）</w:t>
                  </w:r>
                </w:p>
              </w:tc>
              <w:tc>
                <w:tcPr>
                  <w:tcW w:w="1133" w:type="pct"/>
                  <w:tcBorders>
                    <w:bottom w:val="single" w:color="000000" w:sz="12" w:space="0"/>
                  </w:tcBorders>
                  <w:noWrap w:val="0"/>
                  <w:vAlign w:val="center"/>
                </w:tcPr>
                <w:p w14:paraId="5A06EDF5">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企业边界监控点浓度限值（mg/m</w:t>
                  </w:r>
                  <w:r>
                    <w:rPr>
                      <w:rFonts w:hint="default" w:ascii="Times New Roman" w:hAnsi="Times New Roman" w:eastAsia="宋体" w:cs="Times New Roman"/>
                      <w:b w:val="0"/>
                      <w:bCs w:val="0"/>
                      <w:color w:val="000000"/>
                      <w:szCs w:val="21"/>
                      <w:vertAlign w:val="superscript"/>
                    </w:rPr>
                    <w:t>3</w:t>
                  </w:r>
                  <w:r>
                    <w:rPr>
                      <w:rFonts w:hint="default" w:ascii="Times New Roman" w:hAnsi="Times New Roman" w:eastAsia="宋体" w:cs="Times New Roman"/>
                      <w:b w:val="0"/>
                      <w:bCs w:val="0"/>
                      <w:color w:val="000000"/>
                      <w:szCs w:val="21"/>
                    </w:rPr>
                    <w:t>）</w:t>
                  </w:r>
                </w:p>
              </w:tc>
              <w:tc>
                <w:tcPr>
                  <w:tcW w:w="1653" w:type="pct"/>
                  <w:tcBorders>
                    <w:bottom w:val="single" w:color="000000" w:sz="12" w:space="0"/>
                  </w:tcBorders>
                  <w:noWrap w:val="0"/>
                  <w:vAlign w:val="center"/>
                </w:tcPr>
                <w:p w14:paraId="4C117F47">
                  <w:pPr>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标准来源</w:t>
                  </w:r>
                </w:p>
              </w:tc>
            </w:tr>
            <w:tr w14:paraId="7BA1C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1081" w:type="pct"/>
                  <w:tcBorders>
                    <w:top w:val="single" w:color="000000" w:sz="12" w:space="0"/>
                  </w:tcBorders>
                  <w:noWrap w:val="0"/>
                  <w:vAlign w:val="center"/>
                </w:tcPr>
                <w:p w14:paraId="5D3BA1C6">
                  <w:pPr>
                    <w:jc w:val="center"/>
                    <w:rPr>
                      <w:rFonts w:hint="default" w:ascii="Times New Roman" w:hAnsi="Times New Roman" w:eastAsia="宋体" w:cs="Times New Roman"/>
                      <w:color w:val="000000"/>
                      <w:szCs w:val="21"/>
                    </w:rPr>
                  </w:pPr>
                  <w:r>
                    <w:rPr>
                      <w:rFonts w:hint="default" w:ascii="Times New Roman" w:hAnsi="Times New Roman" w:eastAsia="宋体" w:cs="Times New Roman"/>
                      <w:bCs/>
                      <w:color w:val="000000"/>
                      <w:szCs w:val="21"/>
                      <w:lang w:bidi="ar"/>
                    </w:rPr>
                    <w:t>非甲烷总烃</w:t>
                  </w:r>
                </w:p>
              </w:tc>
              <w:tc>
                <w:tcPr>
                  <w:tcW w:w="1130" w:type="pct"/>
                  <w:tcBorders>
                    <w:top w:val="single" w:color="000000" w:sz="12" w:space="0"/>
                  </w:tcBorders>
                  <w:noWrap w:val="0"/>
                  <w:vAlign w:val="center"/>
                </w:tcPr>
                <w:p w14:paraId="70FDCFCA">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Cs/>
                      <w:color w:val="000000"/>
                      <w:szCs w:val="21"/>
                      <w:lang w:val="en-US" w:eastAsia="zh-CN" w:bidi="ar"/>
                    </w:rPr>
                    <w:t>60</w:t>
                  </w:r>
                </w:p>
              </w:tc>
              <w:tc>
                <w:tcPr>
                  <w:tcW w:w="1133" w:type="pct"/>
                  <w:tcBorders>
                    <w:top w:val="single" w:color="000000" w:sz="12" w:space="0"/>
                  </w:tcBorders>
                  <w:noWrap w:val="0"/>
                  <w:vAlign w:val="center"/>
                </w:tcPr>
                <w:p w14:paraId="47DABFED">
                  <w:pPr>
                    <w:jc w:val="center"/>
                    <w:rPr>
                      <w:rFonts w:hint="default" w:ascii="Times New Roman" w:hAnsi="Times New Roman" w:eastAsia="宋体" w:cs="Times New Roman"/>
                      <w:bCs/>
                      <w:color w:val="000000"/>
                      <w:szCs w:val="21"/>
                      <w:lang w:bidi="ar"/>
                    </w:rPr>
                  </w:pPr>
                  <w:r>
                    <w:rPr>
                      <w:rFonts w:hint="eastAsia" w:ascii="Times New Roman" w:hAnsi="Times New Roman" w:eastAsia="宋体" w:cs="Times New Roman"/>
                      <w:bCs/>
                      <w:color w:val="000000"/>
                      <w:szCs w:val="21"/>
                      <w:lang w:val="en-US" w:eastAsia="zh-CN" w:bidi="ar"/>
                    </w:rPr>
                    <w:t>4</w:t>
                  </w:r>
                  <w:r>
                    <w:rPr>
                      <w:rFonts w:hint="default" w:ascii="Times New Roman" w:hAnsi="Times New Roman" w:eastAsia="宋体" w:cs="Times New Roman"/>
                      <w:bCs/>
                      <w:color w:val="000000"/>
                      <w:szCs w:val="21"/>
                      <w:lang w:bidi="ar"/>
                    </w:rPr>
                    <w:t>.0</w:t>
                  </w:r>
                </w:p>
              </w:tc>
              <w:tc>
                <w:tcPr>
                  <w:tcW w:w="1653" w:type="pct"/>
                  <w:tcBorders>
                    <w:top w:val="single" w:color="000000" w:sz="12" w:space="0"/>
                  </w:tcBorders>
                  <w:noWrap w:val="0"/>
                  <w:vAlign w:val="center"/>
                </w:tcPr>
                <w:p w14:paraId="4B5668CA">
                  <w:pPr>
                    <w:jc w:val="center"/>
                    <w:rPr>
                      <w:rFonts w:hint="default" w:ascii="Times New Roman" w:hAnsi="Times New Roman" w:eastAsia="宋体" w:cs="Times New Roman"/>
                      <w:bCs/>
                      <w:color w:val="000000"/>
                      <w:szCs w:val="21"/>
                      <w:lang w:bidi="ar"/>
                    </w:rPr>
                  </w:pPr>
                  <w:r>
                    <w:rPr>
                      <w:rFonts w:hint="default" w:ascii="Times New Roman" w:hAnsi="Times New Roman" w:eastAsia="宋体" w:cs="Times New Roman"/>
                      <w:bCs/>
                      <w:color w:val="000000"/>
                      <w:szCs w:val="21"/>
                      <w:lang w:val="en-US" w:eastAsia="zh-CN" w:bidi="ar"/>
                    </w:rPr>
                    <w:t>《合成树脂工业污染物排放标准》（GB 31572-2015）</w:t>
                  </w:r>
                  <w:r>
                    <w:rPr>
                      <w:rFonts w:hint="eastAsia" w:ascii="Times New Roman" w:hAnsi="Times New Roman" w:eastAsia="宋体" w:cs="Times New Roman"/>
                      <w:b w:val="0"/>
                      <w:bCs w:val="0"/>
                      <w:color w:val="000000"/>
                      <w:sz w:val="21"/>
                      <w:szCs w:val="21"/>
                      <w:highlight w:val="none"/>
                      <w:lang w:val="en-US" w:eastAsia="zh-CN"/>
                    </w:rPr>
                    <w:t>表5、表9</w:t>
                  </w:r>
                </w:p>
              </w:tc>
            </w:tr>
          </w:tbl>
          <w:p w14:paraId="7D7FDD4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表3.</w:t>
            </w:r>
            <w:r>
              <w:rPr>
                <w:rFonts w:hint="eastAsia" w:ascii="Times New Roman" w:hAnsi="Times New Roman" w:eastAsia="宋体" w:cs="Times New Roman"/>
                <w:b/>
                <w:bCs/>
                <w:color w:val="auto"/>
                <w:sz w:val="24"/>
                <w:szCs w:val="24"/>
                <w:highlight w:val="none"/>
                <w:u w:val="none"/>
                <w:lang w:val="en-US" w:eastAsia="zh-CN"/>
              </w:rPr>
              <w:t>7</w:t>
            </w:r>
            <w:r>
              <w:rPr>
                <w:rFonts w:hint="default" w:ascii="Times New Roman" w:hAnsi="Times New Roman" w:eastAsia="宋体" w:cs="Times New Roman"/>
                <w:b/>
                <w:bCs/>
                <w:color w:val="auto"/>
                <w:sz w:val="24"/>
                <w:szCs w:val="24"/>
                <w:highlight w:val="none"/>
                <w:u w:val="none"/>
                <w:lang w:val="en-US" w:eastAsia="zh-CN"/>
              </w:rPr>
              <w:t>-</w:t>
            </w:r>
            <w:r>
              <w:rPr>
                <w:rFonts w:hint="eastAsia" w:ascii="Times New Roman" w:hAnsi="Times New Roman" w:eastAsia="宋体" w:cs="Times New Roman"/>
                <w:b/>
                <w:bCs/>
                <w:color w:val="auto"/>
                <w:sz w:val="24"/>
                <w:szCs w:val="24"/>
                <w:highlight w:val="none"/>
                <w:u w:val="none"/>
                <w:lang w:val="en-US" w:eastAsia="zh-CN"/>
              </w:rPr>
              <w:t>5</w:t>
            </w:r>
            <w:r>
              <w:rPr>
                <w:rFonts w:hint="default" w:ascii="Times New Roman" w:hAnsi="Times New Roman" w:eastAsia="宋体" w:cs="Times New Roman"/>
                <w:b/>
                <w:bCs/>
                <w:color w:val="auto"/>
                <w:sz w:val="24"/>
                <w:szCs w:val="24"/>
                <w:highlight w:val="none"/>
                <w:u w:val="none"/>
                <w:lang w:val="en-US" w:eastAsia="zh-CN"/>
              </w:rPr>
              <w:t xml:space="preserve"> 《挥发性有机物无组织排放控制标准》（GB37822-2019）</w:t>
            </w:r>
            <w:r>
              <w:rPr>
                <w:rFonts w:hint="eastAsia" w:ascii="Times New Roman" w:hAnsi="Times New Roman" w:eastAsia="宋体" w:cs="Times New Roman"/>
                <w:b/>
                <w:bCs/>
                <w:color w:val="auto"/>
                <w:sz w:val="24"/>
                <w:szCs w:val="24"/>
                <w:highlight w:val="none"/>
                <w:u w:val="none"/>
                <w:lang w:val="en-US" w:eastAsia="zh-CN"/>
              </w:rPr>
              <w:t>（摘录）</w:t>
            </w:r>
          </w:p>
          <w:tbl>
            <w:tblPr>
              <w:tblStyle w:val="24"/>
              <w:tblW w:w="82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3555"/>
              <w:gridCol w:w="3556"/>
            </w:tblGrid>
            <w:tr w14:paraId="03E8A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160" w:type="dxa"/>
                  <w:tcBorders>
                    <w:bottom w:val="single" w:color="000000" w:sz="12" w:space="0"/>
                  </w:tcBorders>
                  <w:noWrap w:val="0"/>
                  <w:vAlign w:val="center"/>
                </w:tcPr>
                <w:p w14:paraId="357E595C">
                  <w:pPr>
                    <w:pStyle w:val="87"/>
                    <w:tabs>
                      <w:tab w:val="left" w:pos="1980"/>
                      <w:tab w:val="left" w:pos="3825"/>
                      <w:tab w:val="left" w:pos="4680"/>
                      <w:tab w:val="clear" w:pos="0"/>
                    </w:tabs>
                    <w:spacing w:line="240" w:lineRule="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污染物</w:t>
                  </w:r>
                </w:p>
              </w:tc>
              <w:tc>
                <w:tcPr>
                  <w:tcW w:w="3555" w:type="dxa"/>
                  <w:tcBorders>
                    <w:bottom w:val="single" w:color="000000" w:sz="12" w:space="0"/>
                  </w:tcBorders>
                  <w:noWrap w:val="0"/>
                  <w:vAlign w:val="center"/>
                </w:tcPr>
                <w:p w14:paraId="444E4123">
                  <w:pPr>
                    <w:pStyle w:val="14"/>
                    <w:widowControl w:val="0"/>
                    <w:tabs>
                      <w:tab w:val="left" w:pos="480"/>
                    </w:tabs>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b w:val="0"/>
                      <w:bCs w:val="0"/>
                      <w:i w:val="0"/>
                      <w:iCs w:val="0"/>
                      <w:color w:val="000000"/>
                      <w:spacing w:val="-8"/>
                      <w:sz w:val="21"/>
                      <w:szCs w:val="21"/>
                      <w:u w:val="none"/>
                      <w:lang w:val="zh-CN" w:eastAsia="zh-CN"/>
                    </w:rPr>
                  </w:pPr>
                  <w:r>
                    <w:rPr>
                      <w:rFonts w:hint="default" w:ascii="Times New Roman" w:hAnsi="Times New Roman" w:eastAsia="宋体" w:cs="Times New Roman"/>
                      <w:b w:val="0"/>
                      <w:bCs w:val="0"/>
                      <w:i w:val="0"/>
                      <w:iCs w:val="0"/>
                      <w:color w:val="000000"/>
                      <w:spacing w:val="-8"/>
                      <w:sz w:val="21"/>
                      <w:szCs w:val="21"/>
                      <w:u w:val="none"/>
                      <w:lang w:val="zh-CN" w:eastAsia="zh-CN"/>
                    </w:rPr>
                    <w:t>厂区内监控点浓度限值</w:t>
                  </w:r>
                </w:p>
                <w:p w14:paraId="5BB3EE14">
                  <w:pPr>
                    <w:pStyle w:val="14"/>
                    <w:widowControl w:val="0"/>
                    <w:tabs>
                      <w:tab w:val="left" w:pos="480"/>
                    </w:tabs>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i w:val="0"/>
                      <w:iCs w:val="0"/>
                      <w:color w:val="000000"/>
                      <w:sz w:val="21"/>
                      <w:szCs w:val="21"/>
                      <w:u w:val="none"/>
                      <w:lang w:val="zh-CN"/>
                    </w:rPr>
                    <w:t>（监控点处任意一次浓度</w:t>
                  </w:r>
                  <w:r>
                    <w:rPr>
                      <w:rFonts w:hint="default" w:ascii="Times New Roman" w:hAnsi="Times New Roman" w:eastAsia="宋体" w:cs="Times New Roman"/>
                      <w:b w:val="0"/>
                      <w:bCs w:val="0"/>
                      <w:i w:val="0"/>
                      <w:iCs w:val="0"/>
                      <w:color w:val="000000"/>
                      <w:sz w:val="21"/>
                      <w:szCs w:val="21"/>
                      <w:u w:val="none"/>
                    </w:rPr>
                    <w:t>mg/m</w:t>
                  </w:r>
                  <w:r>
                    <w:rPr>
                      <w:rFonts w:hint="default" w:ascii="Times New Roman" w:hAnsi="Times New Roman" w:eastAsia="宋体" w:cs="Times New Roman"/>
                      <w:b w:val="0"/>
                      <w:bCs w:val="0"/>
                      <w:i w:val="0"/>
                      <w:iCs w:val="0"/>
                      <w:color w:val="000000"/>
                      <w:sz w:val="21"/>
                      <w:szCs w:val="21"/>
                      <w:u w:val="none"/>
                      <w:vertAlign w:val="superscript"/>
                    </w:rPr>
                    <w:t>3</w:t>
                  </w:r>
                  <w:r>
                    <w:rPr>
                      <w:rFonts w:hint="default" w:ascii="Times New Roman" w:hAnsi="Times New Roman" w:eastAsia="宋体" w:cs="Times New Roman"/>
                      <w:b w:val="0"/>
                      <w:bCs w:val="0"/>
                      <w:i w:val="0"/>
                      <w:iCs w:val="0"/>
                      <w:color w:val="000000"/>
                      <w:sz w:val="21"/>
                      <w:szCs w:val="21"/>
                      <w:u w:val="none"/>
                      <w:lang w:val="zh-CN"/>
                    </w:rPr>
                    <w:t>）</w:t>
                  </w:r>
                </w:p>
              </w:tc>
              <w:tc>
                <w:tcPr>
                  <w:tcW w:w="3556" w:type="dxa"/>
                  <w:tcBorders>
                    <w:bottom w:val="single" w:color="000000" w:sz="12" w:space="0"/>
                  </w:tcBorders>
                  <w:noWrap w:val="0"/>
                  <w:vAlign w:val="center"/>
                </w:tcPr>
                <w:p w14:paraId="51BB2D65">
                  <w:pPr>
                    <w:pStyle w:val="87"/>
                    <w:tabs>
                      <w:tab w:val="left" w:pos="1980"/>
                      <w:tab w:val="left" w:pos="3825"/>
                      <w:tab w:val="left" w:pos="4680"/>
                      <w:tab w:val="clear" w:pos="0"/>
                    </w:tabs>
                    <w:spacing w:line="240" w:lineRule="auto"/>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执行标准</w:t>
                  </w:r>
                </w:p>
              </w:tc>
            </w:tr>
            <w:tr w14:paraId="52FFF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0" w:type="dxa"/>
                  <w:tcBorders>
                    <w:top w:val="single" w:color="000000" w:sz="12" w:space="0"/>
                  </w:tcBorders>
                  <w:noWrap w:val="0"/>
                  <w:vAlign w:val="center"/>
                </w:tcPr>
                <w:p w14:paraId="236429D0">
                  <w:pPr>
                    <w:jc w:val="center"/>
                    <w:rPr>
                      <w:rFonts w:hint="default" w:ascii="Times New Roman" w:hAnsi="Times New Roman" w:eastAsia="宋体" w:cs="Times New Roman"/>
                      <w:bCs/>
                      <w:color w:val="000000"/>
                      <w:sz w:val="21"/>
                      <w:szCs w:val="21"/>
                      <w:lang w:bidi="ar"/>
                    </w:rPr>
                  </w:pPr>
                  <w:r>
                    <w:rPr>
                      <w:rFonts w:hint="default" w:ascii="Times New Roman" w:hAnsi="Times New Roman" w:eastAsia="宋体" w:cs="Times New Roman"/>
                      <w:color w:val="000000"/>
                      <w:sz w:val="21"/>
                      <w:szCs w:val="21"/>
                      <w:lang w:val="zh-CN"/>
                    </w:rPr>
                    <w:t>NMHC</w:t>
                  </w:r>
                </w:p>
              </w:tc>
              <w:tc>
                <w:tcPr>
                  <w:tcW w:w="3555" w:type="dxa"/>
                  <w:tcBorders>
                    <w:top w:val="single" w:color="000000" w:sz="12" w:space="0"/>
                  </w:tcBorders>
                  <w:noWrap w:val="0"/>
                  <w:vAlign w:val="center"/>
                </w:tcPr>
                <w:p w14:paraId="305098B2">
                  <w:pPr>
                    <w:jc w:val="center"/>
                    <w:rPr>
                      <w:rFonts w:hint="default" w:ascii="Times New Roman" w:hAnsi="Times New Roman" w:eastAsia="宋体" w:cs="Times New Roman"/>
                      <w:bCs/>
                      <w:color w:val="000000"/>
                      <w:sz w:val="21"/>
                      <w:szCs w:val="21"/>
                      <w:lang w:val="en-US" w:eastAsia="zh-CN" w:bidi="ar"/>
                    </w:rPr>
                  </w:pPr>
                  <w:r>
                    <w:rPr>
                      <w:rFonts w:hint="eastAsia" w:ascii="Times New Roman" w:hAnsi="Times New Roman" w:eastAsia="宋体" w:cs="Times New Roman"/>
                      <w:bCs/>
                      <w:color w:val="000000"/>
                      <w:sz w:val="21"/>
                      <w:szCs w:val="21"/>
                      <w:lang w:val="en-US" w:eastAsia="zh-CN" w:bidi="ar"/>
                    </w:rPr>
                    <w:t>20</w:t>
                  </w:r>
                </w:p>
              </w:tc>
              <w:tc>
                <w:tcPr>
                  <w:tcW w:w="3556" w:type="dxa"/>
                  <w:tcBorders>
                    <w:top w:val="single" w:color="000000" w:sz="12" w:space="0"/>
                  </w:tcBorders>
                  <w:noWrap w:val="0"/>
                  <w:vAlign w:val="center"/>
                </w:tcPr>
                <w:p w14:paraId="2F07A8E9">
                  <w:pPr>
                    <w:jc w:val="center"/>
                    <w:rPr>
                      <w:rFonts w:hint="default" w:ascii="Times New Roman" w:hAnsi="Times New Roman" w:eastAsia="宋体" w:cs="Times New Roman"/>
                      <w:bCs/>
                      <w:color w:val="000000"/>
                      <w:sz w:val="21"/>
                      <w:szCs w:val="21"/>
                      <w:lang w:bidi="ar"/>
                    </w:rPr>
                  </w:pPr>
                  <w:r>
                    <w:rPr>
                      <w:rFonts w:hint="default" w:ascii="Times New Roman" w:hAnsi="Times New Roman" w:eastAsia="宋体" w:cs="Times New Roman"/>
                      <w:color w:val="000000"/>
                      <w:sz w:val="21"/>
                      <w:szCs w:val="21"/>
                    </w:rPr>
                    <w:t>《挥发性有机物无组织排放控制标准》（GB37822-2019）中附录A</w:t>
                  </w:r>
                </w:p>
              </w:tc>
            </w:tr>
          </w:tbl>
          <w:p w14:paraId="2B36A3A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0" w:name="_Toc9325"/>
            <w:r>
              <w:rPr>
                <w:rFonts w:hint="eastAsia" w:ascii="Times New Roman" w:hAnsi="Times New Roman" w:eastAsia="宋体" w:cs="Times New Roman"/>
                <w:b/>
                <w:bCs/>
                <w:color w:val="auto"/>
                <w:sz w:val="24"/>
                <w:szCs w:val="24"/>
                <w:u w:val="none"/>
                <w:lang w:val="en-US" w:eastAsia="zh-CN"/>
              </w:rPr>
              <w:t>3.7.3噪声</w:t>
            </w:r>
            <w:bookmarkEnd w:id="50"/>
          </w:p>
          <w:p w14:paraId="62BA359E">
            <w:pPr>
              <w:widowControl/>
              <w:spacing w:line="360" w:lineRule="auto"/>
              <w:ind w:firstLine="480" w:firstLineChars="200"/>
              <w:jc w:val="both"/>
              <w:rPr>
                <w:rFonts w:hint="default" w:eastAsia="宋体"/>
                <w:sz w:val="24"/>
                <w:lang w:val="en-US" w:eastAsia="zh-CN"/>
              </w:rPr>
            </w:pPr>
            <w:r>
              <w:rPr>
                <w:sz w:val="24"/>
                <w:lang w:val="zh-CN"/>
              </w:rPr>
              <w:t>项目</w:t>
            </w:r>
            <w:r>
              <w:rPr>
                <w:rFonts w:hint="default" w:ascii="Times New Roman" w:hAnsi="Times New Roman" w:eastAsia="宋体" w:cs="Times New Roman"/>
                <w:color w:val="auto"/>
                <w:sz w:val="24"/>
                <w:szCs w:val="24"/>
              </w:rPr>
              <w:t>运营期</w:t>
            </w:r>
            <w:r>
              <w:rPr>
                <w:sz w:val="24"/>
                <w:lang w:val="zh-CN"/>
              </w:rPr>
              <w:t>厂界噪声排放执行《工业企业厂界环境噪声排放标准》</w:t>
            </w:r>
            <w:r>
              <w:rPr>
                <w:rFonts w:hint="eastAsia"/>
                <w:sz w:val="24"/>
                <w:lang w:val="zh-CN"/>
              </w:rPr>
              <w:t>（</w:t>
            </w:r>
            <w:r>
              <w:rPr>
                <w:sz w:val="24"/>
                <w:lang w:val="zh-CN"/>
              </w:rPr>
              <w:t>GB12348-2008</w:t>
            </w:r>
            <w:r>
              <w:rPr>
                <w:rFonts w:hint="eastAsia"/>
                <w:sz w:val="24"/>
                <w:lang w:val="zh-CN"/>
              </w:rPr>
              <w:t>）</w:t>
            </w:r>
            <w:r>
              <w:rPr>
                <w:rFonts w:hint="eastAsia"/>
                <w:sz w:val="24"/>
                <w:lang w:val="en-US" w:eastAsia="zh-CN"/>
              </w:rPr>
              <w:t>表1</w:t>
            </w:r>
            <w:r>
              <w:rPr>
                <w:sz w:val="24"/>
                <w:lang w:val="zh-CN"/>
              </w:rPr>
              <w:t>中的3类标准。</w:t>
            </w:r>
            <w:r>
              <w:rPr>
                <w:rFonts w:hint="eastAsia"/>
                <w:sz w:val="24"/>
                <w:lang w:val="en-US" w:eastAsia="zh-CN"/>
              </w:rPr>
              <w:t>详见表3.7-5。</w:t>
            </w:r>
          </w:p>
          <w:p w14:paraId="7F02133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bookmarkStart w:id="51" w:name="_Toc19195"/>
            <w:bookmarkStart w:id="52" w:name="_Toc31199"/>
            <w:bookmarkStart w:id="53" w:name="_Toc8302"/>
            <w:bookmarkStart w:id="54" w:name="_Toc25865"/>
            <w:r>
              <w:rPr>
                <w:rFonts w:hint="default" w:ascii="Times New Roman" w:hAnsi="Times New Roman" w:eastAsia="宋体" w:cs="Times New Roman"/>
                <w:b/>
                <w:bCs/>
                <w:color w:val="auto"/>
                <w:sz w:val="24"/>
                <w:szCs w:val="24"/>
                <w:u w:val="none"/>
                <w:lang w:val="en-US" w:eastAsia="zh-CN"/>
              </w:rPr>
              <w:t>表3.7-5 《工业企业厂界环境噪声排放标准》（GB12348-2008）表1（摘录）</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35"/>
              <w:gridCol w:w="1527"/>
              <w:gridCol w:w="1446"/>
              <w:gridCol w:w="1508"/>
            </w:tblGrid>
            <w:tr w14:paraId="171CB8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2399" w:type="pct"/>
                  <w:tcBorders>
                    <w:bottom w:val="single" w:color="000000" w:sz="12" w:space="0"/>
                    <w:tl2br w:val="single" w:color="auto" w:sz="2" w:space="0"/>
                  </w:tcBorders>
                  <w:noWrap w:val="0"/>
                  <w:vAlign w:val="center"/>
                </w:tcPr>
                <w:p w14:paraId="7A0FA6AA">
                  <w:pPr>
                    <w:snapToGrid w:val="0"/>
                    <w:spacing w:line="340" w:lineRule="exact"/>
                    <w:jc w:val="right"/>
                    <w:rPr>
                      <w:snapToGrid w:val="0"/>
                      <w:kern w:val="18"/>
                      <w:szCs w:val="21"/>
                    </w:rPr>
                  </w:pPr>
                  <w:r>
                    <w:rPr>
                      <w:snapToGrid w:val="0"/>
                      <w:kern w:val="18"/>
                      <w:szCs w:val="21"/>
                    </w:rPr>
                    <w:t>时段</w:t>
                  </w:r>
                </w:p>
                <w:p w14:paraId="2953F71A">
                  <w:pPr>
                    <w:snapToGrid w:val="0"/>
                    <w:spacing w:line="340" w:lineRule="exact"/>
                    <w:rPr>
                      <w:snapToGrid w:val="0"/>
                      <w:kern w:val="18"/>
                      <w:szCs w:val="21"/>
                    </w:rPr>
                  </w:pPr>
                  <w:r>
                    <w:rPr>
                      <w:snapToGrid w:val="0"/>
                      <w:kern w:val="18"/>
                      <w:szCs w:val="21"/>
                    </w:rPr>
                    <w:t>厂界外声环境功能区类别</w:t>
                  </w:r>
                </w:p>
              </w:tc>
              <w:tc>
                <w:tcPr>
                  <w:tcW w:w="886" w:type="pct"/>
                  <w:tcBorders>
                    <w:bottom w:val="single" w:color="000000" w:sz="12" w:space="0"/>
                  </w:tcBorders>
                  <w:noWrap w:val="0"/>
                  <w:vAlign w:val="center"/>
                </w:tcPr>
                <w:p w14:paraId="50F769CC">
                  <w:pPr>
                    <w:snapToGrid w:val="0"/>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单位</w:t>
                  </w:r>
                </w:p>
              </w:tc>
              <w:tc>
                <w:tcPr>
                  <w:tcW w:w="839" w:type="pct"/>
                  <w:tcBorders>
                    <w:bottom w:val="single" w:color="000000" w:sz="12" w:space="0"/>
                  </w:tcBorders>
                  <w:noWrap w:val="0"/>
                  <w:vAlign w:val="center"/>
                </w:tcPr>
                <w:p w14:paraId="1E0DCE97">
                  <w:pPr>
                    <w:snapToGrid w:val="0"/>
                    <w:spacing w:line="340" w:lineRule="exact"/>
                    <w:jc w:val="center"/>
                    <w:rPr>
                      <w:rFonts w:hint="default" w:eastAsia="宋体"/>
                      <w:snapToGrid w:val="0"/>
                      <w:kern w:val="18"/>
                      <w:szCs w:val="21"/>
                      <w:lang w:val="en-US" w:eastAsia="zh-CN"/>
                    </w:rPr>
                  </w:pPr>
                  <w:r>
                    <w:rPr>
                      <w:rFonts w:hint="eastAsia" w:eastAsia="宋体"/>
                      <w:snapToGrid w:val="0"/>
                      <w:kern w:val="18"/>
                      <w:szCs w:val="21"/>
                      <w:lang w:val="en-US" w:eastAsia="zh-CN"/>
                    </w:rPr>
                    <w:t>昼间</w:t>
                  </w:r>
                </w:p>
              </w:tc>
              <w:tc>
                <w:tcPr>
                  <w:tcW w:w="874" w:type="pct"/>
                  <w:tcBorders>
                    <w:bottom w:val="single" w:color="000000" w:sz="12" w:space="0"/>
                  </w:tcBorders>
                  <w:noWrap w:val="0"/>
                  <w:vAlign w:val="center"/>
                </w:tcPr>
                <w:p w14:paraId="224C07D4">
                  <w:pPr>
                    <w:snapToGrid w:val="0"/>
                    <w:spacing w:line="340" w:lineRule="exact"/>
                    <w:jc w:val="center"/>
                    <w:rPr>
                      <w:rFonts w:hint="default"/>
                      <w:snapToGrid w:val="0"/>
                      <w:kern w:val="18"/>
                      <w:szCs w:val="21"/>
                      <w:lang w:val="en-US" w:eastAsia="zh-CN"/>
                    </w:rPr>
                  </w:pPr>
                  <w:r>
                    <w:rPr>
                      <w:rFonts w:hint="eastAsia"/>
                      <w:snapToGrid w:val="0"/>
                      <w:kern w:val="18"/>
                      <w:szCs w:val="21"/>
                      <w:lang w:val="en-US" w:eastAsia="zh-CN"/>
                    </w:rPr>
                    <w:t>夜间</w:t>
                  </w:r>
                </w:p>
              </w:tc>
            </w:tr>
            <w:tr w14:paraId="5D05AC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99" w:type="pct"/>
                  <w:tcBorders>
                    <w:top w:val="single" w:color="000000" w:sz="12" w:space="0"/>
                  </w:tcBorders>
                  <w:noWrap w:val="0"/>
                  <w:vAlign w:val="center"/>
                </w:tcPr>
                <w:p w14:paraId="50BA90A3">
                  <w:pPr>
                    <w:snapToGrid w:val="0"/>
                    <w:spacing w:line="340" w:lineRule="exact"/>
                    <w:jc w:val="center"/>
                    <w:rPr>
                      <w:snapToGrid w:val="0"/>
                      <w:kern w:val="18"/>
                      <w:szCs w:val="21"/>
                    </w:rPr>
                  </w:pPr>
                  <w:r>
                    <w:rPr>
                      <w:rFonts w:hint="eastAsia"/>
                      <w:snapToGrid w:val="0"/>
                      <w:kern w:val="18"/>
                      <w:szCs w:val="21"/>
                    </w:rPr>
                    <w:t>3</w:t>
                  </w:r>
                  <w:r>
                    <w:rPr>
                      <w:snapToGrid w:val="0"/>
                      <w:kern w:val="18"/>
                      <w:szCs w:val="21"/>
                    </w:rPr>
                    <w:t>类</w:t>
                  </w:r>
                </w:p>
              </w:tc>
              <w:tc>
                <w:tcPr>
                  <w:tcW w:w="886" w:type="pct"/>
                  <w:tcBorders>
                    <w:top w:val="single" w:color="000000" w:sz="12" w:space="0"/>
                  </w:tcBorders>
                  <w:noWrap w:val="0"/>
                  <w:vAlign w:val="center"/>
                </w:tcPr>
                <w:p w14:paraId="00A0E510">
                  <w:pPr>
                    <w:snapToGrid w:val="0"/>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dB(A)</w:t>
                  </w:r>
                </w:p>
              </w:tc>
              <w:tc>
                <w:tcPr>
                  <w:tcW w:w="839" w:type="pct"/>
                  <w:tcBorders>
                    <w:top w:val="single" w:color="000000" w:sz="12" w:space="0"/>
                  </w:tcBorders>
                  <w:noWrap w:val="0"/>
                  <w:vAlign w:val="center"/>
                </w:tcPr>
                <w:p w14:paraId="5164E84F">
                  <w:pPr>
                    <w:snapToGrid w:val="0"/>
                    <w:spacing w:line="340" w:lineRule="exact"/>
                    <w:jc w:val="center"/>
                    <w:rPr>
                      <w:rFonts w:hint="default"/>
                      <w:snapToGrid w:val="0"/>
                      <w:kern w:val="18"/>
                      <w:szCs w:val="21"/>
                      <w:lang w:val="en-US"/>
                    </w:rPr>
                  </w:pPr>
                  <w:r>
                    <w:rPr>
                      <w:snapToGrid w:val="0"/>
                      <w:kern w:val="18"/>
                      <w:szCs w:val="21"/>
                    </w:rPr>
                    <w:t>≤</w:t>
                  </w:r>
                  <w:r>
                    <w:rPr>
                      <w:rFonts w:hint="eastAsia"/>
                      <w:snapToGrid w:val="0"/>
                      <w:kern w:val="18"/>
                      <w:szCs w:val="21"/>
                      <w:lang w:val="en-US" w:eastAsia="zh-CN"/>
                    </w:rPr>
                    <w:t>65</w:t>
                  </w:r>
                </w:p>
              </w:tc>
              <w:tc>
                <w:tcPr>
                  <w:tcW w:w="874" w:type="pct"/>
                  <w:tcBorders>
                    <w:top w:val="single" w:color="000000" w:sz="12" w:space="0"/>
                  </w:tcBorders>
                  <w:noWrap w:val="0"/>
                  <w:vAlign w:val="center"/>
                </w:tcPr>
                <w:p w14:paraId="2A2DF823">
                  <w:pPr>
                    <w:snapToGrid w:val="0"/>
                    <w:spacing w:line="340" w:lineRule="exact"/>
                    <w:jc w:val="center"/>
                    <w:rPr>
                      <w:rFonts w:hint="default" w:eastAsia="宋体"/>
                      <w:snapToGrid w:val="0"/>
                      <w:kern w:val="18"/>
                      <w:szCs w:val="21"/>
                      <w:lang w:val="en-US" w:eastAsia="zh-CN"/>
                    </w:rPr>
                  </w:pPr>
                  <w:r>
                    <w:rPr>
                      <w:snapToGrid w:val="0"/>
                      <w:kern w:val="18"/>
                      <w:szCs w:val="21"/>
                    </w:rPr>
                    <w:t>≤</w:t>
                  </w:r>
                  <w:r>
                    <w:rPr>
                      <w:rFonts w:hint="eastAsia"/>
                      <w:snapToGrid w:val="0"/>
                      <w:kern w:val="18"/>
                      <w:szCs w:val="21"/>
                      <w:lang w:val="en-US" w:eastAsia="zh-CN"/>
                    </w:rPr>
                    <w:t>55</w:t>
                  </w:r>
                </w:p>
              </w:tc>
            </w:tr>
          </w:tbl>
          <w:p w14:paraId="50C059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5" w:name="_Toc28789"/>
            <w:r>
              <w:rPr>
                <w:rFonts w:hint="eastAsia" w:ascii="Times New Roman" w:hAnsi="Times New Roman" w:eastAsia="宋体" w:cs="Times New Roman"/>
                <w:b/>
                <w:bCs/>
                <w:color w:val="auto"/>
                <w:sz w:val="24"/>
                <w:szCs w:val="24"/>
                <w:u w:val="none"/>
                <w:lang w:val="en-US" w:eastAsia="zh-CN"/>
              </w:rPr>
              <w:t>3.7.4固废</w:t>
            </w:r>
            <w:bookmarkEnd w:id="51"/>
            <w:bookmarkEnd w:id="52"/>
            <w:bookmarkEnd w:id="53"/>
            <w:bookmarkEnd w:id="54"/>
            <w:bookmarkEnd w:id="55"/>
          </w:p>
          <w:p w14:paraId="46F11FE3">
            <w:pPr>
              <w:pStyle w:val="49"/>
              <w:keepNext w:val="0"/>
              <w:keepLines w:val="0"/>
              <w:pageBreakBefore w:val="0"/>
              <w:widowControl w:val="0"/>
              <w:kinsoku/>
              <w:wordWrap/>
              <w:overflowPunct/>
              <w:bidi w:val="0"/>
              <w:snapToGrid/>
              <w:ind w:firstLine="48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lang w:val="en-US" w:eastAsia="zh-CN"/>
              </w:rPr>
              <w:t>运营期项目内产生的一般工业固废</w:t>
            </w:r>
            <w:r>
              <w:rPr>
                <w:rFonts w:hint="eastAsia" w:ascii="Times New Roman" w:hAnsi="Times New Roman" w:eastAsia="宋体" w:cs="Times New Roman"/>
                <w:lang w:val="en-US" w:eastAsia="zh-CN"/>
              </w:rPr>
              <w:t>贮存</w:t>
            </w:r>
            <w:r>
              <w:rPr>
                <w:rFonts w:hint="default" w:ascii="Times New Roman" w:hAnsi="Times New Roman" w:eastAsia="宋体" w:cs="Times New Roman"/>
                <w:lang w:val="en-US" w:eastAsia="zh-CN"/>
              </w:rPr>
              <w:t>应按照</w:t>
            </w:r>
            <w:r>
              <w:rPr>
                <w:rFonts w:hint="eastAsia" w:ascii="Times New Roman" w:hAnsi="Times New Roman" w:eastAsia="宋体" w:cs="Times New Roman"/>
                <w:lang w:val="en-US" w:eastAsia="zh-CN"/>
              </w:rPr>
              <w:t>《一般工业固体废物贮存和填埋污染控制标准》</w:t>
            </w:r>
            <w:r>
              <w:rPr>
                <w:rFonts w:hint="eastAsia" w:cs="Times New Roman"/>
                <w:lang w:val="en-US" w:eastAsia="zh-CN"/>
              </w:rPr>
              <w:t>（</w:t>
            </w:r>
            <w:r>
              <w:rPr>
                <w:rFonts w:hint="eastAsia" w:ascii="Times New Roman" w:hAnsi="Times New Roman" w:eastAsia="宋体" w:cs="Times New Roman"/>
                <w:lang w:val="en-US" w:eastAsia="zh-CN"/>
              </w:rPr>
              <w:t>GB18599-2020</w:t>
            </w:r>
            <w:r>
              <w:rPr>
                <w:rFonts w:hint="eastAsia" w:cs="Times New Roman"/>
                <w:lang w:val="en-US" w:eastAsia="zh-CN"/>
              </w:rPr>
              <w:t>）</w:t>
            </w:r>
            <w:r>
              <w:rPr>
                <w:rFonts w:hint="eastAsia" w:ascii="Times New Roman" w:hAnsi="Times New Roman" w:eastAsia="宋体" w:cs="Times New Roman"/>
                <w:lang w:val="en-US" w:eastAsia="zh-CN"/>
              </w:rPr>
              <w:t>要求</w:t>
            </w:r>
            <w:r>
              <w:rPr>
                <w:rFonts w:hint="default" w:ascii="Times New Roman" w:hAnsi="Times New Roman" w:eastAsia="宋体" w:cs="Times New Roman"/>
                <w:lang w:val="en-US" w:eastAsia="zh-CN"/>
              </w:rPr>
              <w:t>进行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项目产生的危险废物</w:t>
            </w:r>
            <w:r>
              <w:rPr>
                <w:rFonts w:hint="eastAsia" w:ascii="Times New Roman" w:hAnsi="Times New Roman" w:eastAsia="宋体" w:cs="Times New Roman"/>
                <w:lang w:val="en-US" w:eastAsia="zh-CN"/>
              </w:rPr>
              <w:t>贮存</w:t>
            </w:r>
            <w:r>
              <w:rPr>
                <w:rFonts w:hint="default" w:ascii="Times New Roman" w:hAnsi="Times New Roman" w:eastAsia="宋体" w:cs="Times New Roman"/>
                <w:lang w:val="en-US" w:eastAsia="zh-CN"/>
              </w:rPr>
              <w:t>按照</w:t>
            </w:r>
            <w:r>
              <w:rPr>
                <w:rFonts w:hint="eastAsia" w:ascii="Times New Roman" w:hAnsi="Times New Roman" w:eastAsia="宋体" w:cs="Times New Roman"/>
                <w:lang w:val="en-US" w:eastAsia="zh-CN"/>
              </w:rPr>
              <w:t>《危险废物贮存污染控制标准》</w:t>
            </w:r>
            <w:r>
              <w:rPr>
                <w:rFonts w:hint="eastAsia" w:cs="Times New Roman"/>
                <w:lang w:val="en-US" w:eastAsia="zh-CN"/>
              </w:rPr>
              <w:t>（</w:t>
            </w:r>
            <w:r>
              <w:rPr>
                <w:rFonts w:hint="eastAsia" w:ascii="Times New Roman" w:hAnsi="Times New Roman" w:eastAsia="宋体" w:cs="Times New Roman"/>
                <w:lang w:val="en-US" w:eastAsia="zh-CN"/>
              </w:rPr>
              <w:t>GB18597-2023</w:t>
            </w:r>
            <w:r>
              <w:rPr>
                <w:rFonts w:hint="eastAsia" w:cs="Times New Roman"/>
                <w:lang w:val="en-US" w:eastAsia="zh-CN"/>
              </w:rPr>
              <w:t>）</w:t>
            </w:r>
            <w:r>
              <w:rPr>
                <w:rFonts w:hint="eastAsia" w:ascii="Times New Roman" w:hAnsi="Times New Roman" w:eastAsia="宋体" w:cs="Times New Roman"/>
                <w:lang w:val="en-US" w:eastAsia="zh-CN"/>
              </w:rPr>
              <w:t>要求</w:t>
            </w:r>
            <w:r>
              <w:rPr>
                <w:rFonts w:hint="default" w:ascii="Times New Roman" w:hAnsi="Times New Roman" w:eastAsia="宋体" w:cs="Times New Roman"/>
                <w:lang w:val="en-US" w:eastAsia="zh-CN"/>
              </w:rPr>
              <w:t>进行</w:t>
            </w:r>
            <w:r>
              <w:rPr>
                <w:rFonts w:hint="eastAsia" w:ascii="Times New Roman" w:hAnsi="Times New Roman" w:eastAsia="宋体" w:cs="Times New Roman"/>
                <w:lang w:val="en-US" w:eastAsia="zh-CN"/>
              </w:rPr>
              <w:t>，危险废物识别标志按照《危险废物识别标志设置技术规范》</w:t>
            </w:r>
            <w:r>
              <w:rPr>
                <w:rFonts w:hint="eastAsia" w:cs="Times New Roman"/>
                <w:lang w:val="en-US" w:eastAsia="zh-CN"/>
              </w:rPr>
              <w:t>（</w:t>
            </w:r>
            <w:r>
              <w:rPr>
                <w:rFonts w:hint="eastAsia" w:ascii="Times New Roman" w:hAnsi="Times New Roman" w:eastAsia="宋体" w:cs="Times New Roman"/>
                <w:lang w:val="en-US" w:eastAsia="zh-CN"/>
              </w:rPr>
              <w:t>HJ 1276-2022</w:t>
            </w:r>
            <w:r>
              <w:rPr>
                <w:rFonts w:hint="eastAsia" w:cs="Times New Roman"/>
                <w:lang w:val="en-US" w:eastAsia="zh-CN"/>
              </w:rPr>
              <w:t>）</w:t>
            </w:r>
            <w:r>
              <w:rPr>
                <w:rFonts w:hint="eastAsia" w:ascii="Times New Roman" w:hAnsi="Times New Roman" w:eastAsia="宋体" w:cs="Times New Roman"/>
                <w:lang w:val="en-US" w:eastAsia="zh-CN"/>
              </w:rPr>
              <w:t>要求进行</w:t>
            </w:r>
            <w:r>
              <w:rPr>
                <w:rFonts w:hint="default" w:ascii="Times New Roman" w:hAnsi="Times New Roman" w:eastAsia="宋体" w:cs="Times New Roman"/>
                <w:lang w:val="en-US" w:eastAsia="zh-CN"/>
              </w:rPr>
              <w:t>设置</w:t>
            </w:r>
            <w:r>
              <w:rPr>
                <w:rFonts w:hint="eastAsia" w:ascii="Times New Roman" w:hAnsi="Times New Roman" w:eastAsia="宋体" w:cs="Times New Roman"/>
                <w:lang w:val="en-US" w:eastAsia="zh-CN"/>
              </w:rPr>
              <w:t>，危险废物转移按照《危险废物转移管理办法》要求进行</w:t>
            </w:r>
            <w:r>
              <w:rPr>
                <w:rFonts w:hint="default" w:ascii="Times New Roman" w:hAnsi="Times New Roman" w:eastAsia="宋体" w:cs="Times New Roman"/>
                <w:lang w:val="en-US" w:eastAsia="zh-CN"/>
              </w:rPr>
              <w:t>。</w:t>
            </w:r>
          </w:p>
        </w:tc>
      </w:tr>
      <w:tr w14:paraId="5250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6" w:type="dxa"/>
            <w:vAlign w:val="center"/>
          </w:tcPr>
          <w:p w14:paraId="7266A429">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4"/>
                <w:szCs w:val="24"/>
                <w:lang w:val="en-US" w:eastAsia="zh-CN"/>
              </w:rPr>
              <w:t>总量控制指标</w:t>
            </w:r>
          </w:p>
        </w:tc>
        <w:tc>
          <w:tcPr>
            <w:tcW w:w="8749" w:type="dxa"/>
          </w:tcPr>
          <w:p w14:paraId="5672193B">
            <w:pPr>
              <w:pStyle w:val="48"/>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auto"/>
                <w:szCs w:val="28"/>
                <w:lang w:val="en-US" w:eastAsia="zh-CN"/>
              </w:rPr>
            </w:pPr>
            <w:bookmarkStart w:id="56" w:name="_Toc17281"/>
            <w:r>
              <w:rPr>
                <w:rFonts w:hint="eastAsia"/>
                <w:color w:val="auto"/>
                <w:szCs w:val="28"/>
                <w:lang w:val="en-US" w:eastAsia="zh-CN"/>
              </w:rPr>
              <w:t>3.8总量控制</w:t>
            </w:r>
            <w:bookmarkEnd w:id="56"/>
          </w:p>
          <w:p w14:paraId="6A5BE093">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000000"/>
                <w:lang w:val="en-US" w:eastAsia="zh-CN"/>
              </w:rPr>
            </w:pPr>
            <w:r>
              <w:rPr>
                <w:rFonts w:hint="default" w:ascii="Times New Roman" w:hAnsi="Times New Roman" w:eastAsia="宋体" w:cs="宋体"/>
                <w:color w:val="000000"/>
                <w:lang w:val="en-US" w:eastAsia="zh-CN"/>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000000"/>
                <w:vertAlign w:val="subscript"/>
                <w:lang w:val="en-US" w:eastAsia="zh-CN"/>
              </w:rPr>
              <w:t>3</w:t>
            </w:r>
            <w:r>
              <w:rPr>
                <w:rFonts w:hint="default" w:ascii="Times New Roman" w:hAnsi="Times New Roman" w:eastAsia="宋体" w:cs="宋体"/>
                <w:color w:val="000000"/>
                <w:lang w:val="en-US" w:eastAsia="zh-CN"/>
              </w:rPr>
              <w:t>-N、SO</w:t>
            </w:r>
            <w:r>
              <w:rPr>
                <w:rFonts w:hint="default" w:ascii="Times New Roman" w:hAnsi="Times New Roman" w:eastAsia="宋体" w:cs="宋体"/>
                <w:color w:val="000000"/>
                <w:vertAlign w:val="subscript"/>
                <w:lang w:val="en-US" w:eastAsia="zh-CN"/>
              </w:rPr>
              <w:t>2</w:t>
            </w:r>
            <w:r>
              <w:rPr>
                <w:rFonts w:hint="default" w:ascii="Times New Roman" w:hAnsi="Times New Roman" w:eastAsia="宋体" w:cs="宋体"/>
                <w:color w:val="000000"/>
                <w:lang w:val="en-US" w:eastAsia="zh-CN"/>
              </w:rPr>
              <w:t>及NOx</w:t>
            </w:r>
            <w:r>
              <w:rPr>
                <w:rFonts w:hint="eastAsia" w:ascii="Times New Roman" w:hAnsi="Times New Roman" w:cs="宋体"/>
                <w:color w:val="000000"/>
                <w:lang w:val="en-US" w:eastAsia="zh-CN"/>
              </w:rPr>
              <w:t>。</w:t>
            </w:r>
            <w:r>
              <w:rPr>
                <w:rFonts w:hint="default" w:ascii="Times New Roman" w:hAnsi="Times New Roman" w:eastAsia="宋体" w:cs="宋体"/>
                <w:color w:val="000000"/>
                <w:lang w:val="en-US" w:eastAsia="zh-CN"/>
              </w:rPr>
              <w:t>建议性控制指标为VOCs。</w:t>
            </w:r>
          </w:p>
          <w:p w14:paraId="13A63E0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7" w:name="_Toc4837"/>
            <w:r>
              <w:rPr>
                <w:rFonts w:hint="eastAsia" w:ascii="Times New Roman" w:hAnsi="Times New Roman" w:eastAsia="宋体" w:cs="Times New Roman"/>
                <w:b/>
                <w:bCs/>
                <w:color w:val="auto"/>
                <w:sz w:val="24"/>
                <w:szCs w:val="24"/>
                <w:u w:val="none"/>
                <w:lang w:val="en-US" w:eastAsia="zh-CN"/>
              </w:rPr>
              <w:t>3.8.1废水总量</w:t>
            </w:r>
            <w:bookmarkEnd w:id="57"/>
          </w:p>
          <w:p w14:paraId="54956B36">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宋体"/>
                <w:color w:val="000000"/>
                <w:lang w:val="en-US" w:eastAsia="zh-CN"/>
              </w:rPr>
              <w:t>本项目</w:t>
            </w:r>
            <w:r>
              <w:rPr>
                <w:rFonts w:hint="eastAsia" w:ascii="Times New Roman" w:hAnsi="Times New Roman" w:eastAsia="宋体" w:cs="宋体"/>
                <w:color w:val="000000"/>
                <w:lang w:val="en-US" w:eastAsia="zh-CN"/>
              </w:rPr>
              <w:t>生产过程中</w:t>
            </w:r>
            <w:r>
              <w:rPr>
                <w:rFonts w:hint="eastAsia" w:ascii="Times New Roman" w:hAnsi="Times New Roman" w:cs="宋体"/>
                <w:color w:val="000000"/>
                <w:lang w:val="en-US" w:eastAsia="zh-CN"/>
              </w:rPr>
              <w:t>不产生生产废水；</w:t>
            </w:r>
            <w:r>
              <w:rPr>
                <w:rFonts w:hint="default" w:ascii="Times New Roman" w:hAnsi="Times New Roman" w:eastAsia="宋体" w:cs="宋体"/>
                <w:color w:val="000000"/>
                <w:lang w:val="en-US" w:eastAsia="zh-CN"/>
              </w:rPr>
              <w:t>生活</w:t>
            </w:r>
            <w:r>
              <w:rPr>
                <w:rFonts w:hint="eastAsia" w:ascii="Times New Roman" w:hAnsi="Times New Roman" w:eastAsia="宋体" w:cs="宋体"/>
                <w:color w:val="000000"/>
                <w:lang w:val="en-US" w:eastAsia="zh-CN"/>
              </w:rPr>
              <w:t>污水经化粪池</w:t>
            </w:r>
            <w:r>
              <w:rPr>
                <w:rFonts w:hint="default" w:ascii="Times New Roman" w:hAnsi="Times New Roman" w:eastAsia="宋体" w:cs="宋体"/>
                <w:color w:val="000000"/>
                <w:lang w:val="en-US" w:eastAsia="zh-CN"/>
              </w:rPr>
              <w:t>处理后排入市政污水管网，送</w:t>
            </w:r>
            <w:r>
              <w:rPr>
                <w:rFonts w:hint="default" w:ascii="Times New Roman" w:hAnsi="Times New Roman" w:eastAsia="宋体" w:cs="宋体"/>
                <w:color w:val="auto"/>
                <w:lang w:val="en-US" w:eastAsia="zh-CN"/>
              </w:rPr>
              <w:t>往福清市融元污水处理厂进行</w:t>
            </w:r>
            <w:r>
              <w:rPr>
                <w:rFonts w:hint="default" w:ascii="Times New Roman" w:hAnsi="Times New Roman" w:eastAsia="宋体" w:cs="宋体"/>
                <w:color w:val="000000"/>
                <w:lang w:val="en-US" w:eastAsia="zh-CN"/>
              </w:rPr>
              <w:t>处理</w:t>
            </w:r>
            <w:r>
              <w:rPr>
                <w:rFonts w:hint="eastAsia" w:ascii="Times New Roman" w:hAnsi="Times New Roman" w:eastAsia="宋体" w:cs="宋体"/>
                <w:color w:val="000000"/>
                <w:lang w:val="en-US" w:eastAsia="zh-CN"/>
              </w:rPr>
              <w:t>。</w:t>
            </w:r>
            <w:r>
              <w:rPr>
                <w:rFonts w:hint="default" w:ascii="Times New Roman" w:hAnsi="Times New Roman" w:eastAsia="宋体" w:cs="Times New Roman"/>
                <w:color w:val="auto"/>
                <w:sz w:val="24"/>
                <w:szCs w:val="24"/>
                <w:highlight w:val="none"/>
                <w:u w:val="none"/>
              </w:rPr>
              <w:t>根据《福建省环保厅关于进一步明确排污权工作有关问题的通知》</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闽环保财</w:t>
            </w:r>
            <w:r>
              <w:rPr>
                <w:rFonts w:hint="eastAsia" w:ascii="Times New Roman" w:hAnsi="Times New Roman" w:cs="Times New Roman"/>
                <w:color w:val="auto"/>
                <w:sz w:val="24"/>
                <w:szCs w:val="24"/>
                <w:highlight w:val="none"/>
                <w:u w:val="none"/>
                <w:lang w:eastAsia="zh-CN"/>
              </w:rPr>
              <w:t>〔2017〕22号）</w:t>
            </w:r>
            <w:r>
              <w:rPr>
                <w:rFonts w:hint="default" w:ascii="Times New Roman" w:hAnsi="Times New Roman" w:eastAsia="宋体" w:cs="Times New Roman"/>
                <w:color w:val="auto"/>
                <w:sz w:val="24"/>
                <w:szCs w:val="24"/>
                <w:highlight w:val="none"/>
                <w:u w:val="none"/>
              </w:rPr>
              <w:t>，现有工业排污单位的水污染物的初始排污权只核定工业废水部分，</w:t>
            </w:r>
            <w:r>
              <w:rPr>
                <w:rFonts w:hint="eastAsia" w:ascii="Times New Roman" w:hAnsi="Times New Roman" w:eastAsia="宋体" w:cs="Times New Roman"/>
                <w:color w:val="auto"/>
                <w:sz w:val="24"/>
                <w:szCs w:val="24"/>
                <w:highlight w:val="none"/>
                <w:u w:val="none"/>
                <w:lang w:eastAsia="zh-CN"/>
              </w:rPr>
              <w:t>本项目无生产废水的排放，</w:t>
            </w:r>
            <w:r>
              <w:rPr>
                <w:rFonts w:hint="default" w:ascii="Times New Roman" w:hAnsi="Times New Roman" w:eastAsia="宋体" w:cs="Times New Roman"/>
                <w:color w:val="auto"/>
                <w:sz w:val="24"/>
                <w:szCs w:val="24"/>
                <w:highlight w:val="none"/>
                <w:u w:val="none"/>
                <w:lang w:val="en-US" w:eastAsia="zh-CN"/>
              </w:rPr>
              <w:t>项目生活污水排放暂不需要购买相应的排污权指标，因此，</w:t>
            </w:r>
            <w:r>
              <w:rPr>
                <w:rFonts w:hint="default" w:ascii="Times New Roman" w:hAnsi="Times New Roman" w:eastAsia="宋体" w:cs="Times New Roman"/>
                <w:color w:val="auto"/>
                <w:sz w:val="24"/>
                <w:szCs w:val="24"/>
                <w:highlight w:val="none"/>
                <w:u w:val="none"/>
              </w:rPr>
              <w:t>无需申请总量控制指标。</w:t>
            </w:r>
          </w:p>
          <w:p w14:paraId="4DC0CE3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8" w:name="_Toc16722"/>
            <w:r>
              <w:rPr>
                <w:rFonts w:hint="eastAsia" w:ascii="Times New Roman" w:hAnsi="Times New Roman" w:eastAsia="宋体" w:cs="Times New Roman"/>
                <w:b/>
                <w:bCs/>
                <w:color w:val="auto"/>
                <w:sz w:val="24"/>
                <w:szCs w:val="24"/>
                <w:u w:val="none"/>
                <w:lang w:val="en-US" w:eastAsia="zh-CN"/>
              </w:rPr>
              <w:t>3.8.2废气总量</w:t>
            </w:r>
            <w:bookmarkEnd w:id="58"/>
          </w:p>
          <w:p w14:paraId="4068C3BF">
            <w:pPr>
              <w:pStyle w:val="4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shd w:val="clear" w:color="auto" w:fill="FFFFFF"/>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《福建省环保局关于做好建设项目环保审批污染物总量控制有关工作的通知》</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闽环保监</w:t>
            </w:r>
            <w:r>
              <w:rPr>
                <w:rFonts w:hint="default" w:ascii="Times New Roman" w:hAnsi="Times New Roman" w:eastAsia="宋体" w:cs="Times New Roman"/>
                <w:color w:val="auto"/>
                <w:sz w:val="24"/>
                <w:szCs w:val="24"/>
                <w:highlight w:val="none"/>
                <w:lang w:eastAsia="zh-CN"/>
              </w:rPr>
              <w:t>〔2007〕52号</w:t>
            </w:r>
            <w:r>
              <w:rPr>
                <w:rFonts w:hint="default" w:ascii="Times New Roman" w:hAnsi="Times New Roman" w:eastAsia="宋体" w:cs="Times New Roman"/>
                <w:color w:val="auto"/>
                <w:sz w:val="24"/>
                <w:szCs w:val="24"/>
                <w:highlight w:val="none"/>
              </w:rPr>
              <w:t>文</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十三五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主要污染物总量控制规划编制技术指南》的有关总量</w:t>
            </w:r>
            <w:r>
              <w:rPr>
                <w:rFonts w:hint="default" w:ascii="Times New Roman" w:hAnsi="Times New Roman" w:eastAsia="宋体" w:cs="Times New Roman"/>
                <w:color w:val="auto"/>
                <w:sz w:val="24"/>
                <w:szCs w:val="24"/>
                <w:highlight w:val="none"/>
                <w:shd w:val="clear" w:color="auto" w:fill="FFFFFF"/>
              </w:rPr>
              <w:t>调剂</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项目排放的</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szCs w:val="24"/>
                <w:highlight w:val="none"/>
                <w:lang w:val="en-US" w:eastAsia="zh-CN"/>
              </w:rPr>
              <w:t>为VOCs（以非甲烷总烃计），</w:t>
            </w:r>
            <w:r>
              <w:rPr>
                <w:rFonts w:hint="default" w:ascii="Times New Roman" w:hAnsi="Times New Roman" w:eastAsia="宋体" w:cs="Times New Roman"/>
                <w:color w:val="auto"/>
                <w:kern w:val="2"/>
                <w:szCs w:val="24"/>
                <w:shd w:val="clear" w:color="auto" w:fill="FFFFFF"/>
              </w:rPr>
              <w:t>项目废气不涉及SO</w:t>
            </w:r>
            <w:r>
              <w:rPr>
                <w:rFonts w:hint="default" w:ascii="Times New Roman" w:hAnsi="Times New Roman" w:eastAsia="宋体" w:cs="Times New Roman"/>
                <w:color w:val="auto"/>
                <w:kern w:val="2"/>
                <w:szCs w:val="24"/>
                <w:shd w:val="clear" w:color="auto" w:fill="FFFFFF"/>
                <w:vertAlign w:val="subscript"/>
              </w:rPr>
              <w:t>2</w:t>
            </w:r>
            <w:r>
              <w:rPr>
                <w:rFonts w:hint="default" w:ascii="Times New Roman" w:hAnsi="Times New Roman" w:eastAsia="宋体" w:cs="Times New Roman"/>
                <w:color w:val="auto"/>
                <w:kern w:val="2"/>
                <w:szCs w:val="24"/>
                <w:shd w:val="clear" w:color="auto" w:fill="FFFFFF"/>
              </w:rPr>
              <w:t>、NO</w:t>
            </w:r>
            <w:r>
              <w:rPr>
                <w:rFonts w:hint="default" w:ascii="Times New Roman" w:hAnsi="Times New Roman" w:eastAsia="宋体" w:cs="Times New Roman"/>
                <w:color w:val="auto"/>
                <w:kern w:val="2"/>
                <w:szCs w:val="24"/>
                <w:shd w:val="clear" w:color="auto" w:fill="FFFFFF"/>
                <w:vertAlign w:val="subscript"/>
              </w:rPr>
              <w:t>x</w:t>
            </w:r>
            <w:r>
              <w:rPr>
                <w:rFonts w:hint="default" w:ascii="Times New Roman" w:hAnsi="Times New Roman" w:eastAsia="宋体" w:cs="Times New Roman"/>
                <w:color w:val="auto"/>
                <w:kern w:val="2"/>
                <w:szCs w:val="24"/>
                <w:shd w:val="clear" w:color="auto" w:fill="FFFFFF"/>
              </w:rPr>
              <w:t>等属于国家和地方有偿使用和交易的排污权总量指标</w:t>
            </w:r>
            <w:r>
              <w:rPr>
                <w:rFonts w:hint="default" w:ascii="Times New Roman" w:hAnsi="Times New Roman" w:eastAsia="宋体" w:cs="Times New Roman"/>
                <w:color w:val="auto"/>
                <w:kern w:val="2"/>
                <w:szCs w:val="24"/>
                <w:shd w:val="clear" w:color="auto" w:fill="FFFFFF"/>
                <w:lang w:eastAsia="zh-CN"/>
              </w:rPr>
              <w:t>。</w:t>
            </w:r>
            <w:r>
              <w:rPr>
                <w:rFonts w:hint="default" w:ascii="Times New Roman" w:hAnsi="Times New Roman" w:eastAsia="宋体" w:cs="Times New Roman"/>
                <w:color w:val="auto"/>
                <w:kern w:val="2"/>
                <w:szCs w:val="24"/>
                <w:shd w:val="clear" w:color="auto" w:fill="FFFFFF"/>
                <w:lang w:val="en-US" w:eastAsia="zh-CN"/>
              </w:rPr>
              <w:t>因此，本项目废气总量控制指标为VOCs。</w:t>
            </w:r>
            <w:r>
              <w:rPr>
                <w:rFonts w:hint="default" w:ascii="Times New Roman" w:hAnsi="Times New Roman" w:eastAsia="宋体" w:cs="Times New Roman"/>
                <w:color w:val="auto"/>
                <w:kern w:val="2"/>
                <w:szCs w:val="24"/>
                <w:shd w:val="clear" w:color="auto" w:fill="FFFFFF"/>
              </w:rPr>
              <w:t>项目</w:t>
            </w:r>
            <w:r>
              <w:rPr>
                <w:rFonts w:hint="default" w:ascii="Times New Roman" w:hAnsi="Times New Roman" w:eastAsia="宋体" w:cs="Times New Roman"/>
                <w:color w:val="auto"/>
                <w:kern w:val="2"/>
                <w:szCs w:val="24"/>
                <w:shd w:val="clear" w:color="auto" w:fill="FFFFFF"/>
                <w:lang w:eastAsia="zh-CN"/>
              </w:rPr>
              <w:t>废气</w:t>
            </w:r>
            <w:r>
              <w:rPr>
                <w:rFonts w:hint="default" w:ascii="Times New Roman" w:hAnsi="Times New Roman" w:eastAsia="宋体" w:cs="Times New Roman"/>
                <w:color w:val="auto"/>
                <w:kern w:val="2"/>
                <w:szCs w:val="24"/>
                <w:shd w:val="clear" w:color="auto" w:fill="FFFFFF"/>
              </w:rPr>
              <w:t>总量指标详见表3.8-1。</w:t>
            </w:r>
          </w:p>
          <w:p w14:paraId="7BF2A18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GB" w:eastAsia="zh-CN"/>
              </w:rPr>
              <w:t>表3.</w:t>
            </w:r>
            <w:r>
              <w:rPr>
                <w:rFonts w:hint="eastAsia" w:ascii="Times New Roman" w:hAnsi="Times New Roman" w:eastAsia="宋体" w:cs="Times New Roman"/>
                <w:b/>
                <w:bCs/>
                <w:color w:val="auto"/>
                <w:sz w:val="24"/>
                <w:szCs w:val="24"/>
                <w:highlight w:val="none"/>
                <w:u w:val="none"/>
                <w:lang w:val="en-US" w:eastAsia="zh-CN"/>
              </w:rPr>
              <w:t>9</w:t>
            </w:r>
            <w:r>
              <w:rPr>
                <w:rFonts w:hint="default" w:ascii="Times New Roman" w:hAnsi="Times New Roman" w:eastAsia="宋体" w:cs="Times New Roman"/>
                <w:b/>
                <w:bCs/>
                <w:color w:val="auto"/>
                <w:sz w:val="24"/>
                <w:szCs w:val="24"/>
                <w:highlight w:val="none"/>
                <w:u w:val="none"/>
                <w:lang w:val="en-GB" w:eastAsia="zh-CN"/>
              </w:rPr>
              <w:t>-</w:t>
            </w:r>
            <w:r>
              <w:rPr>
                <w:rFonts w:hint="eastAsia" w:ascii="Times New Roman" w:hAnsi="Times New Roman" w:eastAsia="宋体" w:cs="Times New Roman"/>
                <w:b/>
                <w:bCs/>
                <w:color w:val="auto"/>
                <w:sz w:val="24"/>
                <w:szCs w:val="24"/>
                <w:highlight w:val="none"/>
                <w:u w:val="none"/>
                <w:lang w:val="en-US" w:eastAsia="zh-CN"/>
              </w:rPr>
              <w:t xml:space="preserve">1 </w:t>
            </w:r>
            <w:r>
              <w:rPr>
                <w:rFonts w:hint="default" w:ascii="Times New Roman" w:hAnsi="Times New Roman" w:eastAsia="宋体" w:cs="Times New Roman"/>
                <w:b/>
                <w:bCs/>
                <w:color w:val="auto"/>
                <w:sz w:val="24"/>
                <w:szCs w:val="24"/>
                <w:highlight w:val="none"/>
                <w:u w:val="none"/>
                <w:lang w:val="en-GB" w:eastAsia="zh-CN"/>
              </w:rPr>
              <w:t>项目废气污染物排放总量指标一览表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745"/>
              <w:gridCol w:w="1835"/>
              <w:gridCol w:w="1819"/>
              <w:gridCol w:w="2219"/>
            </w:tblGrid>
            <w:tr w14:paraId="77F4D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92" w:type="pct"/>
                  <w:noWrap w:val="0"/>
                  <w:vAlign w:val="center"/>
                </w:tcPr>
                <w:p w14:paraId="582D1B3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污染物</w:t>
                  </w:r>
                </w:p>
              </w:tc>
              <w:tc>
                <w:tcPr>
                  <w:tcW w:w="1064" w:type="pct"/>
                  <w:noWrap w:val="0"/>
                  <w:vAlign w:val="center"/>
                </w:tcPr>
                <w:p w14:paraId="3AD2E0B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有组织排放量</w:t>
                  </w:r>
                </w:p>
              </w:tc>
              <w:tc>
                <w:tcPr>
                  <w:tcW w:w="1055" w:type="pct"/>
                  <w:noWrap w:val="0"/>
                  <w:vAlign w:val="center"/>
                </w:tcPr>
                <w:p w14:paraId="25C12D0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rPr>
                  </w:pPr>
                  <w:r>
                    <w:rPr>
                      <w:rFonts w:hint="eastAsia" w:ascii="Times New Roman" w:hAnsi="Times New Roman" w:eastAsia="宋体" w:cs="Times New Roman"/>
                      <w:snapToGrid w:val="0"/>
                      <w:color w:val="auto"/>
                      <w:kern w:val="18"/>
                      <w:sz w:val="21"/>
                      <w:szCs w:val="21"/>
                      <w:lang w:val="en-US" w:eastAsia="zh-CN"/>
                    </w:rPr>
                    <w:t>无组织排放量</w:t>
                  </w:r>
                </w:p>
              </w:tc>
              <w:tc>
                <w:tcPr>
                  <w:tcW w:w="1287" w:type="pct"/>
                  <w:noWrap w:val="0"/>
                  <w:vAlign w:val="center"/>
                </w:tcPr>
                <w:p w14:paraId="09ED7B3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全厂合计排放量</w:t>
                  </w:r>
                </w:p>
              </w:tc>
            </w:tr>
            <w:tr w14:paraId="1C8633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592" w:type="pct"/>
                  <w:noWrap w:val="0"/>
                  <w:vAlign w:val="center"/>
                </w:tcPr>
                <w:p w14:paraId="4CA98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非甲烷总烃</w:t>
                  </w:r>
                  <w:r>
                    <w:rPr>
                      <w:rFonts w:hint="eastAsia" w:ascii="Times New Roman" w:hAnsi="Times New Roman" w:eastAsia="宋体" w:cs="Times New Roman"/>
                      <w:color w:val="auto"/>
                      <w:kern w:val="0"/>
                      <w:sz w:val="21"/>
                      <w:szCs w:val="21"/>
                      <w:lang w:val="en-US" w:eastAsia="zh-CN"/>
                    </w:rPr>
                    <w:t>（VOCs）</w:t>
                  </w:r>
                  <w:r>
                    <w:rPr>
                      <w:rFonts w:hint="eastAsia" w:cs="Times New Roman"/>
                      <w:color w:val="auto"/>
                      <w:kern w:val="0"/>
                      <w:sz w:val="21"/>
                      <w:szCs w:val="21"/>
                      <w:lang w:val="en-US" w:eastAsia="zh-CN"/>
                    </w:rPr>
                    <w:t>（t/a）</w:t>
                  </w:r>
                </w:p>
              </w:tc>
              <w:tc>
                <w:tcPr>
                  <w:tcW w:w="1064" w:type="pct"/>
                  <w:noWrap w:val="0"/>
                  <w:vAlign w:val="center"/>
                </w:tcPr>
                <w:p w14:paraId="19894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1.854</w:t>
                  </w:r>
                </w:p>
              </w:tc>
              <w:tc>
                <w:tcPr>
                  <w:tcW w:w="1055" w:type="pct"/>
                  <w:noWrap w:val="0"/>
                  <w:vAlign w:val="center"/>
                </w:tcPr>
                <w:p w14:paraId="34238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0.824</w:t>
                  </w:r>
                </w:p>
              </w:tc>
              <w:tc>
                <w:tcPr>
                  <w:tcW w:w="1287" w:type="pct"/>
                  <w:noWrap w:val="0"/>
                  <w:vAlign w:val="center"/>
                </w:tcPr>
                <w:p w14:paraId="70C38E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2.678</w:t>
                  </w:r>
                </w:p>
              </w:tc>
            </w:tr>
          </w:tbl>
          <w:p w14:paraId="22246E3D">
            <w:pPr>
              <w:pStyle w:val="4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shd w:val="clear" w:color="auto" w:fill="FFFFFF"/>
                <w:lang w:val="en-US" w:eastAsia="zh-CN"/>
              </w:rPr>
            </w:pPr>
            <w:r>
              <w:rPr>
                <w:rFonts w:hint="eastAsia" w:ascii="Times New Roman" w:hAnsi="Times New Roman" w:eastAsia="宋体" w:cs="Times New Roman"/>
                <w:color w:val="auto"/>
                <w:kern w:val="2"/>
                <w:szCs w:val="24"/>
                <w:shd w:val="clear" w:color="auto" w:fill="FFFFFF"/>
                <w:lang w:val="en-US" w:eastAsia="zh-CN"/>
              </w:rPr>
              <w:t>根据</w:t>
            </w:r>
            <w:r>
              <w:rPr>
                <w:rFonts w:hint="default" w:ascii="Times New Roman" w:hAnsi="Times New Roman" w:eastAsia="宋体" w:cs="Times New Roman"/>
                <w:color w:val="auto"/>
                <w:kern w:val="2"/>
                <w:szCs w:val="24"/>
                <w:shd w:val="clear" w:color="auto" w:fill="FFFFFF"/>
                <w:lang w:val="en-US" w:eastAsia="zh-CN"/>
              </w:rPr>
              <w:t>福建省环保厅关于印发《福建省建设项目主要污染物排放总量指标管理办法（试行）》的通知</w:t>
            </w:r>
            <w:r>
              <w:rPr>
                <w:rFonts w:hint="eastAsia" w:ascii="Times New Roman" w:hAnsi="Times New Roman" w:eastAsia="宋体" w:cs="Times New Roman"/>
                <w:color w:val="auto"/>
                <w:kern w:val="2"/>
                <w:szCs w:val="24"/>
                <w:shd w:val="clear" w:color="auto" w:fill="FFFFFF"/>
                <w:lang w:val="en-US" w:eastAsia="zh-CN"/>
              </w:rPr>
              <w:t>（闽环发〔2014〕13号）：“</w:t>
            </w:r>
            <w:r>
              <w:rPr>
                <w:rFonts w:hint="default" w:ascii="Times New Roman" w:hAnsi="Times New Roman" w:eastAsia="宋体" w:cs="Times New Roman"/>
                <w:color w:val="auto"/>
                <w:kern w:val="2"/>
                <w:szCs w:val="24"/>
                <w:shd w:val="clear" w:color="auto" w:fill="FFFFFF"/>
                <w:lang w:val="en-US" w:eastAsia="zh-CN"/>
              </w:rPr>
              <w:t>第十条实行重点区域和行业总量倍量调剂，其倍量调剂比例为以下各单项比例的乘积：（四）工业园区外的工业企业的新增排放量，按不低于1.2倍调剂</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根据《福州市</w:t>
            </w:r>
            <w:r>
              <w:rPr>
                <w:rFonts w:hint="eastAsia" w:ascii="Times New Roman" w:hAnsi="Times New Roman" w:eastAsia="宋体" w:cs="Times New Roman"/>
                <w:color w:val="auto"/>
                <w:kern w:val="2"/>
                <w:szCs w:val="24"/>
                <w:shd w:val="clear" w:color="auto" w:fill="FFFFFF"/>
                <w:lang w:val="en-US" w:eastAsia="zh-CN"/>
              </w:rPr>
              <w:t>生态环境局</w:t>
            </w:r>
            <w:r>
              <w:rPr>
                <w:rFonts w:hint="default" w:ascii="Times New Roman" w:hAnsi="Times New Roman" w:eastAsia="宋体" w:cs="Times New Roman"/>
                <w:color w:val="auto"/>
                <w:kern w:val="2"/>
                <w:szCs w:val="24"/>
                <w:shd w:val="clear" w:color="auto" w:fill="FFFFFF"/>
                <w:lang w:val="en-US" w:eastAsia="zh-CN"/>
              </w:rPr>
              <w:t>关于印发福州市</w:t>
            </w:r>
            <w:r>
              <w:rPr>
                <w:rFonts w:hint="eastAsia" w:ascii="Times New Roman" w:hAnsi="Times New Roman" w:eastAsia="宋体" w:cs="Times New Roman"/>
                <w:color w:val="auto"/>
                <w:kern w:val="2"/>
                <w:szCs w:val="24"/>
                <w:shd w:val="clear" w:color="auto" w:fill="FFFFFF"/>
                <w:lang w:val="en-US" w:eastAsia="zh-CN"/>
              </w:rPr>
              <w:t>大气污染联防联控联治工作方案的通知</w:t>
            </w:r>
            <w:r>
              <w:rPr>
                <w:rFonts w:hint="default" w:ascii="Times New Roman" w:hAnsi="Times New Roman" w:eastAsia="宋体" w:cs="Times New Roman"/>
                <w:color w:val="auto"/>
                <w:kern w:val="2"/>
                <w:szCs w:val="24"/>
                <w:shd w:val="clear" w:color="auto" w:fill="FFFFFF"/>
                <w:lang w:val="en-US" w:eastAsia="zh-CN"/>
              </w:rPr>
              <w:t>》榕环保综</w:t>
            </w:r>
            <w:r>
              <w:rPr>
                <w:rFonts w:hint="eastAsia" w:ascii="Times New Roman" w:hAnsi="Times New Roman" w:eastAsia="宋体" w:cs="Times New Roman"/>
                <w:color w:val="auto"/>
                <w:kern w:val="2"/>
                <w:szCs w:val="24"/>
                <w:shd w:val="clear" w:color="auto" w:fill="FFFFFF"/>
                <w:lang w:val="en-US" w:eastAsia="zh-CN"/>
              </w:rPr>
              <w:t>〔2018〕386号</w:t>
            </w:r>
            <w:r>
              <w:rPr>
                <w:rFonts w:hint="default" w:ascii="Times New Roman" w:hAnsi="Times New Roman" w:eastAsia="宋体" w:cs="Times New Roman"/>
                <w:color w:val="auto"/>
                <w:kern w:val="2"/>
                <w:szCs w:val="24"/>
                <w:shd w:val="clear" w:color="auto" w:fill="FFFFFF"/>
                <w:lang w:val="en-US" w:eastAsia="zh-CN"/>
              </w:rPr>
              <w:t>：VOCs排放实行区域内倍量替代，新、改扩建涉VOCs排放项目，应从源头加强控制，使用低</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无</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VOCs含量的原辅材料，加强废气收集、安装高效治理设施</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根据《2022年度福州市蓝天碧水碧海净土保卫战行动计划》</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榕环委办</w:t>
            </w:r>
            <w:r>
              <w:rPr>
                <w:rFonts w:hint="eastAsia" w:ascii="Times New Roman" w:hAnsi="Times New Roman" w:eastAsia="宋体" w:cs="Times New Roman"/>
                <w:color w:val="auto"/>
                <w:kern w:val="2"/>
                <w:szCs w:val="24"/>
                <w:shd w:val="clear" w:color="auto" w:fill="FFFFFF"/>
                <w:lang w:val="en-US" w:eastAsia="zh-CN"/>
              </w:rPr>
              <w:t>〔2022〕49号</w:t>
            </w:r>
            <w:r>
              <w:rPr>
                <w:rFonts w:hint="eastAsia" w:ascii="Times New Roman" w:hAnsi="Times New Roman" w:cs="Times New Roman"/>
                <w:color w:val="auto"/>
                <w:kern w:val="2"/>
                <w:szCs w:val="24"/>
                <w:shd w:val="clear" w:color="auto" w:fill="FFFFFF"/>
                <w:lang w:val="en-US" w:eastAsia="zh-CN"/>
              </w:rPr>
              <w:t>）</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实施新建项目VOC</w:t>
            </w:r>
            <w:r>
              <w:rPr>
                <w:rFonts w:hint="eastAsia" w:ascii="Times New Roman" w:hAnsi="Times New Roman" w:eastAsia="宋体" w:cs="Times New Roman"/>
                <w:color w:val="auto"/>
                <w:kern w:val="2"/>
                <w:szCs w:val="24"/>
                <w:shd w:val="clear" w:color="auto" w:fill="FFFFFF"/>
                <w:lang w:val="en-US" w:eastAsia="zh-CN"/>
              </w:rPr>
              <w:t>s</w:t>
            </w:r>
            <w:r>
              <w:rPr>
                <w:rFonts w:hint="default" w:ascii="Times New Roman" w:hAnsi="Times New Roman" w:eastAsia="宋体" w:cs="Times New Roman"/>
                <w:color w:val="auto"/>
                <w:kern w:val="2"/>
                <w:szCs w:val="24"/>
                <w:shd w:val="clear" w:color="auto" w:fill="FFFFFF"/>
                <w:lang w:val="en-US" w:eastAsia="zh-CN"/>
              </w:rPr>
              <w:t>排放区域内倍量替代。</w:t>
            </w:r>
            <w:r>
              <w:rPr>
                <w:rFonts w:hint="eastAsia" w:ascii="Times New Roman" w:hAnsi="Times New Roman" w:eastAsia="宋体" w:cs="Times New Roman"/>
                <w:color w:val="auto"/>
                <w:kern w:val="2"/>
                <w:szCs w:val="24"/>
                <w:shd w:val="clear" w:color="auto" w:fill="FFFFFF"/>
                <w:lang w:val="en-US" w:eastAsia="zh-CN"/>
              </w:rPr>
              <w:t>本项目VOCs（以非甲烷总烃计）的排放总量为</w:t>
            </w:r>
            <w:r>
              <w:rPr>
                <w:rFonts w:hint="eastAsia" w:ascii="Times New Roman" w:hAnsi="Times New Roman" w:eastAsia="宋体" w:cs="Times New Roman"/>
                <w:color w:val="auto"/>
                <w:kern w:val="2"/>
                <w:szCs w:val="24"/>
                <w:highlight w:val="none"/>
                <w:shd w:val="clear" w:color="auto" w:fill="FFFFFF"/>
                <w:lang w:val="en-US" w:eastAsia="zh-CN"/>
              </w:rPr>
              <w:t>：</w:t>
            </w:r>
            <w:r>
              <w:rPr>
                <w:rFonts w:hint="eastAsia" w:ascii="Times New Roman" w:hAnsi="Times New Roman" w:cs="Times New Roman"/>
                <w:color w:val="auto"/>
                <w:kern w:val="2"/>
                <w:szCs w:val="24"/>
                <w:highlight w:val="none"/>
                <w:shd w:val="clear" w:color="auto" w:fill="FFFFFF"/>
                <w:lang w:val="en-US" w:eastAsia="zh-CN"/>
              </w:rPr>
              <w:t>2.678</w:t>
            </w:r>
            <w:r>
              <w:rPr>
                <w:rFonts w:hint="eastAsia" w:ascii="Times New Roman" w:hAnsi="Times New Roman" w:eastAsia="宋体" w:cs="Times New Roman"/>
                <w:color w:val="auto"/>
                <w:kern w:val="2"/>
                <w:szCs w:val="24"/>
                <w:highlight w:val="none"/>
                <w:shd w:val="clear" w:color="auto" w:fill="FFFFFF"/>
                <w:lang w:val="en-US" w:eastAsia="zh-CN"/>
              </w:rPr>
              <w:t>t/a</w:t>
            </w:r>
            <w:r>
              <w:rPr>
                <w:rFonts w:hint="eastAsia" w:ascii="Times New Roman" w:hAnsi="Times New Roman" w:eastAsia="宋体" w:cs="Times New Roman"/>
                <w:color w:val="auto"/>
                <w:kern w:val="2"/>
                <w:szCs w:val="24"/>
                <w:shd w:val="clear" w:color="auto" w:fill="FFFFFF"/>
                <w:lang w:val="en-US" w:eastAsia="zh-CN"/>
              </w:rPr>
              <w:t>。因此，本项目排放的VOCs总量</w:t>
            </w:r>
            <w:r>
              <w:rPr>
                <w:rFonts w:hint="default" w:ascii="Times New Roman" w:hAnsi="Times New Roman" w:eastAsia="宋体" w:cs="Times New Roman"/>
                <w:color w:val="auto"/>
                <w:kern w:val="2"/>
                <w:szCs w:val="24"/>
                <w:shd w:val="clear" w:color="auto" w:fill="FFFFFF"/>
                <w:lang w:val="en-US" w:eastAsia="zh-CN"/>
              </w:rPr>
              <w:t>由建设单位向</w:t>
            </w:r>
            <w:r>
              <w:rPr>
                <w:rFonts w:hint="eastAsia" w:ascii="Times New Roman" w:hAnsi="Times New Roman" w:eastAsia="宋体" w:cs="Times New Roman"/>
                <w:color w:val="auto"/>
                <w:kern w:val="2"/>
                <w:szCs w:val="24"/>
                <w:shd w:val="clear" w:color="auto" w:fill="FFFFFF"/>
                <w:lang w:val="en-US" w:eastAsia="zh-CN"/>
              </w:rPr>
              <w:t>福州市福清生态环境局</w:t>
            </w:r>
            <w:r>
              <w:rPr>
                <w:rFonts w:hint="default" w:ascii="Times New Roman" w:hAnsi="Times New Roman" w:eastAsia="宋体" w:cs="Times New Roman"/>
                <w:color w:val="auto"/>
                <w:kern w:val="2"/>
                <w:szCs w:val="24"/>
                <w:shd w:val="clear" w:color="auto" w:fill="FFFFFF"/>
                <w:lang w:val="en-US" w:eastAsia="zh-CN"/>
              </w:rPr>
              <w:t>申请区域</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建设单位承诺在项目投产前取得</w:t>
            </w:r>
            <w:r>
              <w:rPr>
                <w:rFonts w:hint="eastAsia" w:ascii="Times New Roman" w:hAnsi="Times New Roman" w:eastAsia="宋体" w:cs="Times New Roman"/>
                <w:color w:val="auto"/>
                <w:kern w:val="2"/>
                <w:szCs w:val="24"/>
                <w:shd w:val="clear" w:color="auto" w:fill="FFFFFF"/>
                <w:lang w:val="en-US" w:eastAsia="zh-CN"/>
              </w:rPr>
              <w:t>各污染</w:t>
            </w:r>
            <w:r>
              <w:rPr>
                <w:rFonts w:hint="default" w:ascii="Times New Roman" w:hAnsi="Times New Roman" w:eastAsia="宋体" w:cs="Times New Roman"/>
                <w:color w:val="auto"/>
                <w:kern w:val="2"/>
                <w:szCs w:val="24"/>
                <w:shd w:val="clear" w:color="auto" w:fill="FFFFFF"/>
                <w:lang w:val="en-US" w:eastAsia="zh-CN"/>
              </w:rPr>
              <w:t>VOCs</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以非甲烷总烃计</w:t>
            </w:r>
            <w:r>
              <w:rPr>
                <w:rFonts w:hint="eastAsia" w:ascii="Times New Roman" w:hAnsi="Times New Roman" w:eastAsia="宋体" w:cs="Times New Roman"/>
                <w:color w:val="auto"/>
                <w:kern w:val="2"/>
                <w:szCs w:val="24"/>
                <w:shd w:val="clear" w:color="auto" w:fill="FFFFFF"/>
                <w:lang w:val="en-US" w:eastAsia="zh-CN"/>
              </w:rPr>
              <w:t>）总量</w:t>
            </w:r>
            <w:r>
              <w:rPr>
                <w:rFonts w:hint="default" w:ascii="Times New Roman" w:hAnsi="Times New Roman" w:eastAsia="宋体" w:cs="Times New Roman"/>
                <w:color w:val="auto"/>
                <w:kern w:val="2"/>
                <w:szCs w:val="24"/>
                <w:shd w:val="clear" w:color="auto" w:fill="FFFFFF"/>
                <w:lang w:val="en-US" w:eastAsia="zh-CN"/>
              </w:rPr>
              <w:t>的</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并依法</w:t>
            </w:r>
            <w:r>
              <w:rPr>
                <w:rFonts w:hint="eastAsia" w:ascii="Times New Roman" w:hAnsi="Times New Roman" w:eastAsia="宋体" w:cs="Times New Roman"/>
                <w:color w:val="auto"/>
                <w:kern w:val="2"/>
                <w:szCs w:val="24"/>
                <w:shd w:val="clear" w:color="auto" w:fill="FFFFFF"/>
                <w:lang w:val="en-US" w:eastAsia="zh-CN"/>
              </w:rPr>
              <w:t>办理</w:t>
            </w:r>
            <w:r>
              <w:rPr>
                <w:rFonts w:hint="default" w:ascii="Times New Roman" w:hAnsi="Times New Roman" w:eastAsia="宋体" w:cs="Times New Roman"/>
                <w:color w:val="auto"/>
                <w:kern w:val="2"/>
                <w:szCs w:val="24"/>
                <w:shd w:val="clear" w:color="auto" w:fill="FFFFFF"/>
                <w:lang w:val="en-US" w:eastAsia="zh-CN"/>
              </w:rPr>
              <w:t>排污许可</w:t>
            </w:r>
            <w:r>
              <w:rPr>
                <w:rFonts w:hint="eastAsia" w:ascii="Times New Roman" w:hAnsi="Times New Roman" w:eastAsia="宋体" w:cs="Times New Roman"/>
                <w:color w:val="auto"/>
                <w:kern w:val="2"/>
                <w:szCs w:val="24"/>
                <w:shd w:val="clear" w:color="auto" w:fill="FFFFFF"/>
                <w:lang w:val="en-US" w:eastAsia="zh-CN"/>
              </w:rPr>
              <w:t>手续。</w:t>
            </w:r>
          </w:p>
        </w:tc>
      </w:tr>
    </w:tbl>
    <w:p w14:paraId="7BD1B22A">
      <w:pPr>
        <w:rPr>
          <w:rFonts w:hint="eastAsia"/>
          <w:lang w:eastAsia="zh-CN"/>
        </w:rPr>
      </w:pPr>
      <w:r>
        <w:rPr>
          <w:rFonts w:hint="eastAsia"/>
          <w:lang w:eastAsia="zh-CN"/>
        </w:rPr>
        <w:br w:type="page"/>
      </w:r>
    </w:p>
    <w:p w14:paraId="3C7A643E">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59" w:name="_Toc15792"/>
      <w:bookmarkStart w:id="60" w:name="_Toc3502"/>
      <w:r>
        <w:rPr>
          <w:rFonts w:hint="eastAsia" w:ascii="Times New Roman" w:hAnsi="Times New Roman" w:eastAsia="黑体" w:cs="Times New Roman"/>
          <w:snapToGrid w:val="0"/>
          <w:color w:val="auto"/>
          <w:sz w:val="30"/>
          <w:szCs w:val="30"/>
          <w:u w:val="none"/>
          <w:lang w:val="en-US" w:eastAsia="zh-CN"/>
        </w:rPr>
        <w:t>四、</w:t>
      </w:r>
      <w:r>
        <w:rPr>
          <w:rFonts w:hint="default" w:ascii="Times New Roman" w:hAnsi="Times New Roman" w:eastAsia="黑体" w:cs="Times New Roman"/>
          <w:snapToGrid w:val="0"/>
          <w:color w:val="auto"/>
          <w:sz w:val="30"/>
          <w:szCs w:val="30"/>
          <w:u w:val="none"/>
          <w:lang w:val="en-US" w:eastAsia="zh-CN"/>
        </w:rPr>
        <w:t>主要环境影响和保护措施</w:t>
      </w:r>
      <w:bookmarkEnd w:id="59"/>
      <w:bookmarkEnd w:id="6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8755"/>
      </w:tblGrid>
      <w:tr w14:paraId="7F7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trPr>
        <w:tc>
          <w:tcPr>
            <w:tcW w:w="533" w:type="dxa"/>
            <w:vAlign w:val="center"/>
          </w:tcPr>
          <w:p w14:paraId="72F94C6B">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15C2AE05">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vertAlign w:val="baseline"/>
                <w:lang w:eastAsia="zh-CN"/>
              </w:rPr>
            </w:pPr>
            <w:bookmarkStart w:id="61" w:name="_Toc279492221"/>
            <w:bookmarkStart w:id="62" w:name="_Toc222825971"/>
            <w:bookmarkStart w:id="63" w:name="_Toc278977997"/>
            <w:bookmarkStart w:id="64" w:name="_Toc56498971"/>
            <w:bookmarkStart w:id="65" w:name="_Toc225766861"/>
            <w:bookmarkStart w:id="66" w:name="_Toc17361640"/>
            <w:bookmarkStart w:id="67" w:name="_Toc56498815"/>
            <w:bookmarkStart w:id="68" w:name="_Toc281777364"/>
            <w:bookmarkStart w:id="69" w:name="_Toc235065596"/>
            <w:bookmarkStart w:id="70" w:name="_Toc85178610"/>
            <w:bookmarkStart w:id="71" w:name="_Toc233386843"/>
            <w:bookmarkStart w:id="72" w:name="_Toc224713628"/>
            <w:bookmarkStart w:id="73" w:name="_Toc213206595"/>
            <w:bookmarkStart w:id="74" w:name="_Toc211967612"/>
            <w:bookmarkStart w:id="75" w:name="_Toc212261317"/>
            <w:bookmarkStart w:id="76" w:name="_Toc232930955"/>
            <w:bookmarkStart w:id="77" w:name="_Toc235459029"/>
            <w:bookmarkStart w:id="78" w:name="_Toc17361639"/>
            <w:bookmarkStart w:id="79" w:name="_Toc234833275"/>
            <w:r>
              <w:rPr>
                <w:rFonts w:hint="default" w:ascii="Times New Roman" w:hAnsi="Times New Roman" w:eastAsia="宋体" w:cs="Times New Roman"/>
                <w:color w:val="auto"/>
                <w:kern w:val="2"/>
                <w:sz w:val="24"/>
                <w:szCs w:val="24"/>
                <w:shd w:val="clear" w:color="auto" w:fill="FFFFFF"/>
                <w:lang w:val="en-US" w:eastAsia="zh-CN"/>
              </w:rPr>
              <w:t>本项目位于</w:t>
            </w:r>
            <w:r>
              <w:rPr>
                <w:rFonts w:hint="eastAsia" w:cs="Times New Roman"/>
                <w:color w:val="auto"/>
                <w:sz w:val="24"/>
                <w:szCs w:val="24"/>
                <w:u w:val="none"/>
                <w:lang w:val="en-US" w:eastAsia="zh-CN"/>
              </w:rPr>
              <w:t>福清融侨经济技术开发区（</w:t>
            </w:r>
            <w:r>
              <w:rPr>
                <w:rFonts w:hint="eastAsia" w:cs="Times New Roman"/>
                <w:color w:val="auto"/>
                <w:sz w:val="24"/>
                <w:szCs w:val="24"/>
                <w:highlight w:val="none"/>
                <w:u w:val="none"/>
                <w:lang w:val="en-US" w:eastAsia="zh-CN"/>
              </w:rPr>
              <w:t>租赁福建融永拓新材料有限公司位于均和云谷·福清科技港的28#、36#厂房）</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kern w:val="2"/>
                <w:sz w:val="24"/>
                <w:szCs w:val="24"/>
                <w:shd w:val="clear" w:color="auto" w:fill="FFFFFF"/>
                <w:lang w:val="en-US" w:eastAsia="zh-CN"/>
              </w:rPr>
              <w:t>利用现有厂房进行生产，根据现场勘查，该厂房已建成，因此不存在厂房等主体工程施工期环境影响。项目施工期主要为设备安装、调试阶段产生的环境问题，本项目设备安装、调试简单</w:t>
            </w:r>
            <w:r>
              <w:rPr>
                <w:rFonts w:hint="eastAsia" w:cs="Times New Roman"/>
                <w:color w:val="auto"/>
                <w:kern w:val="2"/>
                <w:sz w:val="24"/>
                <w:szCs w:val="24"/>
                <w:shd w:val="clear" w:color="auto" w:fill="FFFFFF"/>
                <w:lang w:val="en-US" w:eastAsia="zh-CN"/>
              </w:rPr>
              <w:t>且</w:t>
            </w:r>
            <w:r>
              <w:rPr>
                <w:rFonts w:hint="default" w:ascii="Times New Roman" w:hAnsi="Times New Roman" w:eastAsia="宋体" w:cs="Times New Roman"/>
                <w:color w:val="auto"/>
                <w:kern w:val="2"/>
                <w:sz w:val="24"/>
                <w:szCs w:val="24"/>
                <w:shd w:val="clear" w:color="auto" w:fill="FFFFFF"/>
                <w:lang w:val="en-US" w:eastAsia="zh-CN"/>
              </w:rPr>
              <w:t>时间较短，因此，随着设备安装、调试完毕后，项目施工期也将结束，施工期环境影响也随着消失，</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default" w:ascii="Times New Roman" w:hAnsi="Times New Roman" w:eastAsia="宋体" w:cs="Times New Roman"/>
                <w:color w:val="auto"/>
                <w:kern w:val="2"/>
                <w:sz w:val="24"/>
                <w:szCs w:val="24"/>
                <w:shd w:val="clear" w:color="auto" w:fill="FFFFFF"/>
                <w:lang w:val="zh-CN" w:eastAsia="zh-CN"/>
              </w:rPr>
              <w:t>对周围环境的影响较小，故本环评对此不再作出具体分析。</w:t>
            </w:r>
          </w:p>
        </w:tc>
      </w:tr>
      <w:tr w14:paraId="6066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dxa"/>
            <w:vAlign w:val="center"/>
          </w:tcPr>
          <w:p w14:paraId="2ACFA6F4">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4CF2A80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sz w:val="28"/>
                <w:szCs w:val="28"/>
              </w:rPr>
            </w:pPr>
            <w:bookmarkStart w:id="80" w:name="_Toc22868"/>
            <w:r>
              <w:rPr>
                <w:rFonts w:hint="eastAsia"/>
                <w:b/>
                <w:sz w:val="28"/>
                <w:szCs w:val="28"/>
                <w:lang w:val="en-US" w:eastAsia="zh-CN"/>
              </w:rPr>
              <w:t>4</w:t>
            </w:r>
            <w:r>
              <w:rPr>
                <w:b/>
                <w:sz w:val="28"/>
                <w:szCs w:val="28"/>
              </w:rPr>
              <w:t>.1</w:t>
            </w:r>
            <w:r>
              <w:rPr>
                <w:rFonts w:eastAsia="宋体"/>
                <w:b/>
                <w:sz w:val="28"/>
                <w:szCs w:val="28"/>
              </w:rPr>
              <w:t>大气环境影响分析和污染防治措施</w:t>
            </w:r>
            <w:bookmarkEnd w:id="80"/>
          </w:p>
          <w:p w14:paraId="36D57AE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262626"/>
                <w:kern w:val="0"/>
                <w:sz w:val="24"/>
              </w:rPr>
            </w:pPr>
            <w:bookmarkStart w:id="81" w:name="_Toc5618"/>
            <w:bookmarkStart w:id="82" w:name="_Toc7455"/>
            <w:r>
              <w:rPr>
                <w:b/>
                <w:color w:val="262626"/>
                <w:kern w:val="0"/>
                <w:sz w:val="24"/>
              </w:rPr>
              <w:t>4.1.1 运营期废气源强核算</w:t>
            </w:r>
            <w:bookmarkEnd w:id="81"/>
            <w:bookmarkEnd w:id="82"/>
          </w:p>
          <w:p w14:paraId="4BFACC36">
            <w:pPr>
              <w:adjustRightInd w:val="0"/>
              <w:snapToGrid w:val="0"/>
              <w:spacing w:line="348" w:lineRule="auto"/>
              <w:ind w:firstLine="480" w:firstLineChars="200"/>
              <w:rPr>
                <w:rFonts w:hint="eastAsia"/>
                <w:color w:val="262626"/>
                <w:sz w:val="24"/>
                <w:lang w:eastAsia="zh-CN"/>
              </w:rPr>
            </w:pPr>
            <w:r>
              <w:rPr>
                <w:rFonts w:hint="eastAsia"/>
                <w:color w:val="262626"/>
                <w:sz w:val="24"/>
              </w:rPr>
              <w:t>根据生产工艺流程图可知，</w:t>
            </w:r>
            <w:r>
              <w:rPr>
                <w:rFonts w:hint="eastAsia"/>
                <w:color w:val="262626"/>
                <w:sz w:val="24"/>
                <w:lang w:eastAsia="zh-CN"/>
              </w:rPr>
              <w:t>项目废气主要来自印刷生产过程中的油墨挥发的有机废气（以非甲烷总烃计）、</w:t>
            </w:r>
            <w:r>
              <w:rPr>
                <w:rFonts w:hint="eastAsia"/>
                <w:color w:val="262626"/>
                <w:sz w:val="24"/>
                <w:lang w:val="en-US" w:eastAsia="zh-CN"/>
              </w:rPr>
              <w:t>复合/</w:t>
            </w:r>
            <w:r>
              <w:rPr>
                <w:rFonts w:hint="eastAsia"/>
                <w:color w:val="262626"/>
                <w:sz w:val="24"/>
                <w:lang w:eastAsia="zh-CN"/>
              </w:rPr>
              <w:t>熟化工序因复合胶水产生的微量有机废气（以非甲烷总烃计）、</w:t>
            </w:r>
            <w:r>
              <w:rPr>
                <w:rFonts w:hint="eastAsia"/>
                <w:color w:val="262626"/>
                <w:sz w:val="24"/>
                <w:lang w:val="en-US" w:eastAsia="zh-CN"/>
              </w:rPr>
              <w:t>吹膜机吹膜产生的有机废气、制袋产生的有机废气（以非甲烷总烃计）、恶臭气体</w:t>
            </w:r>
            <w:r>
              <w:rPr>
                <w:rFonts w:hint="eastAsia"/>
                <w:color w:val="262626"/>
                <w:sz w:val="24"/>
                <w:lang w:eastAsia="zh-CN"/>
              </w:rPr>
              <w:t>。</w:t>
            </w:r>
          </w:p>
          <w:p w14:paraId="22AFFF28">
            <w:pPr>
              <w:adjustRightInd w:val="0"/>
              <w:snapToGrid w:val="0"/>
              <w:spacing w:line="348" w:lineRule="auto"/>
              <w:ind w:firstLine="480" w:firstLineChars="200"/>
              <w:rPr>
                <w:color w:val="262626"/>
                <w:sz w:val="24"/>
              </w:rPr>
            </w:pPr>
            <w:r>
              <w:rPr>
                <w:rFonts w:hint="eastAsia"/>
                <w:color w:val="262626"/>
                <w:sz w:val="24"/>
                <w:lang w:eastAsia="zh-CN"/>
              </w:rPr>
              <w:t>本项目生产过程产生的大气污染物主要为非甲烷总烃，来源包括：一是吹膜工序中PE树脂在260℃熔融挤出时，少量低聚物和小分子烃类物理挥发；二是印刷、复合、熟化、</w:t>
            </w:r>
            <w:r>
              <w:rPr>
                <w:rFonts w:hint="eastAsia"/>
                <w:color w:val="262626"/>
                <w:sz w:val="24"/>
                <w:lang w:val="en-US" w:eastAsia="zh-CN"/>
              </w:rPr>
              <w:t>制袋</w:t>
            </w:r>
            <w:r>
              <w:rPr>
                <w:rFonts w:hint="eastAsia"/>
                <w:color w:val="262626"/>
                <w:sz w:val="24"/>
                <w:lang w:eastAsia="zh-CN"/>
              </w:rPr>
              <w:t>工序中，无苯油墨和胶黏剂所含的有机溶剂（如乙酸乙酯）挥发。</w:t>
            </w:r>
            <w:r>
              <w:rPr>
                <w:rFonts w:hint="eastAsia"/>
                <w:b/>
                <w:bCs/>
                <w:color w:val="262626"/>
                <w:sz w:val="24"/>
                <w:lang w:eastAsia="zh-CN"/>
              </w:rPr>
              <w:t>由于各工序温度均远低于聚酰胺（PA，分解需≥350℃）、聚酯（PET，分解需≥270℃）及聚烯烃（PP/PE，裂解需＞300℃）的热分解阈值，树脂本身仅发生物理熔融而未发生化学裂解，因此不会产生氨、乙醛等树脂裂解特征污染物；</w:t>
            </w:r>
            <w:r>
              <w:rPr>
                <w:rFonts w:hint="eastAsia"/>
                <w:color w:val="262626"/>
                <w:sz w:val="24"/>
                <w:lang w:eastAsia="zh-CN"/>
              </w:rPr>
              <w:t>同时，</w:t>
            </w:r>
            <w:r>
              <w:rPr>
                <w:rFonts w:hint="eastAsia"/>
                <w:color w:val="262626"/>
                <w:sz w:val="24"/>
                <w:lang w:val="en-US" w:eastAsia="zh-CN"/>
              </w:rPr>
              <w:t>根据油墨的MSDS和检测报告可知，</w:t>
            </w:r>
            <w:r>
              <w:rPr>
                <w:rFonts w:hint="eastAsia"/>
                <w:color w:val="262626"/>
                <w:sz w:val="24"/>
                <w:lang w:eastAsia="zh-CN"/>
              </w:rPr>
              <w:t>油墨采用无苯油墨，废气中也不会含有苯系物（苯、甲苯、二甲苯）。综上，本项目大气污染物仅为非甲烷总烃，不产生任何树脂裂解特征污染物及苯系物。</w:t>
            </w:r>
            <w:r>
              <w:rPr>
                <w:rFonts w:hint="eastAsia"/>
                <w:color w:val="262626"/>
                <w:kern w:val="0"/>
                <w:sz w:val="24"/>
                <w:szCs w:val="20"/>
              </w:rPr>
              <w:t>项目</w:t>
            </w:r>
            <w:r>
              <w:rPr>
                <w:color w:val="262626"/>
                <w:kern w:val="0"/>
                <w:sz w:val="24"/>
                <w:szCs w:val="20"/>
              </w:rPr>
              <w:t>废气污染源</w:t>
            </w:r>
            <w:r>
              <w:rPr>
                <w:rFonts w:hint="eastAsia"/>
                <w:color w:val="262626"/>
                <w:kern w:val="0"/>
                <w:sz w:val="24"/>
                <w:szCs w:val="20"/>
              </w:rPr>
              <w:t>源强分析如下：</w:t>
            </w:r>
          </w:p>
          <w:p w14:paraId="020D1B92">
            <w:pPr>
              <w:pStyle w:val="19"/>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80" w:firstLineChars="200"/>
              <w:jc w:val="left"/>
              <w:textAlignment w:val="auto"/>
              <w:outlineLvl w:val="9"/>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1</w:t>
            </w: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000000"/>
                <w:sz w:val="24"/>
                <w:szCs w:val="24"/>
                <w:highlight w:val="none"/>
                <w:lang w:val="en-US" w:eastAsia="zh-CN"/>
              </w:rPr>
              <w:t>印刷废气</w:t>
            </w:r>
          </w:p>
          <w:p w14:paraId="0287754A">
            <w:pPr>
              <w:pStyle w:val="19"/>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80" w:firstLineChars="200"/>
              <w:jc w:val="left"/>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根据建设单位提供的资料（</w:t>
            </w:r>
            <w:r>
              <w:rPr>
                <w:rFonts w:hint="default" w:ascii="Times New Roman" w:hAnsi="Times New Roman" w:eastAsia="宋体" w:cs="Times New Roman"/>
                <w:b w:val="0"/>
                <w:bCs w:val="0"/>
                <w:color w:val="000000"/>
                <w:sz w:val="24"/>
                <w:szCs w:val="24"/>
                <w:highlight w:val="none"/>
                <w:lang w:val="en-US" w:eastAsia="zh-CN"/>
              </w:rPr>
              <w:t>详见附件</w:t>
            </w:r>
            <w:r>
              <w:rPr>
                <w:rFonts w:hint="eastAsia" w:ascii="Times New Roman" w:hAnsi="Times New Roman" w:eastAsia="宋体" w:cs="Times New Roman"/>
                <w:b w:val="0"/>
                <w:bCs w:val="0"/>
                <w:color w:val="000000"/>
                <w:sz w:val="24"/>
                <w:szCs w:val="24"/>
                <w:highlight w:val="none"/>
                <w:lang w:val="en-US" w:eastAsia="zh-CN"/>
              </w:rPr>
              <w:t>九</w:t>
            </w:r>
            <w:r>
              <w:rPr>
                <w:rFonts w:hint="default" w:ascii="Times New Roman" w:hAnsi="Times New Roman" w:eastAsia="宋体" w:cs="Times New Roman"/>
                <w:color w:val="000000"/>
                <w:sz w:val="24"/>
                <w:szCs w:val="24"/>
                <w:highlight w:val="none"/>
                <w:lang w:val="en-US" w:eastAsia="zh-CN"/>
              </w:rPr>
              <w:t>），项目使用的溶剂</w:t>
            </w:r>
            <w:r>
              <w:rPr>
                <w:rFonts w:hint="eastAsia" w:ascii="Times New Roman" w:hAnsi="Times New Roman" w:eastAsia="宋体" w:cs="Times New Roman"/>
                <w:color w:val="000000"/>
                <w:sz w:val="24"/>
                <w:szCs w:val="24"/>
                <w:highlight w:val="none"/>
                <w:lang w:val="en-US" w:eastAsia="zh-CN"/>
              </w:rPr>
              <w:t>为凹版塑料印刷</w:t>
            </w:r>
            <w:r>
              <w:rPr>
                <w:rFonts w:hint="default" w:ascii="Times New Roman" w:hAnsi="Times New Roman" w:eastAsia="宋体" w:cs="Times New Roman"/>
                <w:color w:val="000000"/>
                <w:sz w:val="24"/>
                <w:szCs w:val="24"/>
                <w:highlight w:val="none"/>
                <w:lang w:val="en-US" w:eastAsia="zh-CN"/>
              </w:rPr>
              <w:t>油墨</w:t>
            </w:r>
            <w:r>
              <w:rPr>
                <w:rFonts w:hint="eastAsia" w:ascii="Times New Roman" w:hAnsi="Times New Roman" w:eastAsia="宋体" w:cs="Times New Roman"/>
                <w:color w:val="000000"/>
                <w:sz w:val="24"/>
                <w:szCs w:val="24"/>
                <w:highlight w:val="none"/>
                <w:lang w:val="en-US" w:eastAsia="zh-CN"/>
              </w:rPr>
              <w:t>、稀释剂</w:t>
            </w:r>
            <w:r>
              <w:rPr>
                <w:rFonts w:hint="eastAsia" w:cs="Times New Roman"/>
                <w:color w:val="000000"/>
                <w:sz w:val="24"/>
                <w:szCs w:val="24"/>
                <w:highlight w:val="none"/>
                <w:lang w:val="en-US" w:eastAsia="zh-CN"/>
              </w:rPr>
              <w:t>，根据物料平衡核算，印刷废气污染物产生量</w:t>
            </w:r>
            <w:r>
              <w:rPr>
                <w:rFonts w:hint="default" w:ascii="Times New Roman" w:hAnsi="Times New Roman" w:eastAsia="宋体" w:cs="Times New Roman"/>
                <w:color w:val="000000"/>
                <w:sz w:val="24"/>
                <w:szCs w:val="24"/>
                <w:highlight w:val="none"/>
                <w:lang w:val="en-US" w:eastAsia="zh-CN"/>
              </w:rPr>
              <w:t>详见表</w:t>
            </w:r>
            <w:r>
              <w:rPr>
                <w:rFonts w:hint="eastAsia" w:ascii="Times New Roman" w:hAnsi="Times New Roman" w:eastAsia="宋体" w:cs="Times New Roman"/>
                <w:color w:val="000000"/>
                <w:sz w:val="24"/>
                <w:szCs w:val="24"/>
                <w:highlight w:val="none"/>
                <w:lang w:val="en-US" w:eastAsia="zh-CN"/>
              </w:rPr>
              <w:t>4.1</w:t>
            </w:r>
            <w:r>
              <w:rPr>
                <w:rFonts w:hint="default" w:ascii="Times New Roman" w:hAnsi="Times New Roman" w:eastAsia="宋体" w:cs="Times New Roman"/>
                <w:color w:val="000000"/>
                <w:sz w:val="24"/>
                <w:szCs w:val="24"/>
                <w:highlight w:val="none"/>
                <w:lang w:val="en-US" w:eastAsia="zh-CN"/>
              </w:rPr>
              <w:t>-1。</w:t>
            </w:r>
          </w:p>
          <w:p w14:paraId="6678B71E">
            <w:pPr>
              <w:spacing w:line="360" w:lineRule="auto"/>
              <w:ind w:firstLine="482" w:firstLineChars="200"/>
              <w:jc w:val="center"/>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表</w:t>
            </w:r>
            <w:r>
              <w:rPr>
                <w:rFonts w:hint="eastAsia" w:ascii="Times New Roman" w:hAnsi="Times New Roman" w:eastAsia="宋体" w:cs="Times New Roman"/>
                <w:b/>
                <w:bCs/>
                <w:color w:val="000000"/>
                <w:sz w:val="24"/>
                <w:highlight w:val="none"/>
                <w:lang w:val="en-US" w:eastAsia="zh-CN"/>
              </w:rPr>
              <w:t>4.1</w:t>
            </w:r>
            <w:r>
              <w:rPr>
                <w:rFonts w:hint="default" w:ascii="Times New Roman" w:hAnsi="Times New Roman" w:eastAsia="宋体" w:cs="Times New Roman"/>
                <w:b/>
                <w:bCs/>
                <w:color w:val="000000"/>
                <w:sz w:val="24"/>
                <w:highlight w:val="none"/>
                <w:lang w:val="en-US" w:eastAsia="zh-CN"/>
              </w:rPr>
              <w:t>-1 凹版印刷油墨</w:t>
            </w:r>
            <w:r>
              <w:rPr>
                <w:rFonts w:hint="eastAsia" w:ascii="Times New Roman" w:hAnsi="Times New Roman" w:eastAsia="宋体" w:cs="Times New Roman"/>
                <w:b/>
                <w:bCs/>
                <w:color w:val="000000"/>
                <w:sz w:val="24"/>
                <w:highlight w:val="none"/>
                <w:lang w:val="en-US" w:eastAsia="zh-CN"/>
              </w:rPr>
              <w:t>和稀释剂</w:t>
            </w:r>
            <w:r>
              <w:rPr>
                <w:rFonts w:hint="default" w:ascii="Times New Roman" w:hAnsi="Times New Roman" w:eastAsia="宋体" w:cs="Times New Roman"/>
                <w:b/>
                <w:bCs/>
                <w:color w:val="000000"/>
                <w:sz w:val="24"/>
                <w:highlight w:val="none"/>
                <w:lang w:val="en-US" w:eastAsia="zh-CN"/>
              </w:rPr>
              <w:t>组成一览表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autofit"/>
              <w:tblCellMar>
                <w:top w:w="15" w:type="dxa"/>
                <w:left w:w="15" w:type="dxa"/>
                <w:bottom w:w="15" w:type="dxa"/>
                <w:right w:w="15" w:type="dxa"/>
              </w:tblCellMar>
            </w:tblPr>
            <w:tblGrid>
              <w:gridCol w:w="1028"/>
              <w:gridCol w:w="1243"/>
              <w:gridCol w:w="1972"/>
              <w:gridCol w:w="1163"/>
              <w:gridCol w:w="1576"/>
              <w:gridCol w:w="1552"/>
            </w:tblGrid>
            <w:tr w14:paraId="45121B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15" w:type="dxa"/>
                  <w:left w:w="15" w:type="dxa"/>
                  <w:bottom w:w="15" w:type="dxa"/>
                  <w:right w:w="15" w:type="dxa"/>
                </w:tblCellMar>
              </w:tblPrEx>
              <w:trPr>
                <w:trHeight w:val="397" w:hRule="atLeast"/>
                <w:jc w:val="center"/>
              </w:trPr>
              <w:tc>
                <w:tcPr>
                  <w:tcW w:w="603" w:type="pct"/>
                  <w:tcBorders>
                    <w:bottom w:val="single" w:color="000000" w:sz="12" w:space="0"/>
                  </w:tcBorders>
                  <w:shd w:val="clear" w:color="auto" w:fill="auto"/>
                  <w:noWrap w:val="0"/>
                  <w:tcMar>
                    <w:top w:w="45" w:type="dxa"/>
                    <w:left w:w="75" w:type="dxa"/>
                    <w:bottom w:w="45" w:type="dxa"/>
                    <w:right w:w="75" w:type="dxa"/>
                  </w:tcMar>
                  <w:vAlign w:val="center"/>
                </w:tcPr>
                <w:p w14:paraId="673FB823">
                  <w:pPr>
                    <w:widowControl/>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kern w:val="0"/>
                      <w:sz w:val="21"/>
                      <w:szCs w:val="21"/>
                      <w:lang w:eastAsia="zh-CN" w:bidi="ar"/>
                    </w:rPr>
                    <w:t>化学名称</w:t>
                  </w:r>
                </w:p>
              </w:tc>
              <w:tc>
                <w:tcPr>
                  <w:tcW w:w="728" w:type="pct"/>
                  <w:tcBorders>
                    <w:bottom w:val="single" w:color="000000" w:sz="12" w:space="0"/>
                  </w:tcBorders>
                  <w:shd w:val="clear" w:color="auto" w:fill="auto"/>
                  <w:noWrap w:val="0"/>
                  <w:tcMar>
                    <w:top w:w="45" w:type="dxa"/>
                    <w:left w:w="75" w:type="dxa"/>
                    <w:bottom w:w="45" w:type="dxa"/>
                    <w:right w:w="75" w:type="dxa"/>
                  </w:tcMar>
                  <w:vAlign w:val="center"/>
                </w:tcPr>
                <w:p w14:paraId="1E9E5384">
                  <w:pPr>
                    <w:widowControl/>
                    <w:jc w:val="center"/>
                    <w:rPr>
                      <w:rFonts w:hint="default"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eastAsia="zh-CN"/>
                    </w:rPr>
                    <w:t>年用量（</w:t>
                  </w:r>
                  <w:r>
                    <w:rPr>
                      <w:rFonts w:hint="eastAsia" w:ascii="Times New Roman" w:hAnsi="Times New Roman" w:eastAsia="宋体" w:cs="Times New Roman"/>
                      <w:b w:val="0"/>
                      <w:bCs w:val="0"/>
                      <w:color w:val="000000"/>
                      <w:sz w:val="21"/>
                      <w:szCs w:val="21"/>
                      <w:lang w:val="en-US" w:eastAsia="zh-CN"/>
                    </w:rPr>
                    <w:t>t</w:t>
                  </w:r>
                  <w:r>
                    <w:rPr>
                      <w:rFonts w:hint="eastAsia" w:ascii="Times New Roman" w:hAnsi="Times New Roman" w:eastAsia="宋体" w:cs="Times New Roman"/>
                      <w:b w:val="0"/>
                      <w:bCs w:val="0"/>
                      <w:color w:val="000000"/>
                      <w:sz w:val="21"/>
                      <w:szCs w:val="21"/>
                      <w:lang w:eastAsia="zh-CN"/>
                    </w:rPr>
                    <w:t>）</w:t>
                  </w:r>
                </w:p>
              </w:tc>
              <w:tc>
                <w:tcPr>
                  <w:tcW w:w="1155" w:type="pct"/>
                  <w:tcBorders>
                    <w:bottom w:val="single" w:color="000000" w:sz="12" w:space="0"/>
                  </w:tcBorders>
                  <w:shd w:val="clear" w:color="auto" w:fill="auto"/>
                  <w:noWrap w:val="0"/>
                  <w:tcMar>
                    <w:top w:w="45" w:type="dxa"/>
                    <w:left w:w="75" w:type="dxa"/>
                    <w:bottom w:w="45" w:type="dxa"/>
                    <w:right w:w="75" w:type="dxa"/>
                  </w:tcMar>
                  <w:vAlign w:val="center"/>
                </w:tcPr>
                <w:p w14:paraId="092BE72C">
                  <w:pPr>
                    <w:widowControl/>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成分</w:t>
                  </w:r>
                </w:p>
              </w:tc>
              <w:tc>
                <w:tcPr>
                  <w:tcW w:w="681" w:type="pct"/>
                  <w:tcBorders>
                    <w:bottom w:val="single" w:color="000000" w:sz="12" w:space="0"/>
                  </w:tcBorders>
                  <w:shd w:val="clear" w:color="auto" w:fill="auto"/>
                  <w:noWrap w:val="0"/>
                  <w:tcMar>
                    <w:top w:w="45" w:type="dxa"/>
                    <w:left w:w="75" w:type="dxa"/>
                    <w:bottom w:w="45" w:type="dxa"/>
                    <w:right w:w="75" w:type="dxa"/>
                  </w:tcMar>
                  <w:vAlign w:val="center"/>
                </w:tcPr>
                <w:p w14:paraId="393B54F8">
                  <w:pPr>
                    <w:widowControl/>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含量（</w:t>
                  </w:r>
                  <w:r>
                    <w:rPr>
                      <w:rFonts w:hint="default" w:ascii="Times New Roman" w:hAnsi="Times New Roman" w:eastAsia="宋体" w:cs="Times New Roman"/>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eastAsia="zh-CN"/>
                    </w:rPr>
                    <w:t>）</w:t>
                  </w:r>
                </w:p>
              </w:tc>
              <w:tc>
                <w:tcPr>
                  <w:tcW w:w="922" w:type="pct"/>
                  <w:tcBorders>
                    <w:bottom w:val="single" w:color="000000" w:sz="12" w:space="0"/>
                  </w:tcBorders>
                  <w:shd w:val="clear" w:color="auto" w:fill="auto"/>
                  <w:noWrap w:val="0"/>
                  <w:tcMar>
                    <w:top w:w="45" w:type="dxa"/>
                    <w:left w:w="75" w:type="dxa"/>
                    <w:bottom w:w="45" w:type="dxa"/>
                    <w:right w:w="75" w:type="dxa"/>
                  </w:tcMar>
                  <w:vAlign w:val="center"/>
                </w:tcPr>
                <w:p w14:paraId="067F4572">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挥发分含量（%）</w:t>
                  </w:r>
                </w:p>
              </w:tc>
              <w:tc>
                <w:tcPr>
                  <w:tcW w:w="909" w:type="pct"/>
                  <w:tcBorders>
                    <w:bottom w:val="single" w:color="000000" w:sz="12" w:space="0"/>
                  </w:tcBorders>
                  <w:shd w:val="clear" w:color="auto" w:fill="auto"/>
                  <w:noWrap w:val="0"/>
                  <w:tcMar>
                    <w:top w:w="45" w:type="dxa"/>
                    <w:left w:w="75" w:type="dxa"/>
                    <w:bottom w:w="45" w:type="dxa"/>
                    <w:right w:w="75" w:type="dxa"/>
                  </w:tcMar>
                  <w:vAlign w:val="center"/>
                </w:tcPr>
                <w:p w14:paraId="2E02EEFA">
                  <w:pPr>
                    <w:widowControl/>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产生量小计（t）</w:t>
                  </w:r>
                </w:p>
              </w:tc>
            </w:tr>
            <w:tr w14:paraId="6859BC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402" w:hRule="atLeast"/>
                <w:jc w:val="center"/>
              </w:trPr>
              <w:tc>
                <w:tcPr>
                  <w:tcW w:w="603" w:type="pct"/>
                  <w:vMerge w:val="restart"/>
                  <w:tcBorders>
                    <w:top w:val="single" w:color="000000" w:sz="12" w:space="0"/>
                  </w:tcBorders>
                  <w:shd w:val="clear" w:color="auto" w:fill="auto"/>
                  <w:noWrap w:val="0"/>
                  <w:tcMar>
                    <w:top w:w="45" w:type="dxa"/>
                    <w:left w:w="75" w:type="dxa"/>
                    <w:bottom w:w="45" w:type="dxa"/>
                    <w:right w:w="75" w:type="dxa"/>
                  </w:tcMar>
                  <w:vAlign w:val="center"/>
                </w:tcPr>
                <w:p w14:paraId="11A3FAAC">
                  <w:pPr>
                    <w:widowControl/>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凹版印刷</w:t>
                  </w:r>
                  <w:r>
                    <w:rPr>
                      <w:rFonts w:hint="default" w:ascii="Times New Roman" w:hAnsi="Times New Roman" w:eastAsia="宋体" w:cs="Times New Roman"/>
                      <w:b w:val="0"/>
                      <w:bCs w:val="0"/>
                      <w:color w:val="000000"/>
                      <w:sz w:val="21"/>
                      <w:szCs w:val="21"/>
                      <w:highlight w:val="none"/>
                      <w:lang w:val="en-US" w:eastAsia="zh-CN"/>
                    </w:rPr>
                    <w:t>油墨</w:t>
                  </w:r>
                </w:p>
              </w:tc>
              <w:tc>
                <w:tcPr>
                  <w:tcW w:w="728" w:type="pct"/>
                  <w:vMerge w:val="restart"/>
                  <w:tcBorders>
                    <w:top w:val="single" w:color="000000" w:sz="12" w:space="0"/>
                  </w:tcBorders>
                  <w:shd w:val="clear" w:color="auto" w:fill="auto"/>
                  <w:noWrap w:val="0"/>
                  <w:tcMar>
                    <w:top w:w="45" w:type="dxa"/>
                    <w:left w:w="75" w:type="dxa"/>
                    <w:bottom w:w="45" w:type="dxa"/>
                    <w:right w:w="75" w:type="dxa"/>
                  </w:tcMar>
                  <w:vAlign w:val="center"/>
                </w:tcPr>
                <w:p w14:paraId="613719B8">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3</w:t>
                  </w:r>
                </w:p>
              </w:tc>
              <w:tc>
                <w:tcPr>
                  <w:tcW w:w="1155" w:type="pct"/>
                  <w:tcBorders>
                    <w:top w:val="single" w:color="000000" w:sz="12" w:space="0"/>
                  </w:tcBorders>
                  <w:shd w:val="clear" w:color="auto" w:fill="auto"/>
                  <w:noWrap w:val="0"/>
                  <w:tcMar>
                    <w:top w:w="45" w:type="dxa"/>
                    <w:left w:w="75" w:type="dxa"/>
                    <w:bottom w:w="45" w:type="dxa"/>
                    <w:right w:w="75" w:type="dxa"/>
                  </w:tcMar>
                  <w:vAlign w:val="center"/>
                </w:tcPr>
                <w:p w14:paraId="075947F3">
                  <w:pPr>
                    <w:widowControl/>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eastAsia="zh-CN"/>
                    </w:rPr>
                    <w:t>颜料</w:t>
                  </w:r>
                </w:p>
              </w:tc>
              <w:tc>
                <w:tcPr>
                  <w:tcW w:w="681" w:type="pct"/>
                  <w:tcBorders>
                    <w:top w:val="single" w:color="000000" w:sz="12" w:space="0"/>
                  </w:tcBorders>
                  <w:shd w:val="clear" w:color="auto" w:fill="auto"/>
                  <w:noWrap w:val="0"/>
                  <w:tcMar>
                    <w:top w:w="45" w:type="dxa"/>
                    <w:left w:w="75" w:type="dxa"/>
                    <w:bottom w:w="45" w:type="dxa"/>
                    <w:right w:w="75" w:type="dxa"/>
                  </w:tcMar>
                  <w:vAlign w:val="center"/>
                </w:tcPr>
                <w:p w14:paraId="4E3CE554">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0-35</w:t>
                  </w:r>
                </w:p>
              </w:tc>
              <w:tc>
                <w:tcPr>
                  <w:tcW w:w="922" w:type="pct"/>
                  <w:vMerge w:val="restart"/>
                  <w:tcBorders>
                    <w:top w:val="single" w:color="000000" w:sz="12" w:space="0"/>
                  </w:tcBorders>
                  <w:shd w:val="clear" w:color="auto" w:fill="auto"/>
                  <w:noWrap w:val="0"/>
                  <w:tcMar>
                    <w:top w:w="45" w:type="dxa"/>
                    <w:left w:w="75" w:type="dxa"/>
                    <w:bottom w:w="45" w:type="dxa"/>
                    <w:right w:w="75" w:type="dxa"/>
                  </w:tcMar>
                  <w:vAlign w:val="center"/>
                </w:tcPr>
                <w:p w14:paraId="45827E9C">
                  <w:pPr>
                    <w:widowControl/>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65</w:t>
                  </w:r>
                </w:p>
              </w:tc>
              <w:tc>
                <w:tcPr>
                  <w:tcW w:w="909" w:type="pct"/>
                  <w:vMerge w:val="restart"/>
                  <w:tcBorders>
                    <w:top w:val="single" w:color="000000" w:sz="12" w:space="0"/>
                  </w:tcBorders>
                  <w:shd w:val="clear" w:color="auto" w:fill="auto"/>
                  <w:noWrap w:val="0"/>
                  <w:tcMar>
                    <w:top w:w="45" w:type="dxa"/>
                    <w:left w:w="75" w:type="dxa"/>
                    <w:bottom w:w="45" w:type="dxa"/>
                    <w:right w:w="75" w:type="dxa"/>
                  </w:tcMar>
                  <w:vAlign w:val="center"/>
                </w:tcPr>
                <w:p w14:paraId="4A2C5804">
                  <w:pPr>
                    <w:widowControl/>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1.95</w:t>
                  </w:r>
                </w:p>
              </w:tc>
            </w:tr>
            <w:tr w14:paraId="2BD18ED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15" w:type="dxa"/>
                  <w:left w:w="15" w:type="dxa"/>
                  <w:bottom w:w="15" w:type="dxa"/>
                  <w:right w:w="15" w:type="dxa"/>
                </w:tblCellMar>
              </w:tblPrEx>
              <w:trPr>
                <w:jc w:val="center"/>
              </w:trPr>
              <w:tc>
                <w:tcPr>
                  <w:tcW w:w="603" w:type="pct"/>
                  <w:vMerge w:val="continue"/>
                  <w:shd w:val="clear" w:color="auto" w:fill="auto"/>
                  <w:noWrap w:val="0"/>
                  <w:tcMar>
                    <w:top w:w="45" w:type="dxa"/>
                    <w:left w:w="75" w:type="dxa"/>
                    <w:bottom w:w="45" w:type="dxa"/>
                    <w:right w:w="75" w:type="dxa"/>
                  </w:tcMar>
                  <w:vAlign w:val="center"/>
                </w:tcPr>
                <w:p w14:paraId="4FEAF78B">
                  <w:pPr>
                    <w:widowControl/>
                    <w:jc w:val="center"/>
                    <w:rPr>
                      <w:rFonts w:hint="default" w:ascii="Times New Roman" w:hAnsi="Times New Roman" w:eastAsia="宋体" w:cs="Times New Roman"/>
                      <w:b w:val="0"/>
                      <w:bCs w:val="0"/>
                      <w:color w:val="000000"/>
                      <w:sz w:val="21"/>
                      <w:szCs w:val="21"/>
                      <w:lang w:eastAsia="zh-CN"/>
                    </w:rPr>
                  </w:pPr>
                </w:p>
              </w:tc>
              <w:tc>
                <w:tcPr>
                  <w:tcW w:w="728" w:type="pct"/>
                  <w:vMerge w:val="continue"/>
                  <w:shd w:val="clear" w:color="auto" w:fill="auto"/>
                  <w:noWrap w:val="0"/>
                  <w:tcMar>
                    <w:top w:w="45" w:type="dxa"/>
                    <w:left w:w="75" w:type="dxa"/>
                    <w:bottom w:w="45" w:type="dxa"/>
                    <w:right w:w="75" w:type="dxa"/>
                  </w:tcMar>
                  <w:vAlign w:val="center"/>
                </w:tcPr>
                <w:p w14:paraId="4613BB5C">
                  <w:pPr>
                    <w:widowControl/>
                    <w:jc w:val="center"/>
                    <w:rPr>
                      <w:rFonts w:hint="default" w:ascii="Times New Roman" w:hAnsi="Times New Roman" w:eastAsia="宋体" w:cs="Times New Roman"/>
                      <w:b w:val="0"/>
                      <w:bCs w:val="0"/>
                      <w:color w:val="000000"/>
                      <w:sz w:val="21"/>
                      <w:szCs w:val="21"/>
                      <w:lang w:eastAsia="zh-CN"/>
                    </w:rPr>
                  </w:pPr>
                </w:p>
              </w:tc>
              <w:tc>
                <w:tcPr>
                  <w:tcW w:w="1155" w:type="pct"/>
                  <w:shd w:val="clear" w:color="auto" w:fill="auto"/>
                  <w:noWrap w:val="0"/>
                  <w:tcMar>
                    <w:top w:w="45" w:type="dxa"/>
                    <w:left w:w="75" w:type="dxa"/>
                    <w:bottom w:w="45" w:type="dxa"/>
                    <w:right w:w="75" w:type="dxa"/>
                  </w:tcMar>
                  <w:vAlign w:val="center"/>
                </w:tcPr>
                <w:p w14:paraId="294262C6">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合成</w:t>
                  </w:r>
                  <w:r>
                    <w:rPr>
                      <w:rFonts w:hint="default" w:ascii="Times New Roman" w:hAnsi="Times New Roman" w:eastAsia="宋体" w:cs="Times New Roman"/>
                      <w:b w:val="0"/>
                      <w:bCs w:val="0"/>
                      <w:color w:val="000000"/>
                      <w:sz w:val="21"/>
                      <w:szCs w:val="21"/>
                      <w:lang w:eastAsia="zh-CN"/>
                    </w:rPr>
                    <w:t>树脂</w:t>
                  </w:r>
                </w:p>
              </w:tc>
              <w:tc>
                <w:tcPr>
                  <w:tcW w:w="681" w:type="pct"/>
                  <w:shd w:val="clear" w:color="auto" w:fill="auto"/>
                  <w:noWrap w:val="0"/>
                  <w:tcMar>
                    <w:top w:w="45" w:type="dxa"/>
                    <w:left w:w="75" w:type="dxa"/>
                    <w:bottom w:w="45" w:type="dxa"/>
                    <w:right w:w="75" w:type="dxa"/>
                  </w:tcMar>
                  <w:vAlign w:val="center"/>
                </w:tcPr>
                <w:p w14:paraId="12AAAEA5">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12-22</w:t>
                  </w:r>
                </w:p>
              </w:tc>
              <w:tc>
                <w:tcPr>
                  <w:tcW w:w="922" w:type="pct"/>
                  <w:vMerge w:val="continue"/>
                  <w:shd w:val="clear" w:color="auto" w:fill="auto"/>
                  <w:noWrap w:val="0"/>
                  <w:tcMar>
                    <w:top w:w="45" w:type="dxa"/>
                    <w:left w:w="75" w:type="dxa"/>
                    <w:bottom w:w="45" w:type="dxa"/>
                    <w:right w:w="75" w:type="dxa"/>
                  </w:tcMar>
                  <w:vAlign w:val="center"/>
                </w:tcPr>
                <w:p w14:paraId="7546DBC0">
                  <w:pPr>
                    <w:widowControl/>
                    <w:jc w:val="center"/>
                    <w:rPr>
                      <w:rFonts w:hint="eastAsia" w:ascii="Times New Roman" w:hAnsi="Times New Roman" w:eastAsia="宋体" w:cs="Times New Roman"/>
                      <w:b w:val="0"/>
                      <w:bCs w:val="0"/>
                      <w:color w:val="000000"/>
                      <w:sz w:val="21"/>
                      <w:szCs w:val="21"/>
                      <w:lang w:val="en-US" w:eastAsia="zh-CN"/>
                    </w:rPr>
                  </w:pPr>
                </w:p>
              </w:tc>
              <w:tc>
                <w:tcPr>
                  <w:tcW w:w="909" w:type="pct"/>
                  <w:vMerge w:val="continue"/>
                  <w:shd w:val="clear" w:color="auto" w:fill="auto"/>
                  <w:noWrap w:val="0"/>
                  <w:tcMar>
                    <w:top w:w="45" w:type="dxa"/>
                    <w:left w:w="75" w:type="dxa"/>
                    <w:bottom w:w="45" w:type="dxa"/>
                    <w:right w:w="75" w:type="dxa"/>
                  </w:tcMar>
                  <w:vAlign w:val="center"/>
                </w:tcPr>
                <w:p w14:paraId="452D4FDD">
                  <w:pPr>
                    <w:widowControl/>
                    <w:jc w:val="center"/>
                    <w:rPr>
                      <w:rFonts w:hint="eastAsia" w:ascii="Times New Roman" w:hAnsi="Times New Roman" w:eastAsia="宋体" w:cs="Times New Roman"/>
                      <w:b w:val="0"/>
                      <w:bCs w:val="0"/>
                      <w:color w:val="000000"/>
                      <w:sz w:val="21"/>
                      <w:szCs w:val="21"/>
                      <w:lang w:val="en-US" w:eastAsia="zh-CN"/>
                    </w:rPr>
                  </w:pPr>
                </w:p>
              </w:tc>
            </w:tr>
            <w:tr w14:paraId="50CCF6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jc w:val="center"/>
              </w:trPr>
              <w:tc>
                <w:tcPr>
                  <w:tcW w:w="603" w:type="pct"/>
                  <w:vMerge w:val="continue"/>
                  <w:shd w:val="clear" w:color="auto" w:fill="auto"/>
                  <w:noWrap w:val="0"/>
                  <w:tcMar>
                    <w:top w:w="45" w:type="dxa"/>
                    <w:left w:w="75" w:type="dxa"/>
                    <w:bottom w:w="45" w:type="dxa"/>
                    <w:right w:w="75" w:type="dxa"/>
                  </w:tcMar>
                  <w:vAlign w:val="center"/>
                </w:tcPr>
                <w:p w14:paraId="3E2B08F4">
                  <w:pPr>
                    <w:widowControl/>
                    <w:jc w:val="center"/>
                    <w:rPr>
                      <w:rFonts w:hint="default" w:ascii="Times New Roman" w:hAnsi="Times New Roman" w:eastAsia="宋体" w:cs="Times New Roman"/>
                      <w:b w:val="0"/>
                      <w:bCs w:val="0"/>
                      <w:color w:val="000000"/>
                      <w:sz w:val="21"/>
                      <w:szCs w:val="21"/>
                      <w:lang w:eastAsia="zh-CN"/>
                    </w:rPr>
                  </w:pPr>
                </w:p>
              </w:tc>
              <w:tc>
                <w:tcPr>
                  <w:tcW w:w="728" w:type="pct"/>
                  <w:vMerge w:val="continue"/>
                  <w:shd w:val="clear" w:color="auto" w:fill="auto"/>
                  <w:noWrap w:val="0"/>
                  <w:tcMar>
                    <w:top w:w="45" w:type="dxa"/>
                    <w:left w:w="75" w:type="dxa"/>
                    <w:bottom w:w="45" w:type="dxa"/>
                    <w:right w:w="75" w:type="dxa"/>
                  </w:tcMar>
                  <w:vAlign w:val="center"/>
                </w:tcPr>
                <w:p w14:paraId="0BCE3245">
                  <w:pPr>
                    <w:widowControl/>
                    <w:jc w:val="center"/>
                    <w:rPr>
                      <w:rFonts w:hint="default" w:ascii="Times New Roman" w:hAnsi="Times New Roman" w:eastAsia="宋体" w:cs="Times New Roman"/>
                      <w:b w:val="0"/>
                      <w:bCs w:val="0"/>
                      <w:color w:val="000000"/>
                      <w:sz w:val="21"/>
                      <w:szCs w:val="21"/>
                      <w:lang w:eastAsia="zh-CN"/>
                    </w:rPr>
                  </w:pPr>
                </w:p>
              </w:tc>
              <w:tc>
                <w:tcPr>
                  <w:tcW w:w="1155" w:type="pct"/>
                  <w:shd w:val="clear" w:color="auto" w:fill="auto"/>
                  <w:noWrap w:val="0"/>
                  <w:tcMar>
                    <w:top w:w="45" w:type="dxa"/>
                    <w:left w:w="75" w:type="dxa"/>
                    <w:bottom w:w="45" w:type="dxa"/>
                    <w:right w:w="75" w:type="dxa"/>
                  </w:tcMar>
                  <w:vAlign w:val="center"/>
                </w:tcPr>
                <w:p w14:paraId="0C108C2D">
                  <w:pPr>
                    <w:widowControl/>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eastAsia="zh-CN"/>
                    </w:rPr>
                    <w:t>乙酸乙酯</w:t>
                  </w:r>
                </w:p>
              </w:tc>
              <w:tc>
                <w:tcPr>
                  <w:tcW w:w="681" w:type="pct"/>
                  <w:shd w:val="clear" w:color="auto" w:fill="auto"/>
                  <w:noWrap w:val="0"/>
                  <w:tcMar>
                    <w:top w:w="45" w:type="dxa"/>
                    <w:left w:w="75" w:type="dxa"/>
                    <w:bottom w:w="45" w:type="dxa"/>
                    <w:right w:w="75" w:type="dxa"/>
                  </w:tcMar>
                  <w:vAlign w:val="center"/>
                </w:tcPr>
                <w:p w14:paraId="1DC78BF5">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25-35</w:t>
                  </w:r>
                </w:p>
              </w:tc>
              <w:tc>
                <w:tcPr>
                  <w:tcW w:w="922" w:type="pct"/>
                  <w:vMerge w:val="continue"/>
                  <w:shd w:val="clear" w:color="auto" w:fill="auto"/>
                  <w:noWrap w:val="0"/>
                  <w:tcMar>
                    <w:top w:w="45" w:type="dxa"/>
                    <w:left w:w="75" w:type="dxa"/>
                    <w:bottom w:w="45" w:type="dxa"/>
                    <w:right w:w="75" w:type="dxa"/>
                  </w:tcMar>
                  <w:vAlign w:val="center"/>
                </w:tcPr>
                <w:p w14:paraId="186F3103">
                  <w:pPr>
                    <w:widowControl/>
                    <w:jc w:val="center"/>
                    <w:rPr>
                      <w:rFonts w:hint="eastAsia" w:ascii="Times New Roman" w:hAnsi="Times New Roman" w:eastAsia="宋体" w:cs="Times New Roman"/>
                      <w:b w:val="0"/>
                      <w:bCs w:val="0"/>
                      <w:color w:val="000000"/>
                      <w:sz w:val="21"/>
                      <w:szCs w:val="21"/>
                      <w:lang w:val="en-US" w:eastAsia="zh-CN"/>
                    </w:rPr>
                  </w:pPr>
                </w:p>
              </w:tc>
              <w:tc>
                <w:tcPr>
                  <w:tcW w:w="909" w:type="pct"/>
                  <w:vMerge w:val="continue"/>
                  <w:shd w:val="clear" w:color="auto" w:fill="auto"/>
                  <w:noWrap w:val="0"/>
                  <w:tcMar>
                    <w:top w:w="45" w:type="dxa"/>
                    <w:left w:w="75" w:type="dxa"/>
                    <w:bottom w:w="45" w:type="dxa"/>
                    <w:right w:w="75" w:type="dxa"/>
                  </w:tcMar>
                  <w:vAlign w:val="center"/>
                </w:tcPr>
                <w:p w14:paraId="27E7A359">
                  <w:pPr>
                    <w:widowControl/>
                    <w:jc w:val="center"/>
                    <w:rPr>
                      <w:rFonts w:hint="eastAsia" w:ascii="Times New Roman" w:hAnsi="Times New Roman" w:eastAsia="宋体" w:cs="Times New Roman"/>
                      <w:b w:val="0"/>
                      <w:bCs w:val="0"/>
                      <w:color w:val="000000"/>
                      <w:sz w:val="21"/>
                      <w:szCs w:val="21"/>
                      <w:lang w:val="en-US" w:eastAsia="zh-CN"/>
                    </w:rPr>
                  </w:pPr>
                </w:p>
              </w:tc>
            </w:tr>
            <w:tr w14:paraId="0EB5856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jc w:val="center"/>
              </w:trPr>
              <w:tc>
                <w:tcPr>
                  <w:tcW w:w="603" w:type="pct"/>
                  <w:vMerge w:val="continue"/>
                  <w:shd w:val="clear" w:color="auto" w:fill="auto"/>
                  <w:noWrap w:val="0"/>
                  <w:tcMar>
                    <w:top w:w="45" w:type="dxa"/>
                    <w:left w:w="75" w:type="dxa"/>
                    <w:bottom w:w="45" w:type="dxa"/>
                    <w:right w:w="75" w:type="dxa"/>
                  </w:tcMar>
                  <w:vAlign w:val="center"/>
                </w:tcPr>
                <w:p w14:paraId="0FA5F065">
                  <w:pPr>
                    <w:widowControl/>
                    <w:jc w:val="center"/>
                    <w:rPr>
                      <w:rFonts w:hint="default" w:ascii="Times New Roman" w:hAnsi="Times New Roman" w:eastAsia="宋体" w:cs="Times New Roman"/>
                      <w:b w:val="0"/>
                      <w:bCs w:val="0"/>
                      <w:color w:val="000000"/>
                      <w:sz w:val="21"/>
                      <w:szCs w:val="21"/>
                      <w:lang w:eastAsia="zh-CN"/>
                    </w:rPr>
                  </w:pPr>
                </w:p>
              </w:tc>
              <w:tc>
                <w:tcPr>
                  <w:tcW w:w="728" w:type="pct"/>
                  <w:vMerge w:val="continue"/>
                  <w:shd w:val="clear" w:color="auto" w:fill="auto"/>
                  <w:noWrap w:val="0"/>
                  <w:tcMar>
                    <w:top w:w="45" w:type="dxa"/>
                    <w:left w:w="75" w:type="dxa"/>
                    <w:bottom w:w="45" w:type="dxa"/>
                    <w:right w:w="75" w:type="dxa"/>
                  </w:tcMar>
                  <w:vAlign w:val="center"/>
                </w:tcPr>
                <w:p w14:paraId="1C97B965">
                  <w:pPr>
                    <w:widowControl/>
                    <w:jc w:val="center"/>
                    <w:rPr>
                      <w:rFonts w:hint="default" w:ascii="Times New Roman" w:hAnsi="Times New Roman" w:eastAsia="宋体" w:cs="Times New Roman"/>
                      <w:b w:val="0"/>
                      <w:bCs w:val="0"/>
                      <w:color w:val="000000"/>
                      <w:sz w:val="21"/>
                      <w:szCs w:val="21"/>
                      <w:lang w:eastAsia="zh-CN"/>
                    </w:rPr>
                  </w:pPr>
                </w:p>
              </w:tc>
              <w:tc>
                <w:tcPr>
                  <w:tcW w:w="1155" w:type="pct"/>
                  <w:shd w:val="clear" w:color="auto" w:fill="auto"/>
                  <w:noWrap w:val="0"/>
                  <w:tcMar>
                    <w:top w:w="45" w:type="dxa"/>
                    <w:left w:w="75" w:type="dxa"/>
                    <w:bottom w:w="45" w:type="dxa"/>
                    <w:right w:w="75" w:type="dxa"/>
                  </w:tcMar>
                  <w:vAlign w:val="center"/>
                </w:tcPr>
                <w:p w14:paraId="0B98267F">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醋酸</w:t>
                  </w:r>
                  <w:r>
                    <w:rPr>
                      <w:rFonts w:hint="default" w:ascii="Times New Roman" w:hAnsi="Times New Roman" w:eastAsia="宋体" w:cs="Times New Roman"/>
                      <w:b w:val="0"/>
                      <w:bCs w:val="0"/>
                      <w:color w:val="000000"/>
                      <w:sz w:val="21"/>
                      <w:szCs w:val="21"/>
                      <w:lang w:eastAsia="zh-CN"/>
                    </w:rPr>
                    <w:t>正丙酯</w:t>
                  </w:r>
                </w:p>
              </w:tc>
              <w:tc>
                <w:tcPr>
                  <w:tcW w:w="681" w:type="pct"/>
                  <w:shd w:val="clear" w:color="auto" w:fill="auto"/>
                  <w:noWrap w:val="0"/>
                  <w:tcMar>
                    <w:top w:w="45" w:type="dxa"/>
                    <w:left w:w="75" w:type="dxa"/>
                    <w:bottom w:w="45" w:type="dxa"/>
                    <w:right w:w="75" w:type="dxa"/>
                  </w:tcMar>
                  <w:vAlign w:val="center"/>
                </w:tcPr>
                <w:p w14:paraId="427EF3C9">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25-45</w:t>
                  </w:r>
                </w:p>
              </w:tc>
              <w:tc>
                <w:tcPr>
                  <w:tcW w:w="922" w:type="pct"/>
                  <w:vMerge w:val="continue"/>
                  <w:shd w:val="clear" w:color="auto" w:fill="auto"/>
                  <w:noWrap w:val="0"/>
                  <w:tcMar>
                    <w:top w:w="45" w:type="dxa"/>
                    <w:left w:w="75" w:type="dxa"/>
                    <w:bottom w:w="45" w:type="dxa"/>
                    <w:right w:w="75" w:type="dxa"/>
                  </w:tcMar>
                  <w:vAlign w:val="center"/>
                </w:tcPr>
                <w:p w14:paraId="34F4F40C">
                  <w:pPr>
                    <w:widowControl/>
                    <w:jc w:val="center"/>
                    <w:rPr>
                      <w:rFonts w:hint="eastAsia" w:ascii="Times New Roman" w:hAnsi="Times New Roman" w:eastAsia="宋体" w:cs="Times New Roman"/>
                      <w:b w:val="0"/>
                      <w:bCs w:val="0"/>
                      <w:color w:val="000000"/>
                      <w:sz w:val="21"/>
                      <w:szCs w:val="21"/>
                      <w:lang w:val="en-US" w:eastAsia="zh-CN"/>
                    </w:rPr>
                  </w:pPr>
                </w:p>
              </w:tc>
              <w:tc>
                <w:tcPr>
                  <w:tcW w:w="909" w:type="pct"/>
                  <w:vMerge w:val="continue"/>
                  <w:shd w:val="clear" w:color="auto" w:fill="auto"/>
                  <w:noWrap w:val="0"/>
                  <w:tcMar>
                    <w:top w:w="45" w:type="dxa"/>
                    <w:left w:w="75" w:type="dxa"/>
                    <w:bottom w:w="45" w:type="dxa"/>
                    <w:right w:w="75" w:type="dxa"/>
                  </w:tcMar>
                  <w:vAlign w:val="center"/>
                </w:tcPr>
                <w:p w14:paraId="03A64ED6">
                  <w:pPr>
                    <w:widowControl/>
                    <w:jc w:val="center"/>
                    <w:rPr>
                      <w:rFonts w:hint="eastAsia" w:ascii="Times New Roman" w:hAnsi="Times New Roman" w:eastAsia="宋体" w:cs="Times New Roman"/>
                      <w:b w:val="0"/>
                      <w:bCs w:val="0"/>
                      <w:color w:val="000000"/>
                      <w:sz w:val="21"/>
                      <w:szCs w:val="21"/>
                      <w:lang w:val="en-US" w:eastAsia="zh-CN"/>
                    </w:rPr>
                  </w:pPr>
                </w:p>
              </w:tc>
            </w:tr>
            <w:tr w14:paraId="27F56D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jc w:val="center"/>
              </w:trPr>
              <w:tc>
                <w:tcPr>
                  <w:tcW w:w="603" w:type="pct"/>
                  <w:vMerge w:val="continue"/>
                  <w:shd w:val="clear" w:color="auto" w:fill="auto"/>
                  <w:noWrap w:val="0"/>
                  <w:tcMar>
                    <w:top w:w="45" w:type="dxa"/>
                    <w:left w:w="75" w:type="dxa"/>
                    <w:bottom w:w="45" w:type="dxa"/>
                    <w:right w:w="75" w:type="dxa"/>
                  </w:tcMar>
                  <w:vAlign w:val="center"/>
                </w:tcPr>
                <w:p w14:paraId="2CBEFD18">
                  <w:pPr>
                    <w:widowControl/>
                    <w:jc w:val="center"/>
                    <w:rPr>
                      <w:rFonts w:hint="default" w:ascii="Times New Roman" w:hAnsi="Times New Roman" w:eastAsia="宋体" w:cs="Times New Roman"/>
                      <w:b w:val="0"/>
                      <w:bCs w:val="0"/>
                      <w:color w:val="000000"/>
                      <w:sz w:val="21"/>
                      <w:szCs w:val="21"/>
                      <w:lang w:eastAsia="zh-CN"/>
                    </w:rPr>
                  </w:pPr>
                </w:p>
              </w:tc>
              <w:tc>
                <w:tcPr>
                  <w:tcW w:w="728" w:type="pct"/>
                  <w:vMerge w:val="continue"/>
                  <w:shd w:val="clear" w:color="auto" w:fill="auto"/>
                  <w:noWrap w:val="0"/>
                  <w:tcMar>
                    <w:top w:w="45" w:type="dxa"/>
                    <w:left w:w="75" w:type="dxa"/>
                    <w:bottom w:w="45" w:type="dxa"/>
                    <w:right w:w="75" w:type="dxa"/>
                  </w:tcMar>
                  <w:vAlign w:val="center"/>
                </w:tcPr>
                <w:p w14:paraId="1C35FD9A">
                  <w:pPr>
                    <w:widowControl/>
                    <w:jc w:val="center"/>
                    <w:rPr>
                      <w:rFonts w:hint="default" w:ascii="Times New Roman" w:hAnsi="Times New Roman" w:eastAsia="宋体" w:cs="Times New Roman"/>
                      <w:b w:val="0"/>
                      <w:bCs w:val="0"/>
                      <w:color w:val="000000"/>
                      <w:sz w:val="21"/>
                      <w:szCs w:val="21"/>
                      <w:lang w:eastAsia="zh-CN"/>
                    </w:rPr>
                  </w:pPr>
                </w:p>
              </w:tc>
              <w:tc>
                <w:tcPr>
                  <w:tcW w:w="1155" w:type="pct"/>
                  <w:shd w:val="clear" w:color="auto" w:fill="auto"/>
                  <w:noWrap w:val="0"/>
                  <w:tcMar>
                    <w:top w:w="45" w:type="dxa"/>
                    <w:left w:w="75" w:type="dxa"/>
                    <w:bottom w:w="45" w:type="dxa"/>
                    <w:right w:w="75" w:type="dxa"/>
                  </w:tcMar>
                  <w:vAlign w:val="center"/>
                </w:tcPr>
                <w:p w14:paraId="5EA24847">
                  <w:pPr>
                    <w:widowControl/>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eastAsia="zh-CN"/>
                    </w:rPr>
                    <w:t>异丙醇</w:t>
                  </w:r>
                </w:p>
              </w:tc>
              <w:tc>
                <w:tcPr>
                  <w:tcW w:w="681" w:type="pct"/>
                  <w:shd w:val="clear" w:color="auto" w:fill="auto"/>
                  <w:noWrap w:val="0"/>
                  <w:tcMar>
                    <w:top w:w="45" w:type="dxa"/>
                    <w:left w:w="75" w:type="dxa"/>
                    <w:bottom w:w="45" w:type="dxa"/>
                    <w:right w:w="75" w:type="dxa"/>
                  </w:tcMar>
                  <w:vAlign w:val="center"/>
                </w:tcPr>
                <w:p w14:paraId="29E6415D">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5-15</w:t>
                  </w:r>
                </w:p>
              </w:tc>
              <w:tc>
                <w:tcPr>
                  <w:tcW w:w="922" w:type="pct"/>
                  <w:vMerge w:val="continue"/>
                  <w:shd w:val="clear" w:color="auto" w:fill="auto"/>
                  <w:noWrap w:val="0"/>
                  <w:tcMar>
                    <w:top w:w="45" w:type="dxa"/>
                    <w:left w:w="75" w:type="dxa"/>
                    <w:bottom w:w="45" w:type="dxa"/>
                    <w:right w:w="75" w:type="dxa"/>
                  </w:tcMar>
                  <w:vAlign w:val="center"/>
                </w:tcPr>
                <w:p w14:paraId="6EC246C7">
                  <w:pPr>
                    <w:widowControl/>
                    <w:jc w:val="center"/>
                    <w:rPr>
                      <w:rFonts w:hint="eastAsia" w:ascii="Times New Roman" w:hAnsi="Times New Roman" w:eastAsia="宋体" w:cs="Times New Roman"/>
                      <w:b w:val="0"/>
                      <w:bCs w:val="0"/>
                      <w:color w:val="000000"/>
                      <w:sz w:val="21"/>
                      <w:szCs w:val="21"/>
                      <w:lang w:val="en-US" w:eastAsia="zh-CN"/>
                    </w:rPr>
                  </w:pPr>
                </w:p>
              </w:tc>
              <w:tc>
                <w:tcPr>
                  <w:tcW w:w="909" w:type="pct"/>
                  <w:vMerge w:val="continue"/>
                  <w:shd w:val="clear" w:color="auto" w:fill="auto"/>
                  <w:noWrap w:val="0"/>
                  <w:tcMar>
                    <w:top w:w="45" w:type="dxa"/>
                    <w:left w:w="75" w:type="dxa"/>
                    <w:bottom w:w="45" w:type="dxa"/>
                    <w:right w:w="75" w:type="dxa"/>
                  </w:tcMar>
                  <w:vAlign w:val="center"/>
                </w:tcPr>
                <w:p w14:paraId="5F06ED1D">
                  <w:pPr>
                    <w:widowControl/>
                    <w:jc w:val="center"/>
                    <w:rPr>
                      <w:rFonts w:hint="eastAsia" w:ascii="Times New Roman" w:hAnsi="Times New Roman" w:eastAsia="宋体" w:cs="Times New Roman"/>
                      <w:b w:val="0"/>
                      <w:bCs w:val="0"/>
                      <w:color w:val="000000"/>
                      <w:sz w:val="21"/>
                      <w:szCs w:val="21"/>
                      <w:lang w:val="en-US" w:eastAsia="zh-CN"/>
                    </w:rPr>
                  </w:pPr>
                </w:p>
              </w:tc>
            </w:tr>
            <w:tr w14:paraId="6278D8C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15" w:type="dxa"/>
                  <w:left w:w="15" w:type="dxa"/>
                  <w:bottom w:w="15" w:type="dxa"/>
                  <w:right w:w="15" w:type="dxa"/>
                </w:tblCellMar>
              </w:tblPrEx>
              <w:trPr>
                <w:jc w:val="center"/>
              </w:trPr>
              <w:tc>
                <w:tcPr>
                  <w:tcW w:w="603" w:type="pct"/>
                  <w:vMerge w:val="continue"/>
                  <w:shd w:val="clear" w:color="auto" w:fill="auto"/>
                  <w:noWrap w:val="0"/>
                  <w:tcMar>
                    <w:top w:w="45" w:type="dxa"/>
                    <w:left w:w="75" w:type="dxa"/>
                    <w:bottom w:w="45" w:type="dxa"/>
                    <w:right w:w="75" w:type="dxa"/>
                  </w:tcMar>
                  <w:vAlign w:val="center"/>
                </w:tcPr>
                <w:p w14:paraId="77C3230A">
                  <w:pPr>
                    <w:widowControl/>
                    <w:jc w:val="center"/>
                    <w:rPr>
                      <w:rFonts w:hint="default" w:ascii="Times New Roman" w:hAnsi="Times New Roman" w:eastAsia="宋体" w:cs="Times New Roman"/>
                      <w:b w:val="0"/>
                      <w:bCs w:val="0"/>
                      <w:color w:val="000000"/>
                      <w:sz w:val="21"/>
                      <w:szCs w:val="21"/>
                      <w:lang w:eastAsia="zh-CN"/>
                    </w:rPr>
                  </w:pPr>
                </w:p>
              </w:tc>
              <w:tc>
                <w:tcPr>
                  <w:tcW w:w="728" w:type="pct"/>
                  <w:vMerge w:val="continue"/>
                  <w:shd w:val="clear" w:color="auto" w:fill="auto"/>
                  <w:noWrap w:val="0"/>
                  <w:tcMar>
                    <w:top w:w="45" w:type="dxa"/>
                    <w:left w:w="75" w:type="dxa"/>
                    <w:bottom w:w="45" w:type="dxa"/>
                    <w:right w:w="75" w:type="dxa"/>
                  </w:tcMar>
                  <w:vAlign w:val="center"/>
                </w:tcPr>
                <w:p w14:paraId="00E28816">
                  <w:pPr>
                    <w:widowControl/>
                    <w:jc w:val="center"/>
                    <w:rPr>
                      <w:rFonts w:hint="default" w:ascii="Times New Roman" w:hAnsi="Times New Roman" w:eastAsia="宋体" w:cs="Times New Roman"/>
                      <w:b w:val="0"/>
                      <w:bCs w:val="0"/>
                      <w:color w:val="000000"/>
                      <w:sz w:val="21"/>
                      <w:szCs w:val="21"/>
                      <w:lang w:eastAsia="zh-CN"/>
                    </w:rPr>
                  </w:pPr>
                </w:p>
              </w:tc>
              <w:tc>
                <w:tcPr>
                  <w:tcW w:w="1155" w:type="pct"/>
                  <w:shd w:val="clear" w:color="auto" w:fill="auto"/>
                  <w:noWrap w:val="0"/>
                  <w:tcMar>
                    <w:top w:w="45" w:type="dxa"/>
                    <w:left w:w="75" w:type="dxa"/>
                    <w:bottom w:w="45" w:type="dxa"/>
                    <w:right w:w="75" w:type="dxa"/>
                  </w:tcMar>
                  <w:vAlign w:val="center"/>
                </w:tcPr>
                <w:p w14:paraId="176618FD">
                  <w:pPr>
                    <w:widowControl/>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eastAsia="zh-CN"/>
                    </w:rPr>
                    <w:t>其他</w:t>
                  </w:r>
                </w:p>
              </w:tc>
              <w:tc>
                <w:tcPr>
                  <w:tcW w:w="681" w:type="pct"/>
                  <w:shd w:val="clear" w:color="auto" w:fill="auto"/>
                  <w:noWrap w:val="0"/>
                  <w:tcMar>
                    <w:top w:w="45" w:type="dxa"/>
                    <w:left w:w="75" w:type="dxa"/>
                    <w:bottom w:w="45" w:type="dxa"/>
                    <w:right w:w="75" w:type="dxa"/>
                  </w:tcMar>
                  <w:vAlign w:val="center"/>
                </w:tcPr>
                <w:p w14:paraId="20770B8A">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5-10</w:t>
                  </w:r>
                </w:p>
              </w:tc>
              <w:tc>
                <w:tcPr>
                  <w:tcW w:w="922" w:type="pct"/>
                  <w:vMerge w:val="continue"/>
                  <w:shd w:val="clear" w:color="auto" w:fill="auto"/>
                  <w:noWrap w:val="0"/>
                  <w:tcMar>
                    <w:top w:w="45" w:type="dxa"/>
                    <w:left w:w="75" w:type="dxa"/>
                    <w:bottom w:w="45" w:type="dxa"/>
                    <w:right w:w="75" w:type="dxa"/>
                  </w:tcMar>
                  <w:vAlign w:val="center"/>
                </w:tcPr>
                <w:p w14:paraId="41F4A7D1">
                  <w:pPr>
                    <w:widowControl/>
                    <w:jc w:val="center"/>
                    <w:rPr>
                      <w:rFonts w:hint="eastAsia" w:ascii="Times New Roman" w:hAnsi="Times New Roman" w:eastAsia="宋体" w:cs="Times New Roman"/>
                      <w:b w:val="0"/>
                      <w:bCs w:val="0"/>
                      <w:color w:val="000000"/>
                      <w:sz w:val="21"/>
                      <w:szCs w:val="21"/>
                      <w:lang w:val="en-US" w:eastAsia="zh-CN"/>
                    </w:rPr>
                  </w:pPr>
                </w:p>
              </w:tc>
              <w:tc>
                <w:tcPr>
                  <w:tcW w:w="909" w:type="pct"/>
                  <w:vMerge w:val="continue"/>
                  <w:shd w:val="clear" w:color="auto" w:fill="auto"/>
                  <w:noWrap w:val="0"/>
                  <w:tcMar>
                    <w:top w:w="45" w:type="dxa"/>
                    <w:left w:w="75" w:type="dxa"/>
                    <w:bottom w:w="45" w:type="dxa"/>
                    <w:right w:w="75" w:type="dxa"/>
                  </w:tcMar>
                  <w:vAlign w:val="center"/>
                </w:tcPr>
                <w:p w14:paraId="1332B6E4">
                  <w:pPr>
                    <w:widowControl/>
                    <w:jc w:val="center"/>
                    <w:rPr>
                      <w:rFonts w:hint="eastAsia" w:ascii="Times New Roman" w:hAnsi="Times New Roman" w:eastAsia="宋体" w:cs="Times New Roman"/>
                      <w:b w:val="0"/>
                      <w:bCs w:val="0"/>
                      <w:color w:val="000000"/>
                      <w:sz w:val="21"/>
                      <w:szCs w:val="21"/>
                      <w:lang w:val="en-US" w:eastAsia="zh-CN"/>
                    </w:rPr>
                  </w:pPr>
                </w:p>
              </w:tc>
            </w:tr>
            <w:tr w14:paraId="3659F90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15" w:type="dxa"/>
                  <w:left w:w="15" w:type="dxa"/>
                  <w:bottom w:w="15" w:type="dxa"/>
                  <w:right w:w="15" w:type="dxa"/>
                </w:tblCellMar>
              </w:tblPrEx>
              <w:trPr>
                <w:jc w:val="center"/>
              </w:trPr>
              <w:tc>
                <w:tcPr>
                  <w:tcW w:w="603" w:type="pct"/>
                  <w:shd w:val="clear" w:color="auto" w:fill="auto"/>
                  <w:noWrap w:val="0"/>
                  <w:tcMar>
                    <w:top w:w="45" w:type="dxa"/>
                    <w:left w:w="75" w:type="dxa"/>
                    <w:bottom w:w="45" w:type="dxa"/>
                    <w:right w:w="75" w:type="dxa"/>
                  </w:tcMar>
                  <w:vAlign w:val="center"/>
                </w:tcPr>
                <w:p w14:paraId="5D8D8317">
                  <w:pPr>
                    <w:widowControl/>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highlight w:val="none"/>
                      <w:lang w:val="en-US" w:eastAsia="zh-CN"/>
                    </w:rPr>
                    <w:t>稀释剂</w:t>
                  </w:r>
                </w:p>
              </w:tc>
              <w:tc>
                <w:tcPr>
                  <w:tcW w:w="728" w:type="pct"/>
                  <w:shd w:val="clear" w:color="auto" w:fill="auto"/>
                  <w:noWrap w:val="0"/>
                  <w:tcMar>
                    <w:top w:w="45" w:type="dxa"/>
                    <w:left w:w="75" w:type="dxa"/>
                    <w:bottom w:w="45" w:type="dxa"/>
                    <w:right w:w="75" w:type="dxa"/>
                  </w:tcMar>
                  <w:vAlign w:val="center"/>
                </w:tcPr>
                <w:p w14:paraId="47FD6E36">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3.2</w:t>
                  </w:r>
                </w:p>
              </w:tc>
              <w:tc>
                <w:tcPr>
                  <w:tcW w:w="1155" w:type="pct"/>
                  <w:shd w:val="clear" w:color="auto" w:fill="auto"/>
                  <w:noWrap w:val="0"/>
                  <w:tcMar>
                    <w:top w:w="45" w:type="dxa"/>
                    <w:left w:w="75" w:type="dxa"/>
                    <w:bottom w:w="45" w:type="dxa"/>
                    <w:right w:w="75" w:type="dxa"/>
                  </w:tcMar>
                  <w:vAlign w:val="center"/>
                </w:tcPr>
                <w:p w14:paraId="31F3058A">
                  <w:pPr>
                    <w:widowControl/>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异丙醇、乙酸乙酯、乙酸正丁酯、乙酸正丙醇</w:t>
                  </w:r>
                </w:p>
              </w:tc>
              <w:tc>
                <w:tcPr>
                  <w:tcW w:w="681" w:type="pct"/>
                  <w:shd w:val="clear" w:color="auto" w:fill="auto"/>
                  <w:noWrap w:val="0"/>
                  <w:tcMar>
                    <w:top w:w="45" w:type="dxa"/>
                    <w:left w:w="75" w:type="dxa"/>
                    <w:bottom w:w="45" w:type="dxa"/>
                    <w:right w:w="75" w:type="dxa"/>
                  </w:tcMar>
                  <w:vAlign w:val="center"/>
                </w:tcPr>
                <w:p w14:paraId="13C80676">
                  <w:pPr>
                    <w:widowControl/>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100</w:t>
                  </w:r>
                </w:p>
              </w:tc>
              <w:tc>
                <w:tcPr>
                  <w:tcW w:w="922" w:type="pct"/>
                  <w:shd w:val="clear" w:color="auto" w:fill="auto"/>
                  <w:noWrap w:val="0"/>
                  <w:tcMar>
                    <w:top w:w="45" w:type="dxa"/>
                    <w:left w:w="75" w:type="dxa"/>
                    <w:bottom w:w="45" w:type="dxa"/>
                    <w:right w:w="75" w:type="dxa"/>
                  </w:tcMar>
                  <w:vAlign w:val="center"/>
                </w:tcPr>
                <w:p w14:paraId="26F89B2E">
                  <w:pPr>
                    <w:widowControl/>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100</w:t>
                  </w:r>
                </w:p>
              </w:tc>
              <w:tc>
                <w:tcPr>
                  <w:tcW w:w="909" w:type="pct"/>
                  <w:shd w:val="clear" w:color="auto" w:fill="auto"/>
                  <w:noWrap w:val="0"/>
                  <w:tcMar>
                    <w:top w:w="45" w:type="dxa"/>
                    <w:left w:w="75" w:type="dxa"/>
                    <w:bottom w:w="45" w:type="dxa"/>
                    <w:right w:w="75" w:type="dxa"/>
                  </w:tcMar>
                  <w:vAlign w:val="center"/>
                </w:tcPr>
                <w:p w14:paraId="5621A57B">
                  <w:pPr>
                    <w:widowControl/>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3.2</w:t>
                  </w:r>
                </w:p>
              </w:tc>
            </w:tr>
            <w:tr w14:paraId="285B0E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jc w:val="center"/>
              </w:trPr>
              <w:tc>
                <w:tcPr>
                  <w:tcW w:w="4090" w:type="pct"/>
                  <w:gridSpan w:val="5"/>
                  <w:shd w:val="clear" w:color="auto" w:fill="auto"/>
                  <w:noWrap w:val="0"/>
                  <w:tcMar>
                    <w:top w:w="45" w:type="dxa"/>
                    <w:left w:w="75" w:type="dxa"/>
                    <w:bottom w:w="45" w:type="dxa"/>
                    <w:right w:w="75" w:type="dxa"/>
                  </w:tcMar>
                  <w:vAlign w:val="center"/>
                </w:tcPr>
                <w:p w14:paraId="1AD8C033">
                  <w:pPr>
                    <w:widowControl/>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总计</w:t>
                  </w:r>
                </w:p>
              </w:tc>
              <w:tc>
                <w:tcPr>
                  <w:tcW w:w="909" w:type="pct"/>
                  <w:shd w:val="clear" w:color="auto" w:fill="auto"/>
                  <w:noWrap w:val="0"/>
                  <w:tcMar>
                    <w:top w:w="45" w:type="dxa"/>
                    <w:left w:w="75" w:type="dxa"/>
                    <w:bottom w:w="45" w:type="dxa"/>
                    <w:right w:w="75" w:type="dxa"/>
                  </w:tcMar>
                  <w:vAlign w:val="center"/>
                </w:tcPr>
                <w:p w14:paraId="04F5CE5C">
                  <w:pPr>
                    <w:widowControl/>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5.15</w:t>
                  </w:r>
                </w:p>
              </w:tc>
            </w:tr>
          </w:tbl>
          <w:p w14:paraId="29AB2B11">
            <w:pPr>
              <w:adjustRightInd w:val="0"/>
              <w:snapToGrid w:val="0"/>
              <w:spacing w:line="360" w:lineRule="auto"/>
              <w:ind w:firstLine="480" w:firstLineChars="200"/>
              <w:rPr>
                <w:rFonts w:hint="default"/>
                <w:bCs/>
                <w:color w:val="auto"/>
                <w:sz w:val="24"/>
                <w:lang w:val="en-US" w:eastAsia="zh-CN"/>
              </w:rPr>
            </w:pPr>
          </w:p>
          <w:p w14:paraId="46F06290">
            <w:pPr>
              <w:adjustRightInd w:val="0"/>
              <w:snapToGrid w:val="0"/>
              <w:spacing w:line="360" w:lineRule="auto"/>
              <w:ind w:firstLine="480" w:firstLineChars="200"/>
              <w:rPr>
                <w:rFonts w:hint="default" w:eastAsia="宋体"/>
                <w:color w:val="auto"/>
                <w:sz w:val="24"/>
                <w:szCs w:val="24"/>
                <w:lang w:val="en-US" w:eastAsia="zh-CN"/>
              </w:rPr>
            </w:pPr>
            <w:r>
              <w:rPr>
                <w:rFonts w:hint="eastAsia" w:cs="Times New Roman"/>
                <w:color w:val="auto"/>
                <w:kern w:val="0"/>
                <w:sz w:val="24"/>
                <w:szCs w:val="24"/>
                <w:lang w:val="en-US" w:eastAsia="zh-CN" w:bidi="ar-SA"/>
              </w:rPr>
              <w:t>印刷过程产生有机废气（以非甲烷总烃表征）产生，经上表计算可得印刷废气中非甲烷总烃的产生量为5.15t/a。项目拟采用集气罩进行收集印刷废气，印刷车间密闭；</w:t>
            </w:r>
            <w:r>
              <w:rPr>
                <w:rFonts w:hint="eastAsia"/>
                <w:color w:val="auto"/>
                <w:sz w:val="24"/>
                <w:szCs w:val="24"/>
              </w:rPr>
              <w:t>根据《主要污染物总量减排核算技术指南（</w:t>
            </w:r>
            <w:r>
              <w:rPr>
                <w:color w:val="auto"/>
                <w:sz w:val="24"/>
                <w:szCs w:val="24"/>
              </w:rPr>
              <w:t xml:space="preserve">2022 </w:t>
            </w:r>
            <w:r>
              <w:rPr>
                <w:rFonts w:hint="eastAsia"/>
                <w:color w:val="auto"/>
                <w:sz w:val="24"/>
                <w:szCs w:val="24"/>
              </w:rPr>
              <w:t>年修订）》中表</w:t>
            </w:r>
            <w:r>
              <w:rPr>
                <w:color w:val="auto"/>
                <w:sz w:val="24"/>
                <w:szCs w:val="24"/>
              </w:rPr>
              <w:t>2-3</w:t>
            </w:r>
            <w:r>
              <w:rPr>
                <w:rFonts w:hint="eastAsia"/>
                <w:color w:val="auto"/>
                <w:sz w:val="24"/>
                <w:szCs w:val="24"/>
              </w:rPr>
              <w:t>废气收集效率通用系数，项目拟密闭车间，设置</w:t>
            </w:r>
            <w:r>
              <w:rPr>
                <w:rFonts w:hint="eastAsia"/>
                <w:color w:val="auto"/>
                <w:sz w:val="24"/>
                <w:szCs w:val="24"/>
                <w:lang w:val="en-US" w:eastAsia="zh-CN"/>
              </w:rPr>
              <w:t>集气罩收集</w:t>
            </w:r>
            <w:r>
              <w:rPr>
                <w:rFonts w:hint="eastAsia"/>
                <w:color w:val="auto"/>
                <w:sz w:val="24"/>
                <w:szCs w:val="24"/>
              </w:rPr>
              <w:t>，设施集气效率为</w:t>
            </w:r>
            <w:r>
              <w:rPr>
                <w:rFonts w:hint="eastAsia"/>
                <w:color w:val="auto"/>
                <w:sz w:val="24"/>
                <w:szCs w:val="24"/>
                <w:lang w:val="en-US" w:eastAsia="zh-CN"/>
              </w:rPr>
              <w:t>9</w:t>
            </w:r>
            <w:r>
              <w:rPr>
                <w:color w:val="auto"/>
                <w:sz w:val="24"/>
                <w:szCs w:val="24"/>
              </w:rPr>
              <w:t>0%</w:t>
            </w:r>
            <w:r>
              <w:rPr>
                <w:rFonts w:hint="eastAsia"/>
                <w:color w:val="auto"/>
                <w:sz w:val="24"/>
                <w:szCs w:val="24"/>
              </w:rPr>
              <w:t>。</w:t>
            </w:r>
            <w:r>
              <w:rPr>
                <w:rFonts w:hint="eastAsia"/>
                <w:color w:val="auto"/>
                <w:sz w:val="24"/>
                <w:szCs w:val="24"/>
                <w:lang w:val="en-US" w:eastAsia="zh-CN"/>
              </w:rPr>
              <w:t>印刷废气拟采用集气罩+二级活性炭吸附+15m排气筒排放（DA001），</w:t>
            </w: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主要污染物总量减排核算技术指南（2022年修订）〉</w:t>
            </w:r>
            <w:bookmarkStart w:id="145" w:name="_GoBack"/>
            <w:bookmarkEnd w:id="145"/>
            <w:r>
              <w:rPr>
                <w:rFonts w:hint="eastAsia" w:ascii="Times New Roman" w:hAnsi="Times New Roman" w:eastAsia="宋体" w:cs="Times New Roman"/>
                <w:color w:val="auto"/>
                <w:sz w:val="24"/>
                <w:szCs w:val="24"/>
                <w:lang w:val="en-US" w:eastAsia="zh-CN"/>
              </w:rPr>
              <w:t>的通知</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〔2022〕350号</w:t>
            </w:r>
            <w:r>
              <w:rPr>
                <w:rFonts w:hint="eastAsia" w:ascii="Times New Roman" w:hAnsi="Times New Roman" w:eastAsia="宋体" w:cs="Times New Roman"/>
                <w:color w:val="auto"/>
                <w:sz w:val="24"/>
                <w:szCs w:val="24"/>
                <w:lang w:val="en-US" w:eastAsia="zh-CN"/>
              </w:rPr>
              <w:t>中规定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一次性活性炭的吸附效率50%。采用二级活性炭吸附效率为1-（1-50%）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（1-50%）=75%。因此本项目活性炭</w:t>
            </w:r>
            <w:r>
              <w:rPr>
                <w:rFonts w:hint="eastAsia" w:ascii="Times New Roman" w:hAnsi="Times New Roman" w:eastAsia="宋体" w:cs="Times New Roman"/>
                <w:color w:val="auto"/>
                <w:sz w:val="24"/>
                <w:szCs w:val="24"/>
                <w:highlight w:val="none"/>
                <w:lang w:val="en-US" w:eastAsia="zh-CN"/>
              </w:rPr>
              <w:t>处理效率以75%计</w:t>
            </w:r>
            <w:r>
              <w:rPr>
                <w:rFonts w:hint="eastAsia" w:eastAsia="宋体" w:cs="Times New Roman"/>
                <w:color w:val="auto"/>
                <w:sz w:val="24"/>
                <w:szCs w:val="24"/>
                <w:highlight w:val="none"/>
                <w:lang w:val="en-US" w:eastAsia="zh-CN"/>
              </w:rPr>
              <w:t>，则本项目印刷废气非甲烷总烃（VOCs）有组织排放量为</w:t>
            </w:r>
            <w:r>
              <w:rPr>
                <w:rFonts w:hint="eastAsia" w:cs="Times New Roman"/>
                <w:color w:val="auto"/>
                <w:sz w:val="24"/>
                <w:szCs w:val="24"/>
                <w:highlight w:val="none"/>
                <w:lang w:val="en-US" w:eastAsia="zh-CN"/>
              </w:rPr>
              <w:t>1.1588</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无组织排放量为</w:t>
            </w:r>
            <w:r>
              <w:rPr>
                <w:rFonts w:hint="eastAsia" w:cs="Times New Roman"/>
                <w:color w:val="auto"/>
                <w:sz w:val="24"/>
                <w:szCs w:val="24"/>
                <w:highlight w:val="none"/>
                <w:lang w:val="en-US" w:eastAsia="zh-CN"/>
              </w:rPr>
              <w:t>0.515</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p>
          <w:p w14:paraId="78C070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（2）</w:t>
            </w:r>
            <w:r>
              <w:rPr>
                <w:rFonts w:hint="eastAsia" w:cs="Times New Roman"/>
                <w:color w:val="262626"/>
                <w:kern w:val="0"/>
                <w:sz w:val="24"/>
                <w:szCs w:val="24"/>
                <w:lang w:val="en-US" w:eastAsia="zh-CN" w:bidi="ar-SA"/>
              </w:rPr>
              <w:t>复合/熟化废气</w:t>
            </w:r>
          </w:p>
          <w:p w14:paraId="3180EFAE">
            <w:pPr>
              <w:pStyle w:val="19"/>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根据建设单位提供的资料，</w:t>
            </w:r>
            <w:r>
              <w:rPr>
                <w:rFonts w:hint="default" w:ascii="Times New Roman" w:hAnsi="Times New Roman" w:eastAsia="宋体" w:cs="Times New Roman"/>
                <w:b w:val="0"/>
                <w:bCs w:val="0"/>
                <w:color w:val="000000"/>
                <w:kern w:val="2"/>
                <w:sz w:val="24"/>
                <w:szCs w:val="24"/>
                <w:highlight w:val="none"/>
                <w:lang w:val="en-US" w:eastAsia="zh-CN" w:bidi="ar-SA"/>
              </w:rPr>
              <w:t>项目复合</w:t>
            </w:r>
            <w:r>
              <w:rPr>
                <w:rFonts w:hint="eastAsia" w:ascii="Times New Roman" w:hAnsi="Times New Roman" w:eastAsia="宋体" w:cs="Times New Roman"/>
                <w:b w:val="0"/>
                <w:bCs w:val="0"/>
                <w:color w:val="000000"/>
                <w:kern w:val="2"/>
                <w:sz w:val="24"/>
                <w:szCs w:val="24"/>
                <w:highlight w:val="none"/>
                <w:lang w:val="en-US" w:eastAsia="zh-CN" w:bidi="ar-SA"/>
              </w:rPr>
              <w:t>、熟化</w:t>
            </w:r>
            <w:r>
              <w:rPr>
                <w:rFonts w:hint="default" w:ascii="Times New Roman" w:hAnsi="Times New Roman" w:eastAsia="宋体" w:cs="Times New Roman"/>
                <w:b w:val="0"/>
                <w:bCs w:val="0"/>
                <w:color w:val="000000"/>
                <w:kern w:val="2"/>
                <w:sz w:val="24"/>
                <w:szCs w:val="24"/>
                <w:highlight w:val="none"/>
                <w:lang w:val="en-US" w:eastAsia="zh-CN" w:bidi="ar-SA"/>
              </w:rPr>
              <w:t>过程中使用胶水，主要成分为</w:t>
            </w:r>
            <w:r>
              <w:rPr>
                <w:rFonts w:hint="eastAsia" w:cs="Times New Roman"/>
                <w:b w:val="0"/>
                <w:bCs w:val="0"/>
                <w:color w:val="000000"/>
                <w:kern w:val="2"/>
                <w:sz w:val="24"/>
                <w:szCs w:val="24"/>
                <w:highlight w:val="none"/>
                <w:lang w:val="en-US" w:eastAsia="zh-CN" w:bidi="ar-SA"/>
              </w:rPr>
              <w:t>乙酸乙酯</w:t>
            </w:r>
            <w:r>
              <w:rPr>
                <w:rFonts w:hint="default" w:ascii="Times New Roman" w:hAnsi="Times New Roman" w:eastAsia="宋体" w:cs="Times New Roman"/>
                <w:b w:val="0"/>
                <w:bCs w:val="0"/>
                <w:color w:val="000000"/>
                <w:kern w:val="2"/>
                <w:sz w:val="24"/>
                <w:szCs w:val="24"/>
                <w:highlight w:val="none"/>
                <w:lang w:val="en-US" w:eastAsia="zh-CN" w:bidi="ar-SA"/>
              </w:rPr>
              <w:t>及固化剂组成，固含量约</w:t>
            </w:r>
            <w:r>
              <w:rPr>
                <w:rFonts w:hint="eastAsia" w:ascii="Times New Roman" w:hAnsi="Times New Roman" w:eastAsia="宋体" w:cs="Times New Roman"/>
                <w:b w:val="0"/>
                <w:bCs w:val="0"/>
                <w:color w:val="000000"/>
                <w:kern w:val="2"/>
                <w:sz w:val="24"/>
                <w:szCs w:val="24"/>
                <w:highlight w:val="none"/>
                <w:lang w:val="en-US" w:eastAsia="zh-CN" w:bidi="ar-SA"/>
              </w:rPr>
              <w:t>75</w:t>
            </w:r>
            <w:r>
              <w:rPr>
                <w:rFonts w:hint="default" w:ascii="Times New Roman" w:hAnsi="Times New Roman" w:eastAsia="宋体" w:cs="Times New Roman"/>
                <w:b w:val="0"/>
                <w:bCs w:val="0"/>
                <w:color w:val="000000"/>
                <w:kern w:val="2"/>
                <w:sz w:val="24"/>
                <w:szCs w:val="24"/>
                <w:highlight w:val="none"/>
                <w:lang w:val="en-US" w:eastAsia="zh-CN" w:bidi="ar-SA"/>
              </w:rPr>
              <w:t>%</w:t>
            </w:r>
            <w:r>
              <w:rPr>
                <w:rFonts w:hint="eastAsia" w:ascii="Times New Roman" w:hAnsi="Times New Roman" w:eastAsia="宋体" w:cs="Times New Roman"/>
                <w:b w:val="0"/>
                <w:bCs w:val="0"/>
                <w:color w:val="000000"/>
                <w:kern w:val="2"/>
                <w:sz w:val="24"/>
                <w:szCs w:val="24"/>
                <w:highlight w:val="none"/>
                <w:lang w:val="en-US" w:eastAsia="zh-CN" w:bidi="ar-SA"/>
              </w:rPr>
              <w:t>，</w:t>
            </w:r>
            <w:r>
              <w:rPr>
                <w:rFonts w:hint="default" w:ascii="Times New Roman" w:hAnsi="Times New Roman" w:eastAsia="宋体" w:cs="Times New Roman"/>
                <w:b w:val="0"/>
                <w:bCs w:val="0"/>
                <w:color w:val="000000"/>
                <w:kern w:val="2"/>
                <w:sz w:val="24"/>
                <w:szCs w:val="24"/>
                <w:highlight w:val="none"/>
                <w:lang w:val="en-US" w:eastAsia="zh-CN" w:bidi="ar-SA"/>
              </w:rPr>
              <w:t>溶剂型</w:t>
            </w:r>
            <w:r>
              <w:rPr>
                <w:rFonts w:hint="eastAsia" w:cs="Times New Roman"/>
                <w:b w:val="0"/>
                <w:bCs w:val="0"/>
                <w:color w:val="000000"/>
                <w:kern w:val="2"/>
                <w:sz w:val="24"/>
                <w:szCs w:val="24"/>
                <w:highlight w:val="none"/>
                <w:lang w:val="en-US" w:eastAsia="zh-CN" w:bidi="ar-SA"/>
              </w:rPr>
              <w:t>黏</w:t>
            </w:r>
            <w:r>
              <w:rPr>
                <w:rFonts w:hint="default" w:ascii="Times New Roman" w:hAnsi="Times New Roman" w:eastAsia="宋体" w:cs="Times New Roman"/>
                <w:b w:val="0"/>
                <w:bCs w:val="0"/>
                <w:color w:val="000000"/>
                <w:kern w:val="2"/>
                <w:sz w:val="24"/>
                <w:szCs w:val="24"/>
                <w:highlight w:val="none"/>
                <w:lang w:val="en-US" w:eastAsia="zh-CN" w:bidi="ar-SA"/>
              </w:rPr>
              <w:t>合剂使用量约为</w:t>
            </w:r>
            <w:r>
              <w:rPr>
                <w:rFonts w:hint="eastAsia" w:cs="Times New Roman"/>
                <w:b w:val="0"/>
                <w:bCs w:val="0"/>
                <w:color w:val="000000"/>
                <w:kern w:val="2"/>
                <w:sz w:val="24"/>
                <w:szCs w:val="24"/>
                <w:highlight w:val="none"/>
                <w:lang w:val="en-US" w:eastAsia="zh-CN" w:bidi="ar-SA"/>
              </w:rPr>
              <w:t>1</w:t>
            </w:r>
            <w:r>
              <w:rPr>
                <w:rFonts w:hint="default" w:ascii="Times New Roman" w:hAnsi="Times New Roman" w:eastAsia="宋体" w:cs="Times New Roman"/>
                <w:b w:val="0"/>
                <w:bCs w:val="0"/>
                <w:color w:val="000000"/>
                <w:kern w:val="2"/>
                <w:sz w:val="24"/>
                <w:szCs w:val="24"/>
                <w:highlight w:val="none"/>
                <w:lang w:val="en-US" w:eastAsia="zh-CN" w:bidi="ar-SA"/>
              </w:rPr>
              <w:t>t/a，本次评价以胶水使用过程中有机溶剂全部挥发计，则项目胶水使用过程中产生的有机废气（以非甲烷总烃计）约为</w:t>
            </w:r>
            <w:r>
              <w:rPr>
                <w:rFonts w:hint="eastAsia" w:cs="Times New Roman"/>
                <w:b w:val="0"/>
                <w:bCs w:val="0"/>
                <w:color w:val="000000"/>
                <w:kern w:val="2"/>
                <w:sz w:val="24"/>
                <w:szCs w:val="24"/>
                <w:highlight w:val="none"/>
                <w:lang w:val="en-US" w:eastAsia="zh-CN" w:bidi="ar-SA"/>
              </w:rPr>
              <w:t>0.25</w:t>
            </w:r>
            <w:r>
              <w:rPr>
                <w:rFonts w:hint="default" w:ascii="Times New Roman" w:hAnsi="Times New Roman" w:eastAsia="宋体" w:cs="Times New Roman"/>
                <w:b w:val="0"/>
                <w:bCs w:val="0"/>
                <w:color w:val="000000"/>
                <w:kern w:val="2"/>
                <w:sz w:val="24"/>
                <w:szCs w:val="24"/>
                <w:highlight w:val="none"/>
                <w:lang w:val="en-US" w:eastAsia="zh-CN" w:bidi="ar-SA"/>
              </w:rPr>
              <w:t>t/a。</w:t>
            </w:r>
            <w:r>
              <w:rPr>
                <w:rFonts w:hint="eastAsia" w:ascii="Times New Roman" w:hAnsi="Times New Roman" w:eastAsia="宋体" w:cs="Times New Roman"/>
                <w:b w:val="0"/>
                <w:bCs w:val="0"/>
                <w:color w:val="000000"/>
                <w:kern w:val="2"/>
                <w:sz w:val="24"/>
                <w:szCs w:val="24"/>
                <w:highlight w:val="none"/>
                <w:lang w:val="en-US" w:eastAsia="zh-CN" w:bidi="ar-SA"/>
              </w:rPr>
              <w:t>同时，</w:t>
            </w:r>
            <w:r>
              <w:rPr>
                <w:rFonts w:hint="default" w:ascii="Times New Roman" w:hAnsi="Times New Roman" w:eastAsia="宋体" w:cs="Times New Roman"/>
                <w:b w:val="0"/>
                <w:bCs w:val="0"/>
                <w:color w:val="000000"/>
                <w:kern w:val="2"/>
                <w:sz w:val="24"/>
                <w:szCs w:val="24"/>
                <w:highlight w:val="none"/>
                <w:lang w:val="en-US" w:eastAsia="zh-CN" w:bidi="ar-SA"/>
              </w:rPr>
              <w:t>项目使用无溶剂复膜胶，</w:t>
            </w:r>
            <w:r>
              <w:rPr>
                <w:rFonts w:hint="eastAsia" w:ascii="Times New Roman" w:hAnsi="Times New Roman" w:eastAsia="宋体" w:cs="Times New Roman"/>
                <w:b w:val="0"/>
                <w:bCs w:val="0"/>
                <w:color w:val="000000"/>
                <w:kern w:val="2"/>
                <w:sz w:val="24"/>
                <w:szCs w:val="24"/>
                <w:highlight w:val="none"/>
                <w:lang w:val="en-US" w:eastAsia="zh-CN" w:bidi="ar-SA"/>
              </w:rPr>
              <w:t>根据成分报告可知，</w:t>
            </w:r>
            <w:r>
              <w:rPr>
                <w:rFonts w:hint="default" w:ascii="Times New Roman" w:hAnsi="Times New Roman" w:eastAsia="宋体" w:cs="Times New Roman"/>
                <w:b w:val="0"/>
                <w:bCs w:val="0"/>
                <w:color w:val="000000"/>
                <w:kern w:val="2"/>
                <w:sz w:val="24"/>
                <w:szCs w:val="24"/>
                <w:highlight w:val="none"/>
                <w:lang w:val="en-US" w:eastAsia="zh-CN" w:bidi="ar-SA"/>
              </w:rPr>
              <w:t>无溶剂型胶水不产生有机废气。</w:t>
            </w:r>
          </w:p>
          <w:p w14:paraId="33B11ECE">
            <w:pPr>
              <w:pStyle w:val="19"/>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建设单位拟在复合工序、熟化工序上方安装集气罩对产生的有机废气进行收集，收集的废气经活性炭吸附装置处理后由一根15m高排气筒（</w:t>
            </w:r>
            <w:r>
              <w:rPr>
                <w:rFonts w:hint="eastAsia" w:ascii="Times New Roman" w:hAnsi="Times New Roman" w:eastAsia="宋体" w:cs="Times New Roman"/>
                <w:b w:val="0"/>
                <w:bCs w:val="0"/>
                <w:color w:val="000000"/>
                <w:kern w:val="2"/>
                <w:sz w:val="24"/>
                <w:szCs w:val="24"/>
                <w:highlight w:val="none"/>
                <w:lang w:val="en-US" w:eastAsia="zh-CN" w:bidi="ar-SA"/>
              </w:rPr>
              <w:t>DA00</w:t>
            </w:r>
            <w:r>
              <w:rPr>
                <w:rFonts w:hint="eastAsia" w:cs="Times New Roman"/>
                <w:b w:val="0"/>
                <w:bCs w:val="0"/>
                <w:color w:val="000000"/>
                <w:kern w:val="2"/>
                <w:sz w:val="24"/>
                <w:szCs w:val="24"/>
                <w:highlight w:val="none"/>
                <w:lang w:val="en-US" w:eastAsia="zh-CN" w:bidi="ar-SA"/>
              </w:rPr>
              <w:t>1</w:t>
            </w:r>
            <w:r>
              <w:rPr>
                <w:rFonts w:hint="default" w:ascii="Times New Roman" w:hAnsi="Times New Roman" w:eastAsia="宋体" w:cs="Times New Roman"/>
                <w:b w:val="0"/>
                <w:bCs w:val="0"/>
                <w:color w:val="000000"/>
                <w:kern w:val="2"/>
                <w:sz w:val="24"/>
                <w:szCs w:val="24"/>
                <w:highlight w:val="none"/>
                <w:lang w:val="en-US" w:eastAsia="zh-CN" w:bidi="ar-SA"/>
              </w:rPr>
              <w:t>）进行排放。复合工序+熟化工序上方集气罩设计风机风量为</w:t>
            </w:r>
            <w:r>
              <w:rPr>
                <w:rFonts w:hint="eastAsia" w:ascii="Times New Roman" w:hAnsi="Times New Roman" w:eastAsia="宋体" w:cs="Times New Roman"/>
                <w:b w:val="0"/>
                <w:bCs w:val="0"/>
                <w:color w:val="000000"/>
                <w:kern w:val="2"/>
                <w:sz w:val="24"/>
                <w:szCs w:val="24"/>
                <w:highlight w:val="none"/>
                <w:lang w:val="en-US" w:eastAsia="zh-CN" w:bidi="ar-SA"/>
              </w:rPr>
              <w:t>10</w:t>
            </w:r>
            <w:r>
              <w:rPr>
                <w:rFonts w:hint="default" w:ascii="Times New Roman" w:hAnsi="Times New Roman" w:eastAsia="宋体" w:cs="Times New Roman"/>
                <w:b w:val="0"/>
                <w:bCs w:val="0"/>
                <w:color w:val="000000"/>
                <w:kern w:val="2"/>
                <w:sz w:val="24"/>
                <w:szCs w:val="24"/>
                <w:highlight w:val="none"/>
                <w:lang w:val="en-US" w:eastAsia="zh-CN" w:bidi="ar-SA"/>
              </w:rPr>
              <w:t>000m</w:t>
            </w:r>
            <w:r>
              <w:rPr>
                <w:rFonts w:hint="default" w:ascii="Times New Roman" w:hAnsi="Times New Roman" w:eastAsia="宋体" w:cs="Times New Roman"/>
                <w:b w:val="0"/>
                <w:bCs w:val="0"/>
                <w:color w:val="000000"/>
                <w:kern w:val="2"/>
                <w:sz w:val="24"/>
                <w:szCs w:val="24"/>
                <w:highlight w:val="none"/>
                <w:vertAlign w:val="superscript"/>
                <w:lang w:val="en-US" w:eastAsia="zh-CN" w:bidi="ar-SA"/>
              </w:rPr>
              <w:t>3</w:t>
            </w:r>
            <w:r>
              <w:rPr>
                <w:rFonts w:hint="default" w:ascii="Times New Roman" w:hAnsi="Times New Roman" w:eastAsia="宋体" w:cs="Times New Roman"/>
                <w:b w:val="0"/>
                <w:bCs w:val="0"/>
                <w:color w:val="000000"/>
                <w:kern w:val="2"/>
                <w:sz w:val="24"/>
                <w:szCs w:val="24"/>
                <w:highlight w:val="none"/>
                <w:lang w:val="en-US" w:eastAsia="zh-CN" w:bidi="ar-SA"/>
              </w:rPr>
              <w:t>/h。</w:t>
            </w:r>
            <w:r>
              <w:rPr>
                <w:rFonts w:hint="eastAsia" w:ascii="Times New Roman" w:hAnsi="Times New Roman" w:eastAsia="宋体" w:cs="Times New Roman"/>
                <w:b w:val="0"/>
                <w:bCs w:val="0"/>
                <w:color w:val="000000"/>
                <w:kern w:val="2"/>
                <w:sz w:val="24"/>
                <w:szCs w:val="24"/>
                <w:highlight w:val="none"/>
                <w:lang w:val="en-US" w:eastAsia="zh-CN" w:bidi="ar-SA"/>
              </w:rPr>
              <w:t>活性炭</w:t>
            </w:r>
            <w:r>
              <w:rPr>
                <w:rFonts w:hint="default" w:ascii="Times New Roman" w:hAnsi="Times New Roman" w:eastAsia="宋体" w:cs="Times New Roman"/>
                <w:b w:val="0"/>
                <w:bCs w:val="0"/>
                <w:color w:val="000000"/>
                <w:kern w:val="2"/>
                <w:sz w:val="24"/>
                <w:szCs w:val="24"/>
                <w:highlight w:val="none"/>
                <w:lang w:val="en-US" w:eastAsia="zh-CN" w:bidi="ar-SA"/>
              </w:rPr>
              <w:t>去除率以</w:t>
            </w:r>
            <w:r>
              <w:rPr>
                <w:rFonts w:hint="eastAsia" w:cs="Times New Roman"/>
                <w:b w:val="0"/>
                <w:bCs w:val="0"/>
                <w:color w:val="000000"/>
                <w:kern w:val="2"/>
                <w:sz w:val="24"/>
                <w:szCs w:val="24"/>
                <w:highlight w:val="none"/>
                <w:lang w:val="en-US" w:eastAsia="zh-CN" w:bidi="ar-SA"/>
              </w:rPr>
              <w:t>75</w:t>
            </w:r>
            <w:r>
              <w:rPr>
                <w:rFonts w:hint="default" w:ascii="Times New Roman" w:hAnsi="Times New Roman" w:eastAsia="宋体" w:cs="Times New Roman"/>
                <w:b w:val="0"/>
                <w:bCs w:val="0"/>
                <w:color w:val="000000"/>
                <w:kern w:val="2"/>
                <w:sz w:val="24"/>
                <w:szCs w:val="24"/>
                <w:highlight w:val="none"/>
                <w:lang w:val="en-US" w:eastAsia="zh-CN" w:bidi="ar-SA"/>
              </w:rPr>
              <w:t>%计，集气装置集气效率为90%，经活性炭吸附装置处理后的有组织排放的废气排放浓度为</w:t>
            </w:r>
            <w:r>
              <w:rPr>
                <w:rFonts w:hint="eastAsia" w:cs="Times New Roman"/>
                <w:b w:val="0"/>
                <w:bCs w:val="0"/>
                <w:color w:val="000000"/>
                <w:kern w:val="2"/>
                <w:sz w:val="24"/>
                <w:szCs w:val="24"/>
                <w:highlight w:val="none"/>
                <w:lang w:val="en-US" w:eastAsia="zh-CN" w:bidi="ar-SA"/>
              </w:rPr>
              <w:t>0.54</w:t>
            </w:r>
            <w:r>
              <w:rPr>
                <w:rFonts w:hint="default" w:ascii="Times New Roman" w:hAnsi="Times New Roman" w:eastAsia="宋体" w:cs="Times New Roman"/>
                <w:b w:val="0"/>
                <w:bCs w:val="0"/>
                <w:color w:val="000000"/>
                <w:kern w:val="2"/>
                <w:sz w:val="24"/>
                <w:szCs w:val="24"/>
                <w:highlight w:val="none"/>
                <w:lang w:val="en-US" w:eastAsia="zh-CN" w:bidi="ar-SA"/>
              </w:rPr>
              <w:t>mg/m</w:t>
            </w:r>
            <w:r>
              <w:rPr>
                <w:rFonts w:hint="default" w:ascii="Times New Roman" w:hAnsi="Times New Roman" w:eastAsia="宋体" w:cs="Times New Roman"/>
                <w:b w:val="0"/>
                <w:bCs w:val="0"/>
                <w:color w:val="000000"/>
                <w:kern w:val="2"/>
                <w:sz w:val="24"/>
                <w:szCs w:val="24"/>
                <w:highlight w:val="none"/>
                <w:vertAlign w:val="superscript"/>
                <w:lang w:val="en-US" w:eastAsia="zh-CN" w:bidi="ar-SA"/>
              </w:rPr>
              <w:t>3</w:t>
            </w:r>
            <w:r>
              <w:rPr>
                <w:rFonts w:hint="default" w:ascii="Times New Roman" w:hAnsi="Times New Roman" w:eastAsia="宋体" w:cs="Times New Roman"/>
                <w:b w:val="0"/>
                <w:bCs w:val="0"/>
                <w:color w:val="000000"/>
                <w:kern w:val="2"/>
                <w:sz w:val="24"/>
                <w:szCs w:val="24"/>
                <w:highlight w:val="none"/>
                <w:lang w:val="en-US" w:eastAsia="zh-CN" w:bidi="ar-SA"/>
              </w:rPr>
              <w:t>（</w:t>
            </w:r>
            <w:r>
              <w:rPr>
                <w:rFonts w:hint="eastAsia" w:cs="Times New Roman"/>
                <w:b w:val="0"/>
                <w:bCs w:val="0"/>
                <w:color w:val="000000"/>
                <w:kern w:val="2"/>
                <w:sz w:val="24"/>
                <w:szCs w:val="24"/>
                <w:highlight w:val="none"/>
                <w:lang w:val="en-US" w:eastAsia="zh-CN" w:bidi="ar-SA"/>
              </w:rPr>
              <w:t>0.0563</w:t>
            </w:r>
            <w:r>
              <w:rPr>
                <w:rFonts w:hint="default" w:ascii="Times New Roman" w:hAnsi="Times New Roman" w:eastAsia="宋体" w:cs="Times New Roman"/>
                <w:b w:val="0"/>
                <w:bCs w:val="0"/>
                <w:color w:val="000000"/>
                <w:kern w:val="2"/>
                <w:sz w:val="24"/>
                <w:szCs w:val="24"/>
                <w:highlight w:val="none"/>
                <w:lang w:val="en-US" w:eastAsia="zh-CN" w:bidi="ar-SA"/>
              </w:rPr>
              <w:t>t/a，0.</w:t>
            </w:r>
            <w:r>
              <w:rPr>
                <w:rFonts w:hint="eastAsia" w:ascii="Times New Roman" w:hAnsi="Times New Roman" w:eastAsia="宋体" w:cs="Times New Roman"/>
                <w:b w:val="0"/>
                <w:bCs w:val="0"/>
                <w:color w:val="000000"/>
                <w:kern w:val="2"/>
                <w:sz w:val="24"/>
                <w:szCs w:val="24"/>
                <w:highlight w:val="none"/>
                <w:lang w:val="en-US" w:eastAsia="zh-CN" w:bidi="ar-SA"/>
              </w:rPr>
              <w:t>0</w:t>
            </w:r>
            <w:r>
              <w:rPr>
                <w:rFonts w:hint="eastAsia" w:cs="Times New Roman"/>
                <w:b w:val="0"/>
                <w:bCs w:val="0"/>
                <w:color w:val="000000"/>
                <w:kern w:val="2"/>
                <w:sz w:val="24"/>
                <w:szCs w:val="24"/>
                <w:highlight w:val="none"/>
                <w:lang w:val="en-US" w:eastAsia="zh-CN" w:bidi="ar-SA"/>
              </w:rPr>
              <w:t>094</w:t>
            </w:r>
            <w:r>
              <w:rPr>
                <w:rFonts w:hint="default" w:ascii="Times New Roman" w:hAnsi="Times New Roman" w:eastAsia="宋体" w:cs="Times New Roman"/>
                <w:b w:val="0"/>
                <w:bCs w:val="0"/>
                <w:color w:val="000000"/>
                <w:kern w:val="2"/>
                <w:sz w:val="24"/>
                <w:szCs w:val="24"/>
                <w:highlight w:val="none"/>
                <w:lang w:val="en-US" w:eastAsia="zh-CN" w:bidi="ar-SA"/>
              </w:rPr>
              <w:t>kg/h）。未被收集到的非甲烷总烃量约为</w:t>
            </w:r>
            <w:r>
              <w:rPr>
                <w:rFonts w:hint="eastAsia" w:ascii="Times New Roman" w:hAnsi="Times New Roman" w:eastAsia="宋体" w:cs="Times New Roman"/>
                <w:b w:val="0"/>
                <w:bCs w:val="0"/>
                <w:color w:val="000000"/>
                <w:kern w:val="2"/>
                <w:sz w:val="24"/>
                <w:szCs w:val="24"/>
                <w:highlight w:val="none"/>
                <w:lang w:val="en-US" w:eastAsia="zh-CN" w:bidi="ar-SA"/>
              </w:rPr>
              <w:t>0.</w:t>
            </w:r>
            <w:r>
              <w:rPr>
                <w:rFonts w:hint="eastAsia" w:cs="Times New Roman"/>
                <w:b w:val="0"/>
                <w:bCs w:val="0"/>
                <w:color w:val="000000"/>
                <w:kern w:val="2"/>
                <w:sz w:val="24"/>
                <w:szCs w:val="24"/>
                <w:highlight w:val="none"/>
                <w:lang w:val="en-US" w:eastAsia="zh-CN" w:bidi="ar-SA"/>
              </w:rPr>
              <w:t>0</w:t>
            </w:r>
            <w:r>
              <w:rPr>
                <w:rFonts w:hint="eastAsia" w:ascii="Times New Roman" w:hAnsi="Times New Roman" w:eastAsia="宋体" w:cs="Times New Roman"/>
                <w:b w:val="0"/>
                <w:bCs w:val="0"/>
                <w:color w:val="000000"/>
                <w:kern w:val="2"/>
                <w:sz w:val="24"/>
                <w:szCs w:val="24"/>
                <w:highlight w:val="none"/>
                <w:lang w:val="en-US" w:eastAsia="zh-CN" w:bidi="ar-SA"/>
              </w:rPr>
              <w:t>2</w:t>
            </w:r>
            <w:r>
              <w:rPr>
                <w:rFonts w:hint="eastAsia" w:cs="Times New Roman"/>
                <w:b w:val="0"/>
                <w:bCs w:val="0"/>
                <w:color w:val="000000"/>
                <w:kern w:val="2"/>
                <w:sz w:val="24"/>
                <w:szCs w:val="24"/>
                <w:highlight w:val="none"/>
                <w:lang w:val="en-US" w:eastAsia="zh-CN" w:bidi="ar-SA"/>
              </w:rPr>
              <w:t>5</w:t>
            </w:r>
            <w:r>
              <w:rPr>
                <w:rFonts w:hint="default" w:ascii="Times New Roman" w:hAnsi="Times New Roman" w:eastAsia="宋体" w:cs="Times New Roman"/>
                <w:b w:val="0"/>
                <w:bCs w:val="0"/>
                <w:color w:val="000000"/>
                <w:kern w:val="2"/>
                <w:sz w:val="24"/>
                <w:szCs w:val="24"/>
                <w:highlight w:val="none"/>
                <w:lang w:val="en-US" w:eastAsia="zh-CN" w:bidi="ar-SA"/>
              </w:rPr>
              <w:t>t/a，以无组织形式排放，排放速率约为</w:t>
            </w:r>
            <w:r>
              <w:rPr>
                <w:rFonts w:hint="eastAsia" w:ascii="Times New Roman" w:hAnsi="Times New Roman" w:eastAsia="宋体" w:cs="Times New Roman"/>
                <w:b w:val="0"/>
                <w:bCs w:val="0"/>
                <w:color w:val="000000"/>
                <w:kern w:val="2"/>
                <w:sz w:val="24"/>
                <w:szCs w:val="24"/>
                <w:highlight w:val="none"/>
                <w:lang w:val="en-US" w:eastAsia="zh-CN" w:bidi="ar-SA"/>
              </w:rPr>
              <w:t>0.0</w:t>
            </w:r>
            <w:r>
              <w:rPr>
                <w:rFonts w:hint="eastAsia" w:cs="Times New Roman"/>
                <w:b w:val="0"/>
                <w:bCs w:val="0"/>
                <w:color w:val="000000"/>
                <w:kern w:val="2"/>
                <w:sz w:val="24"/>
                <w:szCs w:val="24"/>
                <w:highlight w:val="none"/>
                <w:lang w:val="en-US" w:eastAsia="zh-CN" w:bidi="ar-SA"/>
              </w:rPr>
              <w:t>042</w:t>
            </w:r>
            <w:r>
              <w:rPr>
                <w:rFonts w:hint="default" w:ascii="Times New Roman" w:hAnsi="Times New Roman" w:eastAsia="宋体" w:cs="Times New Roman"/>
                <w:b w:val="0"/>
                <w:bCs w:val="0"/>
                <w:color w:val="000000"/>
                <w:kern w:val="2"/>
                <w:sz w:val="24"/>
                <w:szCs w:val="24"/>
                <w:highlight w:val="none"/>
                <w:lang w:val="en-US" w:eastAsia="zh-CN" w:bidi="ar-SA"/>
              </w:rPr>
              <w:t>kg/h。</w:t>
            </w:r>
          </w:p>
          <w:p w14:paraId="56129C7D">
            <w:pPr>
              <w:pStyle w:val="19"/>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（3）吹膜废气</w:t>
            </w:r>
          </w:p>
          <w:p w14:paraId="7EFE68EE">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Cs/>
                <w:color w:val="auto"/>
                <w:kern w:val="2"/>
                <w:sz w:val="24"/>
                <w:szCs w:val="24"/>
                <w:lang w:val="en-US" w:eastAsia="zh-CN" w:bidi="ar-SA"/>
              </w:rPr>
              <w:t>项目所使用的</w:t>
            </w:r>
            <w:r>
              <w:rPr>
                <w:rFonts w:hint="eastAsia" w:ascii="Times New Roman" w:hAnsi="Times New Roman" w:eastAsia="宋体" w:cs="Times New Roman"/>
                <w:color w:val="000000"/>
                <w:kern w:val="0"/>
                <w:sz w:val="24"/>
                <w:szCs w:val="24"/>
                <w:lang w:val="en-US" w:eastAsia="zh-CN" w:bidi="ar"/>
              </w:rPr>
              <w:t>PE</w:t>
            </w:r>
            <w:r>
              <w:rPr>
                <w:rFonts w:hint="default" w:ascii="Times New Roman" w:hAnsi="Times New Roman" w:eastAsia="宋体" w:cs="Times New Roman"/>
                <w:bCs/>
                <w:color w:val="auto"/>
                <w:kern w:val="2"/>
                <w:sz w:val="24"/>
                <w:szCs w:val="24"/>
                <w:lang w:val="en-US" w:eastAsia="zh-CN" w:bidi="ar-SA"/>
              </w:rPr>
              <w:t>塑料颗粒均为颗粒状，塑料颗粒直径范围在2</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5mm之间，粒径较大</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因此投料工序无粉尘产生。</w:t>
            </w:r>
            <w:r>
              <w:rPr>
                <w:rFonts w:hint="eastAsia" w:ascii="宋体" w:hAnsi="宋体" w:eastAsia="宋体" w:cs="宋体"/>
                <w:color w:val="000000"/>
                <w:kern w:val="0"/>
                <w:sz w:val="24"/>
                <w:szCs w:val="24"/>
                <w:lang w:val="en-US" w:eastAsia="zh-CN" w:bidi="ar"/>
              </w:rPr>
              <w:t>本项目外购</w:t>
            </w:r>
            <w:r>
              <w:rPr>
                <w:rFonts w:hint="eastAsia" w:ascii="Times New Roman" w:hAnsi="Times New Roman" w:eastAsia="宋体" w:cs="Times New Roman"/>
                <w:color w:val="000000"/>
                <w:kern w:val="0"/>
                <w:sz w:val="24"/>
                <w:szCs w:val="24"/>
                <w:lang w:val="en-US" w:eastAsia="zh-CN" w:bidi="ar"/>
              </w:rPr>
              <w:t>PE粒子合计10</w:t>
            </w:r>
            <w:r>
              <w:rPr>
                <w:rFonts w:hint="eastAsia"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0t/a，利用</w:t>
            </w:r>
            <w:r>
              <w:rPr>
                <w:rFonts w:hint="eastAsia" w:ascii="宋体" w:hAnsi="宋体" w:eastAsia="宋体" w:cs="宋体"/>
                <w:color w:val="000000"/>
                <w:kern w:val="0"/>
                <w:sz w:val="24"/>
                <w:szCs w:val="24"/>
                <w:lang w:val="en-US" w:eastAsia="zh-CN" w:bidi="ar"/>
              </w:rPr>
              <w:t>吹膜机得到塑料部分印刷底膜，</w:t>
            </w:r>
            <w:r>
              <w:rPr>
                <w:rFonts w:hint="default" w:ascii="Times New Roman" w:hAnsi="Times New Roman" w:eastAsia="宋体" w:cs="Times New Roman"/>
                <w:color w:val="000000"/>
                <w:kern w:val="0"/>
                <w:sz w:val="24"/>
                <w:szCs w:val="24"/>
                <w:lang w:val="en-US" w:eastAsia="zh-CN" w:bidi="ar"/>
              </w:rPr>
              <w:t>温度控制在</w:t>
            </w:r>
            <w:r>
              <w:rPr>
                <w:rFonts w:hint="eastAsia" w:ascii="Times New Roman" w:hAnsi="Times New Roman" w:eastAsia="宋体" w:cs="Times New Roman"/>
                <w:color w:val="000000"/>
                <w:kern w:val="0"/>
                <w:sz w:val="24"/>
                <w:szCs w:val="24"/>
                <w:lang w:val="en-US" w:eastAsia="zh-CN" w:bidi="ar"/>
              </w:rPr>
              <w:t>26</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使PE粒子呈现融化状态</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此过程将</w:t>
            </w:r>
            <w:r>
              <w:rPr>
                <w:rFonts w:hint="default" w:ascii="Times New Roman" w:hAnsi="Times New Roman" w:eastAsia="宋体" w:cs="Times New Roman"/>
                <w:color w:val="000000"/>
                <w:kern w:val="0"/>
                <w:sz w:val="24"/>
                <w:szCs w:val="24"/>
                <w:lang w:val="en-US" w:eastAsia="zh-CN" w:bidi="ar"/>
              </w:rPr>
              <w:t>产生有机气体，其主要成分为VOCs。</w:t>
            </w:r>
            <w:r>
              <w:rPr>
                <w:rFonts w:hint="eastAsia" w:ascii="Times New Roman" w:hAnsi="Times New Roman" w:eastAsia="宋体" w:cs="Times New Roman"/>
                <w:color w:val="000000"/>
                <w:kern w:val="0"/>
                <w:sz w:val="24"/>
                <w:szCs w:val="24"/>
                <w:lang w:val="en-US" w:eastAsia="zh-CN" w:bidi="ar"/>
              </w:rPr>
              <w:t>根据</w:t>
            </w:r>
            <w:r>
              <w:rPr>
                <w:rFonts w:hint="default" w:ascii="Times New Roman" w:hAnsi="Times New Roman" w:eastAsia="宋体" w:cs="Times New Roman"/>
                <w:b w:val="0"/>
                <w:bCs w:val="0"/>
                <w:color w:val="000000"/>
                <w:kern w:val="2"/>
                <w:sz w:val="24"/>
                <w:szCs w:val="24"/>
                <w:highlight w:val="none"/>
                <w:lang w:val="en-US" w:eastAsia="zh-CN" w:bidi="ar-SA"/>
              </w:rPr>
              <w:t>《292塑料制品业系数手册》中292</w:t>
            </w:r>
            <w:r>
              <w:rPr>
                <w:rFonts w:hint="eastAsia" w:ascii="Times New Roman" w:hAnsi="Times New Roman" w:eastAsia="宋体" w:cs="Times New Roman"/>
                <w:b w:val="0"/>
                <w:bCs w:val="0"/>
                <w:color w:val="000000"/>
                <w:kern w:val="2"/>
                <w:sz w:val="24"/>
                <w:szCs w:val="24"/>
                <w:highlight w:val="none"/>
                <w:lang w:val="en-US" w:eastAsia="zh-CN" w:bidi="ar-SA"/>
              </w:rPr>
              <w:t>1</w:t>
            </w:r>
            <w:r>
              <w:rPr>
                <w:rFonts w:hint="default" w:ascii="Times New Roman" w:hAnsi="Times New Roman" w:eastAsia="宋体" w:cs="Times New Roman"/>
                <w:b w:val="0"/>
                <w:bCs w:val="0"/>
                <w:color w:val="000000"/>
                <w:kern w:val="2"/>
                <w:sz w:val="24"/>
                <w:szCs w:val="24"/>
                <w:highlight w:val="none"/>
                <w:lang w:val="en-US" w:eastAsia="zh-CN" w:bidi="ar-SA"/>
              </w:rPr>
              <w:t>塑料</w:t>
            </w:r>
            <w:r>
              <w:rPr>
                <w:rFonts w:hint="eastAsia" w:ascii="Times New Roman" w:hAnsi="Times New Roman" w:eastAsia="宋体" w:cs="Times New Roman"/>
                <w:b w:val="0"/>
                <w:bCs w:val="0"/>
                <w:color w:val="000000"/>
                <w:kern w:val="2"/>
                <w:sz w:val="24"/>
                <w:szCs w:val="24"/>
                <w:highlight w:val="none"/>
                <w:lang w:val="en-US" w:eastAsia="zh-CN" w:bidi="ar-SA"/>
              </w:rPr>
              <w:t>薄膜</w:t>
            </w:r>
            <w:r>
              <w:rPr>
                <w:rFonts w:hint="default" w:ascii="Times New Roman" w:hAnsi="Times New Roman" w:eastAsia="宋体" w:cs="Times New Roman"/>
                <w:b w:val="0"/>
                <w:bCs w:val="0"/>
                <w:color w:val="000000"/>
                <w:kern w:val="2"/>
                <w:sz w:val="24"/>
                <w:szCs w:val="24"/>
                <w:highlight w:val="none"/>
                <w:lang w:val="en-US" w:eastAsia="zh-CN" w:bidi="ar-SA"/>
              </w:rPr>
              <w:t>制品制造行业系数表，见表4.</w:t>
            </w:r>
            <w:r>
              <w:rPr>
                <w:rFonts w:hint="eastAsia" w:ascii="Times New Roman" w:hAnsi="Times New Roman" w:eastAsia="宋体" w:cs="Times New Roman"/>
                <w:b w:val="0"/>
                <w:bCs w:val="0"/>
                <w:color w:val="000000"/>
                <w:kern w:val="2"/>
                <w:sz w:val="24"/>
                <w:szCs w:val="24"/>
                <w:highlight w:val="none"/>
                <w:lang w:val="en-US" w:eastAsia="zh-CN" w:bidi="ar-SA"/>
              </w:rPr>
              <w:t>2</w:t>
            </w:r>
            <w:r>
              <w:rPr>
                <w:rFonts w:hint="default" w:ascii="Times New Roman" w:hAnsi="Times New Roman" w:eastAsia="宋体" w:cs="Times New Roman"/>
                <w:b w:val="0"/>
                <w:bCs w:val="0"/>
                <w:color w:val="000000"/>
                <w:kern w:val="2"/>
                <w:sz w:val="24"/>
                <w:szCs w:val="24"/>
                <w:highlight w:val="none"/>
                <w:lang w:val="en-US" w:eastAsia="zh-CN" w:bidi="ar-SA"/>
              </w:rPr>
              <w:t>-</w:t>
            </w:r>
            <w:r>
              <w:rPr>
                <w:rFonts w:hint="eastAsia" w:ascii="Times New Roman" w:hAnsi="Times New Roman" w:eastAsia="宋体" w:cs="Times New Roman"/>
                <w:b w:val="0"/>
                <w:bCs w:val="0"/>
                <w:color w:val="000000"/>
                <w:kern w:val="2"/>
                <w:sz w:val="24"/>
                <w:szCs w:val="24"/>
                <w:highlight w:val="none"/>
                <w:lang w:val="en-US" w:eastAsia="zh-CN" w:bidi="ar-SA"/>
              </w:rPr>
              <w:t>2</w:t>
            </w:r>
            <w:r>
              <w:rPr>
                <w:rFonts w:hint="default" w:ascii="Times New Roman" w:hAnsi="Times New Roman" w:eastAsia="宋体" w:cs="Times New Roman"/>
                <w:b w:val="0"/>
                <w:bCs w:val="0"/>
                <w:color w:val="000000"/>
                <w:kern w:val="2"/>
                <w:sz w:val="24"/>
                <w:szCs w:val="24"/>
                <w:highlight w:val="none"/>
                <w:lang w:val="en-US" w:eastAsia="zh-CN" w:bidi="ar-SA"/>
              </w:rPr>
              <w:t>。</w:t>
            </w:r>
          </w:p>
          <w:p w14:paraId="3B21059C">
            <w:pPr>
              <w:spacing w:line="360" w:lineRule="auto"/>
              <w:ind w:firstLine="482" w:firstLineChars="200"/>
              <w:jc w:val="center"/>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表4.</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 xml:space="preserve">  29</w:t>
            </w:r>
            <w:r>
              <w:rPr>
                <w:rFonts w:hint="eastAsia" w:ascii="Times New Roman" w:hAnsi="Times New Roman" w:eastAsia="宋体" w:cs="Times New Roman"/>
                <w:b/>
                <w:bCs/>
                <w:color w:val="000000"/>
                <w:sz w:val="24"/>
                <w:highlight w:val="none"/>
                <w:lang w:val="en-US" w:eastAsia="zh-CN"/>
              </w:rPr>
              <w:t>21</w:t>
            </w:r>
            <w:r>
              <w:rPr>
                <w:rFonts w:hint="default" w:ascii="Times New Roman" w:hAnsi="Times New Roman" w:eastAsia="宋体" w:cs="Times New Roman"/>
                <w:b/>
                <w:bCs/>
                <w:color w:val="000000"/>
                <w:sz w:val="24"/>
                <w:highlight w:val="none"/>
                <w:lang w:val="en-US" w:eastAsia="zh-CN"/>
              </w:rPr>
              <w:t>塑料</w:t>
            </w:r>
            <w:r>
              <w:rPr>
                <w:rFonts w:hint="eastAsia" w:ascii="Times New Roman" w:hAnsi="Times New Roman" w:eastAsia="宋体" w:cs="Times New Roman"/>
                <w:b/>
                <w:bCs/>
                <w:color w:val="000000"/>
                <w:sz w:val="24"/>
                <w:highlight w:val="none"/>
                <w:lang w:val="en-US" w:eastAsia="zh-CN"/>
              </w:rPr>
              <w:t>薄膜</w:t>
            </w:r>
            <w:r>
              <w:rPr>
                <w:rFonts w:hint="default" w:ascii="Times New Roman" w:hAnsi="Times New Roman" w:eastAsia="宋体" w:cs="Times New Roman"/>
                <w:b/>
                <w:bCs/>
                <w:color w:val="000000"/>
                <w:sz w:val="24"/>
                <w:highlight w:val="none"/>
                <w:lang w:val="en-US" w:eastAsia="zh-CN"/>
              </w:rPr>
              <w:t>制品制造行业系数表</w:t>
            </w:r>
          </w:p>
          <w:tbl>
            <w:tblPr>
              <w:tblStyle w:val="24"/>
              <w:tblW w:w="8115"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84"/>
              <w:gridCol w:w="884"/>
              <w:gridCol w:w="1187"/>
              <w:gridCol w:w="648"/>
              <w:gridCol w:w="815"/>
              <w:gridCol w:w="885"/>
              <w:gridCol w:w="888"/>
              <w:gridCol w:w="848"/>
              <w:gridCol w:w="1076"/>
            </w:tblGrid>
            <w:tr w14:paraId="7334275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884" w:type="dxa"/>
                  <w:tcBorders>
                    <w:tl2br w:val="nil"/>
                    <w:tr2bl w:val="nil"/>
                  </w:tcBorders>
                  <w:noWrap w:val="0"/>
                  <w:vAlign w:val="center"/>
                </w:tcPr>
                <w:p w14:paraId="4E9151A5">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工段名</w:t>
                  </w:r>
                </w:p>
                <w:p w14:paraId="44812EB0">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称</w:t>
                  </w:r>
                </w:p>
              </w:tc>
              <w:tc>
                <w:tcPr>
                  <w:tcW w:w="884" w:type="dxa"/>
                  <w:tcBorders>
                    <w:tl2br w:val="nil"/>
                    <w:tr2bl w:val="nil"/>
                  </w:tcBorders>
                  <w:noWrap w:val="0"/>
                  <w:vAlign w:val="center"/>
                </w:tcPr>
                <w:p w14:paraId="42C548BF">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产品名</w:t>
                  </w:r>
                </w:p>
                <w:p w14:paraId="42C0B71F">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称</w:t>
                  </w:r>
                </w:p>
              </w:tc>
              <w:tc>
                <w:tcPr>
                  <w:tcW w:w="1187" w:type="dxa"/>
                  <w:tcBorders>
                    <w:tl2br w:val="nil"/>
                    <w:tr2bl w:val="nil"/>
                  </w:tcBorders>
                  <w:noWrap w:val="0"/>
                  <w:vAlign w:val="center"/>
                </w:tcPr>
                <w:p w14:paraId="13F43553">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原料名称</w:t>
                  </w:r>
                </w:p>
              </w:tc>
              <w:tc>
                <w:tcPr>
                  <w:tcW w:w="648" w:type="dxa"/>
                  <w:tcBorders>
                    <w:tl2br w:val="nil"/>
                    <w:tr2bl w:val="nil"/>
                  </w:tcBorders>
                  <w:noWrap w:val="0"/>
                  <w:vAlign w:val="center"/>
                </w:tcPr>
                <w:p w14:paraId="1A27C7D5">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工艺</w:t>
                  </w:r>
                </w:p>
                <w:p w14:paraId="7D6AFD8F">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名称</w:t>
                  </w:r>
                </w:p>
              </w:tc>
              <w:tc>
                <w:tcPr>
                  <w:tcW w:w="815" w:type="dxa"/>
                  <w:tcBorders>
                    <w:tl2br w:val="nil"/>
                    <w:tr2bl w:val="nil"/>
                  </w:tcBorders>
                  <w:noWrap w:val="0"/>
                  <w:vAlign w:val="center"/>
                </w:tcPr>
                <w:p w14:paraId="5AC03D2D">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规模</w:t>
                  </w:r>
                </w:p>
                <w:p w14:paraId="7892C20E">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等级</w:t>
                  </w:r>
                </w:p>
              </w:tc>
              <w:tc>
                <w:tcPr>
                  <w:tcW w:w="1773" w:type="dxa"/>
                  <w:gridSpan w:val="2"/>
                  <w:tcBorders>
                    <w:tl2br w:val="nil"/>
                    <w:tr2bl w:val="nil"/>
                  </w:tcBorders>
                  <w:noWrap w:val="0"/>
                  <w:vAlign w:val="center"/>
                </w:tcPr>
                <w:p w14:paraId="135BD79D">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污染物指标</w:t>
                  </w:r>
                </w:p>
              </w:tc>
              <w:tc>
                <w:tcPr>
                  <w:tcW w:w="848" w:type="dxa"/>
                  <w:tcBorders>
                    <w:tl2br w:val="nil"/>
                    <w:tr2bl w:val="nil"/>
                  </w:tcBorders>
                  <w:noWrap w:val="0"/>
                  <w:vAlign w:val="center"/>
                </w:tcPr>
                <w:p w14:paraId="2A9AB3DF">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系数</w:t>
                  </w:r>
                </w:p>
                <w:p w14:paraId="6E9B9169">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单位</w:t>
                  </w:r>
                </w:p>
              </w:tc>
              <w:tc>
                <w:tcPr>
                  <w:tcW w:w="1076" w:type="dxa"/>
                  <w:tcBorders>
                    <w:tl2br w:val="nil"/>
                    <w:tr2bl w:val="nil"/>
                  </w:tcBorders>
                  <w:noWrap w:val="0"/>
                  <w:vAlign w:val="center"/>
                </w:tcPr>
                <w:p w14:paraId="4FACE20D">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产污系数</w:t>
                  </w:r>
                </w:p>
              </w:tc>
            </w:tr>
            <w:tr w14:paraId="797C66F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21" w:hRule="atLeast"/>
                <w:jc w:val="center"/>
              </w:trPr>
              <w:tc>
                <w:tcPr>
                  <w:tcW w:w="884" w:type="dxa"/>
                  <w:tcBorders>
                    <w:tl2br w:val="nil"/>
                    <w:tr2bl w:val="nil"/>
                  </w:tcBorders>
                  <w:noWrap w:val="0"/>
                  <w:vAlign w:val="center"/>
                </w:tcPr>
                <w:p w14:paraId="0B410629">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w:t>
                  </w:r>
                </w:p>
              </w:tc>
              <w:tc>
                <w:tcPr>
                  <w:tcW w:w="884" w:type="dxa"/>
                  <w:tcBorders>
                    <w:tl2br w:val="nil"/>
                    <w:tr2bl w:val="nil"/>
                  </w:tcBorders>
                  <w:noWrap w:val="0"/>
                  <w:vAlign w:val="center"/>
                </w:tcPr>
                <w:p w14:paraId="62DBBBEE">
                  <w:pPr>
                    <w:pStyle w:val="39"/>
                    <w:jc w:val="center"/>
                    <w:rPr>
                      <w:rFonts w:hint="default" w:ascii="Times New Roman" w:hAnsi="Times New Roman" w:eastAsia="宋体" w:cs="Times New Roman"/>
                      <w:color w:val="000000"/>
                      <w:highlight w:val="none"/>
                      <w:lang w:val="en-US" w:eastAsia="zh-CN"/>
                    </w:rPr>
                  </w:pPr>
                  <w:r>
                    <w:rPr>
                      <w:rFonts w:hint="eastAsia" w:cs="Times New Roman"/>
                      <w:color w:val="000000"/>
                      <w:highlight w:val="none"/>
                      <w:lang w:val="en-US" w:eastAsia="zh-CN"/>
                    </w:rPr>
                    <w:t>塑料薄膜</w:t>
                  </w:r>
                </w:p>
              </w:tc>
              <w:tc>
                <w:tcPr>
                  <w:tcW w:w="1187" w:type="dxa"/>
                  <w:tcBorders>
                    <w:tl2br w:val="nil"/>
                    <w:tr2bl w:val="nil"/>
                  </w:tcBorders>
                  <w:noWrap w:val="0"/>
                  <w:vAlign w:val="center"/>
                </w:tcPr>
                <w:p w14:paraId="61870856">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树脂、助剂</w:t>
                  </w:r>
                </w:p>
              </w:tc>
              <w:tc>
                <w:tcPr>
                  <w:tcW w:w="648" w:type="dxa"/>
                  <w:tcBorders>
                    <w:tl2br w:val="nil"/>
                    <w:tr2bl w:val="nil"/>
                  </w:tcBorders>
                  <w:noWrap w:val="0"/>
                  <w:vAlign w:val="center"/>
                </w:tcPr>
                <w:p w14:paraId="7F1EB401">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配料-混合-挤出</w:t>
                  </w:r>
                </w:p>
              </w:tc>
              <w:tc>
                <w:tcPr>
                  <w:tcW w:w="815" w:type="dxa"/>
                  <w:tcBorders>
                    <w:tl2br w:val="nil"/>
                    <w:tr2bl w:val="nil"/>
                  </w:tcBorders>
                  <w:noWrap w:val="0"/>
                  <w:vAlign w:val="center"/>
                </w:tcPr>
                <w:p w14:paraId="301B5501">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所有规模</w:t>
                  </w:r>
                </w:p>
              </w:tc>
              <w:tc>
                <w:tcPr>
                  <w:tcW w:w="885" w:type="dxa"/>
                  <w:tcBorders>
                    <w:tl2br w:val="nil"/>
                    <w:tr2bl w:val="nil"/>
                  </w:tcBorders>
                  <w:noWrap w:val="0"/>
                  <w:vAlign w:val="center"/>
                </w:tcPr>
                <w:p w14:paraId="76266E9B">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废气</w:t>
                  </w:r>
                </w:p>
              </w:tc>
              <w:tc>
                <w:tcPr>
                  <w:tcW w:w="888" w:type="dxa"/>
                  <w:tcBorders>
                    <w:tl2br w:val="nil"/>
                    <w:tr2bl w:val="nil"/>
                  </w:tcBorders>
                  <w:noWrap w:val="0"/>
                  <w:vAlign w:val="center"/>
                </w:tcPr>
                <w:p w14:paraId="239430C8">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挥发性有机物</w:t>
                  </w:r>
                </w:p>
              </w:tc>
              <w:tc>
                <w:tcPr>
                  <w:tcW w:w="848" w:type="dxa"/>
                  <w:tcBorders>
                    <w:tl2br w:val="nil"/>
                    <w:tr2bl w:val="nil"/>
                  </w:tcBorders>
                  <w:noWrap w:val="0"/>
                  <w:vAlign w:val="center"/>
                </w:tcPr>
                <w:p w14:paraId="0B8410CE">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kg/吨- 产品</w:t>
                  </w:r>
                </w:p>
              </w:tc>
              <w:tc>
                <w:tcPr>
                  <w:tcW w:w="1076" w:type="dxa"/>
                  <w:tcBorders>
                    <w:tl2br w:val="nil"/>
                    <w:tr2bl w:val="nil"/>
                  </w:tcBorders>
                  <w:noWrap w:val="0"/>
                  <w:vAlign w:val="center"/>
                </w:tcPr>
                <w:p w14:paraId="4F08B8DC">
                  <w:pPr>
                    <w:pStyle w:val="39"/>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r>
                    <w:rPr>
                      <w:rFonts w:hint="eastAsia" w:ascii="Times New Roman" w:hAnsi="Times New Roman" w:eastAsia="宋体" w:cs="Times New Roman"/>
                      <w:color w:val="000000"/>
                      <w:highlight w:val="none"/>
                      <w:lang w:val="en-US" w:eastAsia="zh-CN"/>
                    </w:rPr>
                    <w:t>5</w:t>
                  </w:r>
                </w:p>
              </w:tc>
            </w:tr>
          </w:tbl>
          <w:p w14:paraId="0942345D">
            <w:pPr>
              <w:pStyle w:val="19"/>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建设单位拟在</w:t>
            </w:r>
            <w:r>
              <w:rPr>
                <w:rFonts w:hint="eastAsia" w:ascii="Times New Roman" w:hAnsi="Times New Roman" w:eastAsia="宋体" w:cs="Times New Roman"/>
                <w:b w:val="0"/>
                <w:bCs w:val="0"/>
                <w:color w:val="000000"/>
                <w:kern w:val="2"/>
                <w:sz w:val="24"/>
                <w:szCs w:val="24"/>
                <w:highlight w:val="none"/>
                <w:lang w:val="en-US" w:eastAsia="zh-CN" w:bidi="ar-SA"/>
              </w:rPr>
              <w:t>吹膜机</w:t>
            </w:r>
            <w:r>
              <w:rPr>
                <w:rFonts w:hint="default" w:ascii="Times New Roman" w:hAnsi="Times New Roman" w:eastAsia="宋体" w:cs="Times New Roman"/>
                <w:b w:val="0"/>
                <w:bCs w:val="0"/>
                <w:color w:val="000000"/>
                <w:kern w:val="2"/>
                <w:sz w:val="24"/>
                <w:szCs w:val="24"/>
                <w:highlight w:val="none"/>
                <w:lang w:val="en-US" w:eastAsia="zh-CN" w:bidi="ar-SA"/>
              </w:rPr>
              <w:t>上方安装集气罩对产生的有机废气进行收集，</w:t>
            </w:r>
            <w:r>
              <w:rPr>
                <w:rFonts w:hint="eastAsia" w:ascii="Times New Roman" w:hAnsi="Times New Roman" w:eastAsia="宋体" w:cs="Times New Roman"/>
                <w:b w:val="0"/>
                <w:bCs w:val="0"/>
                <w:color w:val="000000"/>
                <w:kern w:val="2"/>
                <w:sz w:val="24"/>
                <w:szCs w:val="24"/>
                <w:highlight w:val="none"/>
                <w:lang w:val="en-US" w:eastAsia="zh-CN" w:bidi="ar-SA"/>
              </w:rPr>
              <w:t>根据产污系数可知，每吨产品产生2.5kg的有机废气，则本项目吹膜工序年产生有机废气2.</w:t>
            </w:r>
            <w:r>
              <w:rPr>
                <w:rFonts w:hint="eastAsia" w:cs="Times New Roman"/>
                <w:b w:val="0"/>
                <w:bCs w:val="0"/>
                <w:color w:val="000000"/>
                <w:kern w:val="2"/>
                <w:sz w:val="24"/>
                <w:szCs w:val="24"/>
                <w:highlight w:val="none"/>
                <w:lang w:val="en-US" w:eastAsia="zh-CN" w:bidi="ar-SA"/>
              </w:rPr>
              <w:t>5</w:t>
            </w:r>
            <w:r>
              <w:rPr>
                <w:rFonts w:hint="eastAsia" w:ascii="Times New Roman" w:hAnsi="Times New Roman" w:eastAsia="宋体" w:cs="Times New Roman"/>
                <w:b w:val="0"/>
                <w:bCs w:val="0"/>
                <w:color w:val="000000"/>
                <w:kern w:val="2"/>
                <w:sz w:val="24"/>
                <w:szCs w:val="24"/>
                <w:highlight w:val="none"/>
                <w:lang w:val="en-US" w:eastAsia="zh-CN" w:bidi="ar-SA"/>
              </w:rPr>
              <w:t>t/a。</w:t>
            </w:r>
            <w:r>
              <w:rPr>
                <w:rFonts w:hint="default" w:ascii="Times New Roman" w:hAnsi="Times New Roman" w:eastAsia="宋体" w:cs="Times New Roman"/>
                <w:b w:val="0"/>
                <w:bCs w:val="0"/>
                <w:color w:val="000000"/>
                <w:kern w:val="2"/>
                <w:sz w:val="24"/>
                <w:szCs w:val="24"/>
                <w:highlight w:val="none"/>
                <w:lang w:val="en-US" w:eastAsia="zh-CN" w:bidi="ar-SA"/>
              </w:rPr>
              <w:t>收集的废气经活性炭吸附装置处理后由一根15m高排气筒（</w:t>
            </w:r>
            <w:r>
              <w:rPr>
                <w:rFonts w:hint="eastAsia" w:ascii="Times New Roman" w:hAnsi="Times New Roman" w:eastAsia="宋体" w:cs="Times New Roman"/>
                <w:b w:val="0"/>
                <w:bCs w:val="0"/>
                <w:color w:val="000000"/>
                <w:kern w:val="2"/>
                <w:sz w:val="24"/>
                <w:szCs w:val="24"/>
                <w:highlight w:val="none"/>
                <w:lang w:val="en-US" w:eastAsia="zh-CN" w:bidi="ar-SA"/>
              </w:rPr>
              <w:t>DA00</w:t>
            </w:r>
            <w:r>
              <w:rPr>
                <w:rFonts w:hint="eastAsia" w:cs="Times New Roman"/>
                <w:b w:val="0"/>
                <w:bCs w:val="0"/>
                <w:color w:val="000000"/>
                <w:kern w:val="2"/>
                <w:sz w:val="24"/>
                <w:szCs w:val="24"/>
                <w:highlight w:val="none"/>
                <w:lang w:val="en-US" w:eastAsia="zh-CN" w:bidi="ar-SA"/>
              </w:rPr>
              <w:t>1</w:t>
            </w:r>
            <w:r>
              <w:rPr>
                <w:rFonts w:hint="default" w:ascii="Times New Roman" w:hAnsi="Times New Roman" w:eastAsia="宋体" w:cs="Times New Roman"/>
                <w:b w:val="0"/>
                <w:bCs w:val="0"/>
                <w:color w:val="000000"/>
                <w:kern w:val="2"/>
                <w:sz w:val="24"/>
                <w:szCs w:val="24"/>
                <w:highlight w:val="none"/>
                <w:lang w:val="en-US" w:eastAsia="zh-CN" w:bidi="ar-SA"/>
              </w:rPr>
              <w:t>）进行排放。设计风机风量为</w:t>
            </w:r>
            <w:r>
              <w:rPr>
                <w:rFonts w:hint="eastAsia" w:ascii="Times New Roman" w:hAnsi="Times New Roman" w:eastAsia="宋体" w:cs="Times New Roman"/>
                <w:b w:val="0"/>
                <w:bCs w:val="0"/>
                <w:color w:val="000000"/>
                <w:kern w:val="2"/>
                <w:sz w:val="24"/>
                <w:szCs w:val="24"/>
                <w:highlight w:val="none"/>
                <w:lang w:val="en-US" w:eastAsia="zh-CN" w:bidi="ar-SA"/>
              </w:rPr>
              <w:t>10</w:t>
            </w:r>
            <w:r>
              <w:rPr>
                <w:rFonts w:hint="default" w:ascii="Times New Roman" w:hAnsi="Times New Roman" w:eastAsia="宋体" w:cs="Times New Roman"/>
                <w:b w:val="0"/>
                <w:bCs w:val="0"/>
                <w:color w:val="000000"/>
                <w:kern w:val="2"/>
                <w:sz w:val="24"/>
                <w:szCs w:val="24"/>
                <w:highlight w:val="none"/>
                <w:lang w:val="en-US" w:eastAsia="zh-CN" w:bidi="ar-SA"/>
              </w:rPr>
              <w:t>000m</w:t>
            </w:r>
            <w:r>
              <w:rPr>
                <w:rFonts w:hint="default" w:ascii="Times New Roman" w:hAnsi="Times New Roman" w:eastAsia="宋体" w:cs="Times New Roman"/>
                <w:b w:val="0"/>
                <w:bCs w:val="0"/>
                <w:color w:val="000000"/>
                <w:kern w:val="2"/>
                <w:sz w:val="24"/>
                <w:szCs w:val="24"/>
                <w:highlight w:val="none"/>
                <w:vertAlign w:val="superscript"/>
                <w:lang w:val="en-US" w:eastAsia="zh-CN" w:bidi="ar-SA"/>
              </w:rPr>
              <w:t>3</w:t>
            </w:r>
            <w:r>
              <w:rPr>
                <w:rFonts w:hint="default" w:ascii="Times New Roman" w:hAnsi="Times New Roman" w:eastAsia="宋体" w:cs="Times New Roman"/>
                <w:b w:val="0"/>
                <w:bCs w:val="0"/>
                <w:color w:val="000000"/>
                <w:kern w:val="2"/>
                <w:sz w:val="24"/>
                <w:szCs w:val="24"/>
                <w:highlight w:val="none"/>
                <w:lang w:val="en-US" w:eastAsia="zh-CN" w:bidi="ar-SA"/>
              </w:rPr>
              <w:t>/h。</w:t>
            </w:r>
            <w:r>
              <w:rPr>
                <w:rFonts w:hint="eastAsia" w:ascii="Times New Roman" w:hAnsi="Times New Roman" w:eastAsia="宋体" w:cs="Times New Roman"/>
                <w:b w:val="0"/>
                <w:bCs w:val="0"/>
                <w:color w:val="000000"/>
                <w:kern w:val="2"/>
                <w:sz w:val="24"/>
                <w:szCs w:val="24"/>
                <w:highlight w:val="none"/>
                <w:lang w:val="en-US" w:eastAsia="zh-CN" w:bidi="ar-SA"/>
              </w:rPr>
              <w:t>活性炭</w:t>
            </w:r>
            <w:r>
              <w:rPr>
                <w:rFonts w:hint="default" w:ascii="Times New Roman" w:hAnsi="Times New Roman" w:eastAsia="宋体" w:cs="Times New Roman"/>
                <w:b w:val="0"/>
                <w:bCs w:val="0"/>
                <w:color w:val="000000"/>
                <w:kern w:val="2"/>
                <w:sz w:val="24"/>
                <w:szCs w:val="24"/>
                <w:highlight w:val="none"/>
                <w:lang w:val="en-US" w:eastAsia="zh-CN" w:bidi="ar-SA"/>
              </w:rPr>
              <w:t>去除率以</w:t>
            </w:r>
            <w:r>
              <w:rPr>
                <w:rFonts w:hint="eastAsia" w:cs="Times New Roman"/>
                <w:b w:val="0"/>
                <w:bCs w:val="0"/>
                <w:color w:val="000000"/>
                <w:kern w:val="2"/>
                <w:sz w:val="24"/>
                <w:szCs w:val="24"/>
                <w:highlight w:val="none"/>
                <w:lang w:val="en-US" w:eastAsia="zh-CN" w:bidi="ar-SA"/>
              </w:rPr>
              <w:t>75</w:t>
            </w:r>
            <w:r>
              <w:rPr>
                <w:rFonts w:hint="default" w:ascii="Times New Roman" w:hAnsi="Times New Roman" w:eastAsia="宋体" w:cs="Times New Roman"/>
                <w:b w:val="0"/>
                <w:bCs w:val="0"/>
                <w:color w:val="000000"/>
                <w:kern w:val="2"/>
                <w:sz w:val="24"/>
                <w:szCs w:val="24"/>
                <w:highlight w:val="none"/>
                <w:lang w:val="en-US" w:eastAsia="zh-CN" w:bidi="ar-SA"/>
              </w:rPr>
              <w:t>%计，集气装置集气效率为90%，则本项目</w:t>
            </w:r>
            <w:r>
              <w:rPr>
                <w:rFonts w:hint="eastAsia" w:cs="Times New Roman"/>
                <w:b w:val="0"/>
                <w:bCs w:val="0"/>
                <w:color w:val="000000"/>
                <w:kern w:val="2"/>
                <w:sz w:val="24"/>
                <w:szCs w:val="24"/>
                <w:highlight w:val="none"/>
                <w:lang w:val="en-US" w:eastAsia="zh-CN" w:bidi="ar-SA"/>
              </w:rPr>
              <w:t>吹膜</w:t>
            </w:r>
            <w:r>
              <w:rPr>
                <w:rFonts w:hint="default" w:ascii="Times New Roman" w:hAnsi="Times New Roman" w:eastAsia="宋体" w:cs="Times New Roman"/>
                <w:b w:val="0"/>
                <w:bCs w:val="0"/>
                <w:color w:val="000000"/>
                <w:kern w:val="2"/>
                <w:sz w:val="24"/>
                <w:szCs w:val="24"/>
                <w:highlight w:val="none"/>
                <w:lang w:val="en-US" w:eastAsia="zh-CN" w:bidi="ar-SA"/>
              </w:rPr>
              <w:t>废气非甲烷总烃（VOCs）有组织排放量为</w:t>
            </w:r>
            <w:r>
              <w:rPr>
                <w:rFonts w:hint="eastAsia" w:cs="Times New Roman"/>
                <w:b w:val="0"/>
                <w:bCs w:val="0"/>
                <w:color w:val="000000"/>
                <w:kern w:val="2"/>
                <w:sz w:val="24"/>
                <w:szCs w:val="24"/>
                <w:highlight w:val="none"/>
                <w:lang w:val="en-US" w:eastAsia="zh-CN" w:bidi="ar-SA"/>
              </w:rPr>
              <w:t>0.5625</w:t>
            </w:r>
            <w:r>
              <w:rPr>
                <w:rFonts w:hint="default" w:ascii="Times New Roman" w:hAnsi="Times New Roman" w:eastAsia="宋体" w:cs="Times New Roman"/>
                <w:b w:val="0"/>
                <w:bCs w:val="0"/>
                <w:color w:val="000000"/>
                <w:kern w:val="2"/>
                <w:sz w:val="24"/>
                <w:szCs w:val="24"/>
                <w:highlight w:val="none"/>
                <w:lang w:val="en-US" w:eastAsia="zh-CN" w:bidi="ar-SA"/>
              </w:rPr>
              <w:t>t/a，无组织排放量为0.</w:t>
            </w:r>
            <w:r>
              <w:rPr>
                <w:rFonts w:hint="eastAsia" w:cs="Times New Roman"/>
                <w:b w:val="0"/>
                <w:bCs w:val="0"/>
                <w:color w:val="000000"/>
                <w:kern w:val="2"/>
                <w:sz w:val="24"/>
                <w:szCs w:val="24"/>
                <w:highlight w:val="none"/>
                <w:lang w:val="en-US" w:eastAsia="zh-CN" w:bidi="ar-SA"/>
              </w:rPr>
              <w:t>2</w:t>
            </w:r>
            <w:r>
              <w:rPr>
                <w:rFonts w:hint="default" w:ascii="Times New Roman" w:hAnsi="Times New Roman" w:eastAsia="宋体" w:cs="Times New Roman"/>
                <w:b w:val="0"/>
                <w:bCs w:val="0"/>
                <w:color w:val="000000"/>
                <w:kern w:val="2"/>
                <w:sz w:val="24"/>
                <w:szCs w:val="24"/>
                <w:highlight w:val="none"/>
                <w:lang w:val="en-US" w:eastAsia="zh-CN" w:bidi="ar-SA"/>
              </w:rPr>
              <w:t>5t/a。</w:t>
            </w:r>
          </w:p>
          <w:p w14:paraId="46767F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4</w:t>
            </w: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制袋废气（以</w:t>
            </w:r>
            <w:r>
              <w:rPr>
                <w:rFonts w:hint="default" w:ascii="Times New Roman" w:hAnsi="Times New Roman" w:eastAsia="宋体" w:cs="Times New Roman"/>
                <w:color w:val="262626"/>
                <w:kern w:val="0"/>
                <w:sz w:val="24"/>
                <w:szCs w:val="24"/>
                <w:lang w:val="en-US" w:eastAsia="zh-CN" w:bidi="ar-SA"/>
              </w:rPr>
              <w:t>VOCs</w:t>
            </w:r>
            <w:r>
              <w:rPr>
                <w:rFonts w:hint="eastAsia" w:cs="Times New Roman"/>
                <w:color w:val="262626"/>
                <w:kern w:val="0"/>
                <w:sz w:val="24"/>
                <w:szCs w:val="24"/>
                <w:lang w:val="en-US" w:eastAsia="zh-CN" w:bidi="ar-SA"/>
              </w:rPr>
              <w:t>为表征）</w:t>
            </w:r>
          </w:p>
          <w:p w14:paraId="409F4F09">
            <w:pPr>
              <w:pStyle w:val="19"/>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color w:val="262626"/>
                <w:kern w:val="0"/>
                <w:sz w:val="24"/>
                <w:szCs w:val="24"/>
                <w:lang w:val="en-US" w:eastAsia="zh-CN" w:bidi="ar-SA"/>
              </w:rPr>
              <w:t>本项目采用热压封边工艺，电热刀工作温度120-160°C，低于</w:t>
            </w:r>
            <w:r>
              <w:rPr>
                <w:rFonts w:hint="eastAsia" w:cs="Times New Roman"/>
                <w:color w:val="262626"/>
                <w:kern w:val="0"/>
                <w:sz w:val="24"/>
                <w:szCs w:val="24"/>
                <w:lang w:val="en-US" w:eastAsia="zh-CN" w:bidi="ar-SA"/>
              </w:rPr>
              <w:t>塑料膜</w:t>
            </w:r>
            <w:r>
              <w:rPr>
                <w:rFonts w:hint="default" w:ascii="Times New Roman" w:hAnsi="Times New Roman" w:eastAsia="宋体" w:cs="Times New Roman"/>
                <w:color w:val="262626"/>
                <w:kern w:val="0"/>
                <w:sz w:val="24"/>
                <w:szCs w:val="24"/>
                <w:lang w:val="en-US" w:eastAsia="zh-CN" w:bidi="ar-SA"/>
              </w:rPr>
              <w:t>分解温度（3</w:t>
            </w:r>
            <w:r>
              <w:rPr>
                <w:rFonts w:hint="eastAsia" w:cs="Times New Roman"/>
                <w:color w:val="262626"/>
                <w:kern w:val="0"/>
                <w:sz w:val="24"/>
                <w:szCs w:val="24"/>
                <w:lang w:val="en-US" w:eastAsia="zh-CN" w:bidi="ar-SA"/>
              </w:rPr>
              <w:t>00</w:t>
            </w:r>
            <w:r>
              <w:rPr>
                <w:rFonts w:hint="default" w:ascii="Times New Roman" w:hAnsi="Times New Roman" w:eastAsia="宋体" w:cs="Times New Roman"/>
                <w:color w:val="262626"/>
                <w:kern w:val="0"/>
                <w:sz w:val="24"/>
                <w:szCs w:val="24"/>
                <w:lang w:val="en-US" w:eastAsia="zh-CN" w:bidi="ar-SA"/>
              </w:rPr>
              <w:t>°C），塑料薄膜不会分解，仅产生极少量残存单体挥发。参照《排放源统计调查产排污核算方法和系数手册》中塑料薄膜制造产污系数2.5kg/t-产品，</w:t>
            </w:r>
            <w:r>
              <w:rPr>
                <w:rFonts w:hint="eastAsia" w:cs="Times New Roman"/>
                <w:color w:val="262626"/>
                <w:kern w:val="0"/>
                <w:sz w:val="24"/>
                <w:szCs w:val="24"/>
                <w:lang w:val="en-US" w:eastAsia="zh-CN" w:bidi="ar-SA"/>
              </w:rPr>
              <w:t>本项目年产塑料包装袋1700吨，</w:t>
            </w:r>
            <w:r>
              <w:rPr>
                <w:rFonts w:hint="default" w:ascii="Times New Roman" w:hAnsi="Times New Roman" w:eastAsia="宋体" w:cs="Times New Roman"/>
                <w:color w:val="262626"/>
                <w:kern w:val="0"/>
                <w:sz w:val="24"/>
                <w:szCs w:val="24"/>
                <w:lang w:val="en-US" w:eastAsia="zh-CN" w:bidi="ar-SA"/>
              </w:rPr>
              <w:t>按实际热封面积比例3%-8%折算，VOCs产生量为0.13-0.34t/a。</w:t>
            </w:r>
            <w:r>
              <w:rPr>
                <w:rFonts w:hint="eastAsia" w:cs="Times New Roman"/>
                <w:color w:val="262626"/>
                <w:kern w:val="0"/>
                <w:sz w:val="24"/>
                <w:szCs w:val="24"/>
                <w:lang w:val="en-US" w:eastAsia="zh-CN" w:bidi="ar-SA"/>
              </w:rPr>
              <w:t>本次评价保守估计取最大值，即制袋废气</w:t>
            </w:r>
            <w:r>
              <w:rPr>
                <w:rFonts w:hint="default" w:ascii="Times New Roman" w:hAnsi="Times New Roman" w:eastAsia="宋体" w:cs="Times New Roman"/>
                <w:color w:val="262626"/>
                <w:kern w:val="0"/>
                <w:sz w:val="24"/>
                <w:szCs w:val="24"/>
                <w:lang w:val="en-US" w:eastAsia="zh-CN" w:bidi="ar-SA"/>
              </w:rPr>
              <w:t>VOCs产生量为0.34t/a</w:t>
            </w:r>
            <w:r>
              <w:rPr>
                <w:rFonts w:hint="eastAsia" w:cs="Times New Roman"/>
                <w:color w:val="262626"/>
                <w:kern w:val="0"/>
                <w:sz w:val="24"/>
                <w:szCs w:val="24"/>
                <w:lang w:val="en-US" w:eastAsia="zh-CN" w:bidi="ar-SA"/>
              </w:rPr>
              <w:t>。制袋废气拟通过集气罩收集后经二级活性炭处理达标后，由一根15m高排气筒（DA001）排放。集气装置集气效率为90%，二级活性炭处理效率为75%，即制袋废气</w:t>
            </w:r>
            <w:r>
              <w:rPr>
                <w:rFonts w:hint="default" w:ascii="Times New Roman" w:hAnsi="Times New Roman" w:eastAsia="宋体" w:cs="Times New Roman"/>
                <w:b w:val="0"/>
                <w:bCs w:val="0"/>
                <w:color w:val="000000"/>
                <w:kern w:val="2"/>
                <w:sz w:val="24"/>
                <w:szCs w:val="24"/>
                <w:highlight w:val="none"/>
                <w:lang w:val="en-US" w:eastAsia="zh-CN" w:bidi="ar-SA"/>
              </w:rPr>
              <w:t>非甲烷总烃（VOCs）有组织排放量为</w:t>
            </w:r>
            <w:r>
              <w:rPr>
                <w:rFonts w:hint="eastAsia" w:cs="Times New Roman"/>
                <w:b w:val="0"/>
                <w:bCs w:val="0"/>
                <w:color w:val="000000"/>
                <w:kern w:val="2"/>
                <w:sz w:val="24"/>
                <w:szCs w:val="24"/>
                <w:highlight w:val="none"/>
                <w:lang w:val="en-US" w:eastAsia="zh-CN" w:bidi="ar-SA"/>
              </w:rPr>
              <w:t>0.0765</w:t>
            </w:r>
            <w:r>
              <w:rPr>
                <w:rFonts w:hint="default" w:ascii="Times New Roman" w:hAnsi="Times New Roman" w:eastAsia="宋体" w:cs="Times New Roman"/>
                <w:b w:val="0"/>
                <w:bCs w:val="0"/>
                <w:color w:val="000000"/>
                <w:kern w:val="2"/>
                <w:sz w:val="24"/>
                <w:szCs w:val="24"/>
                <w:highlight w:val="none"/>
                <w:lang w:val="en-US" w:eastAsia="zh-CN" w:bidi="ar-SA"/>
              </w:rPr>
              <w:t>t/a，无组织排放量为</w:t>
            </w:r>
            <w:r>
              <w:rPr>
                <w:rFonts w:hint="eastAsia" w:cs="Times New Roman"/>
                <w:b w:val="0"/>
                <w:bCs w:val="0"/>
                <w:color w:val="000000"/>
                <w:kern w:val="2"/>
                <w:sz w:val="24"/>
                <w:szCs w:val="24"/>
                <w:highlight w:val="none"/>
                <w:lang w:val="en-US" w:eastAsia="zh-CN" w:bidi="ar-SA"/>
              </w:rPr>
              <w:t>0.034</w:t>
            </w:r>
            <w:r>
              <w:rPr>
                <w:rFonts w:hint="default" w:ascii="Times New Roman" w:hAnsi="Times New Roman" w:eastAsia="宋体" w:cs="Times New Roman"/>
                <w:b w:val="0"/>
                <w:bCs w:val="0"/>
                <w:color w:val="000000"/>
                <w:kern w:val="2"/>
                <w:sz w:val="24"/>
                <w:szCs w:val="24"/>
                <w:highlight w:val="none"/>
                <w:lang w:val="en-US" w:eastAsia="zh-CN" w:bidi="ar-SA"/>
              </w:rPr>
              <w:t>t/a。</w:t>
            </w:r>
          </w:p>
          <w:p w14:paraId="3FF93F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5</w:t>
            </w: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恶臭气体</w:t>
            </w:r>
          </w:p>
          <w:p w14:paraId="0FC236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color w:val="000000"/>
                <w:sz w:val="24"/>
                <w:szCs w:val="24"/>
                <w:lang w:val="en-US" w:eastAsia="zh-CN"/>
              </w:rPr>
            </w:pPr>
            <w:r>
              <w:rPr>
                <w:rFonts w:hint="eastAsia" w:ascii="Times New Roman" w:hAnsi="Times New Roman" w:eastAsia="宋体" w:cs="Times New Roman"/>
                <w:color w:val="262626"/>
                <w:kern w:val="0"/>
                <w:sz w:val="24"/>
                <w:szCs w:val="24"/>
                <w:lang w:val="en-US" w:eastAsia="zh-CN" w:bidi="ar-SA"/>
              </w:rPr>
              <w:t>项目印刷、复合等工序会产生轻微恶臭气味，其污染因子为臭气浓度，与有机废气协调处理，吸附技术可有效去除有机废气中的恶臭异味，对周围环境影响很小。恶臭气味产生量因原辅材料使用类型、使用量、设备参数等而有较大差异</w:t>
            </w:r>
            <w:r>
              <w:rPr>
                <w:rFonts w:hint="eastAsia" w:cs="Times New Roman"/>
                <w:color w:val="262626"/>
                <w:kern w:val="0"/>
                <w:sz w:val="24"/>
                <w:szCs w:val="24"/>
                <w:lang w:val="en-US" w:eastAsia="zh-CN" w:bidi="ar-SA"/>
              </w:rPr>
              <w:t>且</w:t>
            </w:r>
            <w:r>
              <w:rPr>
                <w:rFonts w:hint="eastAsia" w:ascii="Times New Roman" w:hAnsi="Times New Roman" w:eastAsia="宋体" w:cs="Times New Roman"/>
                <w:color w:val="262626"/>
                <w:kern w:val="0"/>
                <w:sz w:val="24"/>
                <w:szCs w:val="24"/>
                <w:lang w:val="en-US" w:eastAsia="zh-CN" w:bidi="ar-SA"/>
              </w:rPr>
              <w:t>臭气浓度无量纲，难以定量分析，本报告不进行定量分析，仅在监测计划中提出监测要求。建设单位在经营过程中应加强管理，使臭气浓度达到《恶臭污染物排放标准》</w:t>
            </w:r>
            <w:r>
              <w:rPr>
                <w:rFonts w:hint="eastAsia" w:cs="Times New Roman"/>
                <w:color w:val="262626"/>
                <w:kern w:val="0"/>
                <w:sz w:val="24"/>
                <w:szCs w:val="24"/>
                <w:lang w:val="en-US" w:eastAsia="zh-CN" w:bidi="ar-SA"/>
              </w:rPr>
              <w:t>（</w:t>
            </w:r>
            <w:r>
              <w:rPr>
                <w:rFonts w:hint="eastAsia" w:ascii="Times New Roman" w:hAnsi="Times New Roman" w:eastAsia="宋体" w:cs="Times New Roman"/>
                <w:color w:val="262626"/>
                <w:kern w:val="0"/>
                <w:sz w:val="24"/>
                <w:szCs w:val="24"/>
                <w:lang w:val="en-US" w:eastAsia="zh-CN" w:bidi="ar-SA"/>
              </w:rPr>
              <w:t>GB14554-93</w:t>
            </w:r>
            <w:r>
              <w:rPr>
                <w:rFonts w:hint="eastAsia" w:cs="Times New Roman"/>
                <w:color w:val="262626"/>
                <w:kern w:val="0"/>
                <w:sz w:val="24"/>
                <w:szCs w:val="24"/>
                <w:lang w:val="en-US" w:eastAsia="zh-CN" w:bidi="ar-SA"/>
              </w:rPr>
              <w:t>）</w:t>
            </w:r>
            <w:r>
              <w:rPr>
                <w:rFonts w:hint="eastAsia" w:ascii="Times New Roman" w:hAnsi="Times New Roman" w:eastAsia="宋体" w:cs="Times New Roman"/>
                <w:color w:val="262626"/>
                <w:kern w:val="0"/>
                <w:sz w:val="24"/>
                <w:szCs w:val="24"/>
                <w:lang w:val="en-US" w:eastAsia="zh-CN" w:bidi="ar-SA"/>
              </w:rPr>
              <w:t>中恶臭污染物厂界标准值二级标准的要求。</w:t>
            </w:r>
          </w:p>
        </w:tc>
      </w:tr>
    </w:tbl>
    <w:p w14:paraId="784EECDC">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3339"/>
      </w:tblGrid>
      <w:tr w14:paraId="7A33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3" w:type="pct"/>
            <w:vAlign w:val="center"/>
          </w:tcPr>
          <w:p w14:paraId="6F72F227">
            <w:pPr>
              <w:jc w:val="center"/>
              <w:rPr>
                <w:rFonts w:hint="default" w:ascii="Times New Roman" w:hAnsi="Times New Roman" w:eastAsia="宋体" w:cs="Times New Roman"/>
                <w:color w:val="auto"/>
                <w:kern w:val="0"/>
                <w:sz w:val="24"/>
                <w:szCs w:val="24"/>
                <w:lang w:val="en-US" w:eastAsia="zh-CN"/>
              </w:rPr>
            </w:pPr>
          </w:p>
        </w:tc>
        <w:tc>
          <w:tcPr>
            <w:tcW w:w="4806" w:type="pct"/>
          </w:tcPr>
          <w:p w14:paraId="541CCA98">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83" w:name="_Toc29384"/>
            <w:r>
              <w:rPr>
                <w:rFonts w:hint="eastAsia"/>
                <w:b/>
                <w:color w:val="262626"/>
                <w:kern w:val="0"/>
                <w:sz w:val="24"/>
                <w:lang w:val="en-US" w:eastAsia="zh-CN"/>
              </w:rPr>
              <w:t>4.1.2 废气产排情况一览表</w:t>
            </w:r>
            <w:bookmarkEnd w:id="83"/>
          </w:p>
          <w:p w14:paraId="057C37A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表4.1-3 项目废气产排情况一览表</w:t>
            </w:r>
          </w:p>
          <w:tbl>
            <w:tblPr>
              <w:tblStyle w:val="2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524"/>
              <w:gridCol w:w="545"/>
              <w:gridCol w:w="1136"/>
              <w:gridCol w:w="689"/>
              <w:gridCol w:w="794"/>
              <w:gridCol w:w="689"/>
              <w:gridCol w:w="1553"/>
              <w:gridCol w:w="1551"/>
              <w:gridCol w:w="681"/>
              <w:gridCol w:w="794"/>
              <w:gridCol w:w="794"/>
              <w:gridCol w:w="896"/>
              <w:gridCol w:w="545"/>
              <w:gridCol w:w="686"/>
              <w:gridCol w:w="731"/>
            </w:tblGrid>
            <w:tr w14:paraId="211D0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0" w:type="auto"/>
                  <w:vMerge w:val="restart"/>
                  <w:tcBorders>
                    <w:tl2br w:val="nil"/>
                    <w:tr2bl w:val="nil"/>
                  </w:tcBorders>
                  <w:vAlign w:val="center"/>
                </w:tcPr>
                <w:p w14:paraId="68B25E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0" w:type="auto"/>
                  <w:vMerge w:val="restart"/>
                  <w:tcBorders>
                    <w:tl2br w:val="nil"/>
                    <w:tr2bl w:val="nil"/>
                  </w:tcBorders>
                  <w:vAlign w:val="center"/>
                </w:tcPr>
                <w:p w14:paraId="072F9A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0" w:type="auto"/>
                  <w:vMerge w:val="restart"/>
                  <w:tcBorders>
                    <w:tl2br w:val="nil"/>
                    <w:tr2bl w:val="nil"/>
                  </w:tcBorders>
                  <w:vAlign w:val="center"/>
                </w:tcPr>
                <w:p w14:paraId="6A1085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0" w:type="auto"/>
                  <w:vMerge w:val="restart"/>
                  <w:tcBorders>
                    <w:tl2br w:val="nil"/>
                    <w:tr2bl w:val="nil"/>
                  </w:tcBorders>
                  <w:vAlign w:val="center"/>
                </w:tcPr>
                <w:p w14:paraId="7BE585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p>
              </w:tc>
              <w:tc>
                <w:tcPr>
                  <w:tcW w:w="0" w:type="auto"/>
                  <w:gridSpan w:val="3"/>
                  <w:tcBorders>
                    <w:tl2br w:val="nil"/>
                    <w:tr2bl w:val="nil"/>
                  </w:tcBorders>
                  <w:vAlign w:val="center"/>
                </w:tcPr>
                <w:p w14:paraId="2D13E6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0" w:type="auto"/>
                  <w:gridSpan w:val="2"/>
                  <w:vMerge w:val="restart"/>
                  <w:tcBorders>
                    <w:tl2br w:val="nil"/>
                    <w:tr2bl w:val="nil"/>
                  </w:tcBorders>
                  <w:vAlign w:val="center"/>
                </w:tcPr>
                <w:p w14:paraId="7A7D89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0" w:type="auto"/>
                  <w:gridSpan w:val="3"/>
                  <w:tcBorders>
                    <w:tl2br w:val="nil"/>
                    <w:tr2bl w:val="nil"/>
                  </w:tcBorders>
                  <w:vAlign w:val="center"/>
                </w:tcPr>
                <w:p w14:paraId="0FFCB17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排放情况</w:t>
                  </w:r>
                </w:p>
              </w:tc>
              <w:tc>
                <w:tcPr>
                  <w:tcW w:w="0" w:type="auto"/>
                  <w:gridSpan w:val="4"/>
                  <w:tcBorders>
                    <w:tl2br w:val="nil"/>
                    <w:tr2bl w:val="nil"/>
                  </w:tcBorders>
                  <w:vAlign w:val="center"/>
                </w:tcPr>
                <w:p w14:paraId="330DAC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排气口基本情况</w:t>
                  </w:r>
                </w:p>
              </w:tc>
            </w:tr>
            <w:tr w14:paraId="45509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0" w:type="auto"/>
                  <w:vMerge w:val="continue"/>
                  <w:tcBorders>
                    <w:tl2br w:val="nil"/>
                    <w:tr2bl w:val="nil"/>
                  </w:tcBorders>
                  <w:vAlign w:val="center"/>
                </w:tcPr>
                <w:p w14:paraId="35B4FC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0" w:type="auto"/>
                  <w:vMerge w:val="continue"/>
                  <w:tcBorders>
                    <w:tl2br w:val="nil"/>
                    <w:tr2bl w:val="nil"/>
                  </w:tcBorders>
                  <w:vAlign w:val="center"/>
                </w:tcPr>
                <w:p w14:paraId="6E9AC1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0" w:type="auto"/>
                  <w:vMerge w:val="continue"/>
                  <w:tcBorders>
                    <w:tl2br w:val="nil"/>
                    <w:tr2bl w:val="nil"/>
                  </w:tcBorders>
                  <w:vAlign w:val="center"/>
                </w:tcPr>
                <w:p w14:paraId="16425E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0" w:type="auto"/>
                  <w:vMerge w:val="continue"/>
                  <w:tcBorders>
                    <w:tl2br w:val="nil"/>
                    <w:tr2bl w:val="nil"/>
                  </w:tcBorders>
                  <w:vAlign w:val="center"/>
                </w:tcPr>
                <w:p w14:paraId="146861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522" w:type="dxa"/>
                  <w:tcBorders>
                    <w:tl2br w:val="nil"/>
                    <w:tr2bl w:val="nil"/>
                  </w:tcBorders>
                  <w:vAlign w:val="center"/>
                </w:tcPr>
                <w:p w14:paraId="0D60EE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产生浓度</w:t>
                  </w:r>
                </w:p>
              </w:tc>
              <w:tc>
                <w:tcPr>
                  <w:tcW w:w="570" w:type="dxa"/>
                  <w:tcBorders>
                    <w:tl2br w:val="nil"/>
                    <w:tr2bl w:val="nil"/>
                  </w:tcBorders>
                  <w:vAlign w:val="center"/>
                </w:tcPr>
                <w:p w14:paraId="57D54C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产生速率</w:t>
                  </w:r>
                </w:p>
              </w:tc>
              <w:tc>
                <w:tcPr>
                  <w:tcW w:w="570" w:type="dxa"/>
                  <w:tcBorders>
                    <w:tl2br w:val="nil"/>
                    <w:tr2bl w:val="nil"/>
                  </w:tcBorders>
                  <w:vAlign w:val="center"/>
                </w:tcPr>
                <w:p w14:paraId="3447F9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产生量</w:t>
                  </w:r>
                </w:p>
              </w:tc>
              <w:tc>
                <w:tcPr>
                  <w:tcW w:w="0" w:type="auto"/>
                  <w:gridSpan w:val="2"/>
                  <w:vMerge w:val="continue"/>
                  <w:tcBorders>
                    <w:tl2br w:val="nil"/>
                    <w:tr2bl w:val="nil"/>
                  </w:tcBorders>
                  <w:vAlign w:val="center"/>
                </w:tcPr>
                <w:p w14:paraId="6C5DC8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522" w:type="dxa"/>
                  <w:tcBorders>
                    <w:tl2br w:val="nil"/>
                    <w:tr2bl w:val="nil"/>
                  </w:tcBorders>
                  <w:vAlign w:val="center"/>
                </w:tcPr>
                <w:p w14:paraId="1C38E0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排放浓度</w:t>
                  </w:r>
                </w:p>
              </w:tc>
              <w:tc>
                <w:tcPr>
                  <w:tcW w:w="570" w:type="dxa"/>
                  <w:tcBorders>
                    <w:tl2br w:val="nil"/>
                    <w:tr2bl w:val="nil"/>
                  </w:tcBorders>
                  <w:vAlign w:val="center"/>
                </w:tcPr>
                <w:p w14:paraId="28CAD9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排放速率</w:t>
                  </w:r>
                </w:p>
              </w:tc>
              <w:tc>
                <w:tcPr>
                  <w:tcW w:w="570" w:type="dxa"/>
                  <w:tcBorders>
                    <w:tl2br w:val="nil"/>
                    <w:tr2bl w:val="nil"/>
                  </w:tcBorders>
                  <w:vAlign w:val="center"/>
                </w:tcPr>
                <w:p w14:paraId="149A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排放量</w:t>
                  </w:r>
                </w:p>
              </w:tc>
              <w:tc>
                <w:tcPr>
                  <w:tcW w:w="0" w:type="auto"/>
                  <w:tcBorders>
                    <w:tl2br w:val="nil"/>
                    <w:tr2bl w:val="nil"/>
                  </w:tcBorders>
                  <w:vAlign w:val="center"/>
                </w:tcPr>
                <w:p w14:paraId="583BF1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排气筒编号</w:t>
                  </w:r>
                </w:p>
              </w:tc>
              <w:tc>
                <w:tcPr>
                  <w:tcW w:w="0" w:type="auto"/>
                  <w:tcBorders>
                    <w:tl2br w:val="nil"/>
                    <w:tr2bl w:val="nil"/>
                  </w:tcBorders>
                  <w:vAlign w:val="center"/>
                </w:tcPr>
                <w:p w14:paraId="44E4AA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类型</w:t>
                  </w:r>
                </w:p>
              </w:tc>
              <w:tc>
                <w:tcPr>
                  <w:tcW w:w="0" w:type="auto"/>
                  <w:tcBorders>
                    <w:tl2br w:val="nil"/>
                    <w:tr2bl w:val="nil"/>
                  </w:tcBorders>
                  <w:vAlign w:val="center"/>
                </w:tcPr>
                <w:p w14:paraId="347F75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排气筒高度</w:t>
                  </w:r>
                </w:p>
              </w:tc>
              <w:tc>
                <w:tcPr>
                  <w:tcW w:w="0" w:type="auto"/>
                  <w:tcBorders>
                    <w:tl2br w:val="nil"/>
                    <w:tr2bl w:val="nil"/>
                  </w:tcBorders>
                  <w:vAlign w:val="center"/>
                </w:tcPr>
                <w:p w14:paraId="467DC6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排气筒温度</w:t>
                  </w:r>
                </w:p>
              </w:tc>
            </w:tr>
            <w:tr w14:paraId="16ECC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restart"/>
                  <w:tcBorders>
                    <w:tl2br w:val="nil"/>
                    <w:tr2bl w:val="nil"/>
                  </w:tcBorders>
                  <w:vAlign w:val="center"/>
                </w:tcPr>
                <w:p w14:paraId="223B00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0" w:type="auto"/>
                  <w:tcBorders>
                    <w:tl2br w:val="nil"/>
                    <w:tr2bl w:val="nil"/>
                  </w:tcBorders>
                  <w:vAlign w:val="center"/>
                </w:tcPr>
                <w:p w14:paraId="18A2C4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印刷</w:t>
                  </w:r>
                </w:p>
              </w:tc>
              <w:tc>
                <w:tcPr>
                  <w:tcW w:w="0" w:type="auto"/>
                  <w:vMerge w:val="restart"/>
                  <w:tcBorders>
                    <w:tl2br w:val="nil"/>
                    <w:tr2bl w:val="nil"/>
                  </w:tcBorders>
                  <w:vAlign w:val="center"/>
                </w:tcPr>
                <w:p w14:paraId="698A5EF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非甲烷总烃</w:t>
                  </w:r>
                </w:p>
                <w:p w14:paraId="18381C7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p>
              </w:tc>
              <w:tc>
                <w:tcPr>
                  <w:tcW w:w="0" w:type="auto"/>
                  <w:vMerge w:val="restart"/>
                  <w:tcBorders>
                    <w:tl2br w:val="nil"/>
                    <w:tr2bl w:val="nil"/>
                  </w:tcBorders>
                  <w:vAlign w:val="center"/>
                </w:tcPr>
                <w:p w14:paraId="43DDDF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17500</w:t>
                  </w:r>
                  <w:r>
                    <w:rPr>
                      <w:rFonts w:hint="default" w:ascii="Times New Roman" w:hAnsi="Times New Roman" w:eastAsia="宋体" w:cs="Times New Roman"/>
                      <w:b w:val="0"/>
                      <w:bCs w:val="0"/>
                      <w:color w:val="auto"/>
                      <w:sz w:val="21"/>
                      <w:szCs w:val="21"/>
                      <w:u w:val="none"/>
                      <w:vertAlign w:val="baseline"/>
                      <w:lang w:val="en-US" w:eastAsia="zh-CN"/>
                    </w:rPr>
                    <w:t>m</w:t>
                  </w:r>
                  <w:r>
                    <w:rPr>
                      <w:rFonts w:hint="default" w:ascii="Times New Roman" w:hAnsi="Times New Roman" w:eastAsia="宋体" w:cs="Times New Roman"/>
                      <w:b w:val="0"/>
                      <w:bCs w:val="0"/>
                      <w:color w:val="auto"/>
                      <w:sz w:val="21"/>
                      <w:szCs w:val="21"/>
                      <w:u w:val="none"/>
                      <w:vertAlign w:val="superscript"/>
                      <w:lang w:val="en-US" w:eastAsia="zh-CN"/>
                    </w:rPr>
                    <w:t>3</w:t>
                  </w:r>
                  <w:r>
                    <w:rPr>
                      <w:rFonts w:hint="default" w:ascii="Times New Roman" w:hAnsi="Times New Roman" w:eastAsia="宋体" w:cs="Times New Roman"/>
                      <w:b w:val="0"/>
                      <w:bCs w:val="0"/>
                      <w:color w:val="auto"/>
                      <w:sz w:val="21"/>
                      <w:szCs w:val="21"/>
                      <w:u w:val="none"/>
                      <w:vertAlign w:val="baseline"/>
                      <w:lang w:val="en-US" w:eastAsia="zh-CN"/>
                    </w:rPr>
                    <w:t>/h</w:t>
                  </w:r>
                </w:p>
              </w:tc>
              <w:tc>
                <w:tcPr>
                  <w:tcW w:w="522" w:type="dxa"/>
                  <w:tcBorders>
                    <w:tl2br w:val="nil"/>
                    <w:tr2bl w:val="nil"/>
                  </w:tcBorders>
                  <w:vAlign w:val="center"/>
                </w:tcPr>
                <w:p w14:paraId="24ADBB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44.14</w:t>
                  </w:r>
                </w:p>
              </w:tc>
              <w:tc>
                <w:tcPr>
                  <w:tcW w:w="570" w:type="dxa"/>
                  <w:tcBorders>
                    <w:tl2br w:val="nil"/>
                    <w:tr2bl w:val="nil"/>
                  </w:tcBorders>
                  <w:vAlign w:val="center"/>
                </w:tcPr>
                <w:p w14:paraId="651D99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0.7725</w:t>
                  </w:r>
                </w:p>
              </w:tc>
              <w:tc>
                <w:tcPr>
                  <w:tcW w:w="570" w:type="dxa"/>
                  <w:tcBorders>
                    <w:tl2br w:val="nil"/>
                    <w:tr2bl w:val="nil"/>
                  </w:tcBorders>
                  <w:vAlign w:val="center"/>
                </w:tcPr>
                <w:p w14:paraId="783734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4.635</w:t>
                  </w:r>
                </w:p>
              </w:tc>
              <w:tc>
                <w:tcPr>
                  <w:tcW w:w="0" w:type="auto"/>
                  <w:gridSpan w:val="2"/>
                  <w:vMerge w:val="restart"/>
                  <w:tcBorders>
                    <w:tl2br w:val="nil"/>
                    <w:tr2bl w:val="nil"/>
                  </w:tcBorders>
                  <w:vAlign w:val="center"/>
                </w:tcPr>
                <w:p w14:paraId="7309FF5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集气罩+二级活性炭吸附装置</w:t>
                  </w:r>
                  <w:r>
                    <w:rPr>
                      <w:rFonts w:hint="eastAsia" w:ascii="Times New Roman" w:hAnsi="Times New Roman" w:eastAsia="宋体" w:cs="Times New Roman"/>
                      <w:b w:val="0"/>
                      <w:bCs w:val="0"/>
                      <w:color w:val="auto"/>
                      <w:sz w:val="21"/>
                      <w:szCs w:val="21"/>
                      <w:highlight w:val="none"/>
                      <w:u w:val="none"/>
                      <w:vertAlign w:val="baseline"/>
                      <w:lang w:val="en-US" w:eastAsia="zh-CN"/>
                    </w:rPr>
                    <w:t>+15m排气筒（DA001）</w:t>
                  </w:r>
                </w:p>
                <w:p w14:paraId="7E7CFFF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c>
                <w:tcPr>
                  <w:tcW w:w="522" w:type="dxa"/>
                  <w:tcBorders>
                    <w:tl2br w:val="nil"/>
                    <w:tr2bl w:val="nil"/>
                  </w:tcBorders>
                  <w:vAlign w:val="center"/>
                </w:tcPr>
                <w:p w14:paraId="1FE4E7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11.04</w:t>
                  </w:r>
                </w:p>
              </w:tc>
              <w:tc>
                <w:tcPr>
                  <w:tcW w:w="570" w:type="dxa"/>
                  <w:tcBorders>
                    <w:tl2br w:val="nil"/>
                    <w:tr2bl w:val="nil"/>
                  </w:tcBorders>
                  <w:vAlign w:val="center"/>
                </w:tcPr>
                <w:p w14:paraId="636F8C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0.1931</w:t>
                  </w:r>
                </w:p>
              </w:tc>
              <w:tc>
                <w:tcPr>
                  <w:tcW w:w="570" w:type="dxa"/>
                  <w:tcBorders>
                    <w:tl2br w:val="nil"/>
                    <w:tr2bl w:val="nil"/>
                  </w:tcBorders>
                  <w:vAlign w:val="center"/>
                </w:tcPr>
                <w:p w14:paraId="7E5840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1.1588</w:t>
                  </w:r>
                </w:p>
              </w:tc>
              <w:tc>
                <w:tcPr>
                  <w:tcW w:w="0" w:type="auto"/>
                  <w:vMerge w:val="restart"/>
                  <w:tcBorders>
                    <w:tl2br w:val="nil"/>
                    <w:tr2bl w:val="nil"/>
                  </w:tcBorders>
                  <w:vAlign w:val="center"/>
                </w:tcPr>
                <w:p w14:paraId="6A022C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DA001</w:t>
                  </w:r>
                </w:p>
              </w:tc>
              <w:tc>
                <w:tcPr>
                  <w:tcW w:w="0" w:type="auto"/>
                  <w:vMerge w:val="restart"/>
                  <w:tcBorders>
                    <w:tl2br w:val="nil"/>
                    <w:tr2bl w:val="nil"/>
                  </w:tcBorders>
                  <w:vAlign w:val="center"/>
                </w:tcPr>
                <w:p w14:paraId="7098EF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一般排放口</w:t>
                  </w:r>
                </w:p>
              </w:tc>
              <w:tc>
                <w:tcPr>
                  <w:tcW w:w="0" w:type="auto"/>
                  <w:vMerge w:val="restart"/>
                  <w:tcBorders>
                    <w:tl2br w:val="nil"/>
                    <w:tr2bl w:val="nil"/>
                  </w:tcBorders>
                  <w:vAlign w:val="center"/>
                </w:tcPr>
                <w:p w14:paraId="7BEF65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15m</w:t>
                  </w:r>
                </w:p>
              </w:tc>
              <w:tc>
                <w:tcPr>
                  <w:tcW w:w="0" w:type="auto"/>
                  <w:vMerge w:val="restart"/>
                  <w:tcBorders>
                    <w:tl2br w:val="nil"/>
                    <w:tr2bl w:val="nil"/>
                  </w:tcBorders>
                  <w:vAlign w:val="center"/>
                </w:tcPr>
                <w:p w14:paraId="06FCE5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25</w:t>
                  </w:r>
                  <w:r>
                    <w:rPr>
                      <w:rFonts w:hint="default" w:ascii="Times New Roman" w:hAnsi="Times New Roman" w:eastAsia="宋体" w:cs="Times New Roman"/>
                      <w:color w:val="auto"/>
                      <w:sz w:val="21"/>
                      <w:szCs w:val="21"/>
                      <w:highlight w:val="none"/>
                      <w:vertAlign w:val="baseline"/>
                      <w:lang w:val="en-US" w:eastAsia="zh-CN"/>
                    </w:rPr>
                    <w:t>℃</w:t>
                  </w:r>
                </w:p>
              </w:tc>
            </w:tr>
            <w:tr w14:paraId="05AEC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tcBorders>
                    <w:tl2br w:val="nil"/>
                    <w:tr2bl w:val="nil"/>
                  </w:tcBorders>
                  <w:vAlign w:val="center"/>
                </w:tcPr>
                <w:p w14:paraId="5385718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vAlign w:val="center"/>
                </w:tcPr>
                <w:p w14:paraId="4593A9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复合/熟化</w:t>
                  </w:r>
                </w:p>
              </w:tc>
              <w:tc>
                <w:tcPr>
                  <w:tcW w:w="0" w:type="auto"/>
                  <w:vMerge w:val="continue"/>
                  <w:tcBorders>
                    <w:tl2br w:val="nil"/>
                    <w:tr2bl w:val="nil"/>
                  </w:tcBorders>
                  <w:vAlign w:val="center"/>
                </w:tcPr>
                <w:p w14:paraId="64A0C1C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vMerge w:val="continue"/>
                  <w:tcBorders>
                    <w:tl2br w:val="nil"/>
                    <w:tr2bl w:val="nil"/>
                  </w:tcBorders>
                  <w:vAlign w:val="center"/>
                </w:tcPr>
                <w:p w14:paraId="19953EE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522" w:type="dxa"/>
                  <w:tcBorders>
                    <w:tl2br w:val="nil"/>
                    <w:tr2bl w:val="nil"/>
                  </w:tcBorders>
                  <w:vAlign w:val="center"/>
                </w:tcPr>
                <w:p w14:paraId="141EA8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2.14</w:t>
                  </w:r>
                </w:p>
              </w:tc>
              <w:tc>
                <w:tcPr>
                  <w:tcW w:w="570" w:type="dxa"/>
                  <w:tcBorders>
                    <w:tl2br w:val="nil"/>
                    <w:tr2bl w:val="nil"/>
                  </w:tcBorders>
                  <w:vAlign w:val="center"/>
                </w:tcPr>
                <w:p w14:paraId="30654E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0.0375</w:t>
                  </w:r>
                </w:p>
              </w:tc>
              <w:tc>
                <w:tcPr>
                  <w:tcW w:w="570" w:type="dxa"/>
                  <w:tcBorders>
                    <w:tl2br w:val="nil"/>
                    <w:tr2bl w:val="nil"/>
                  </w:tcBorders>
                  <w:vAlign w:val="center"/>
                </w:tcPr>
                <w:p w14:paraId="0C3F2D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0.225</w:t>
                  </w:r>
                </w:p>
              </w:tc>
              <w:tc>
                <w:tcPr>
                  <w:tcW w:w="0" w:type="auto"/>
                  <w:gridSpan w:val="2"/>
                  <w:vMerge w:val="continue"/>
                  <w:tcBorders>
                    <w:tl2br w:val="nil"/>
                    <w:tr2bl w:val="nil"/>
                  </w:tcBorders>
                  <w:vAlign w:val="center"/>
                </w:tcPr>
                <w:p w14:paraId="79AD9D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522" w:type="dxa"/>
                  <w:tcBorders>
                    <w:tl2br w:val="nil"/>
                    <w:tr2bl w:val="nil"/>
                  </w:tcBorders>
                  <w:vAlign w:val="center"/>
                </w:tcPr>
                <w:p w14:paraId="178096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0.54</w:t>
                  </w:r>
                </w:p>
              </w:tc>
              <w:tc>
                <w:tcPr>
                  <w:tcW w:w="570" w:type="dxa"/>
                  <w:tcBorders>
                    <w:tl2br w:val="nil"/>
                    <w:tr2bl w:val="nil"/>
                  </w:tcBorders>
                  <w:vAlign w:val="center"/>
                </w:tcPr>
                <w:p w14:paraId="0B4988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0.0094</w:t>
                  </w:r>
                </w:p>
              </w:tc>
              <w:tc>
                <w:tcPr>
                  <w:tcW w:w="570" w:type="dxa"/>
                  <w:tcBorders>
                    <w:tl2br w:val="nil"/>
                    <w:tr2bl w:val="nil"/>
                  </w:tcBorders>
                  <w:vAlign w:val="center"/>
                </w:tcPr>
                <w:p w14:paraId="1C1E49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0.0563</w:t>
                  </w:r>
                </w:p>
              </w:tc>
              <w:tc>
                <w:tcPr>
                  <w:tcW w:w="0" w:type="auto"/>
                  <w:vMerge w:val="continue"/>
                  <w:tcBorders>
                    <w:tl2br w:val="nil"/>
                    <w:tr2bl w:val="nil"/>
                  </w:tcBorders>
                  <w:vAlign w:val="center"/>
                </w:tcPr>
                <w:p w14:paraId="48B045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3BD65DD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15119ED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187F1FA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3B066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tcBorders>
                    <w:tl2br w:val="nil"/>
                    <w:tr2bl w:val="nil"/>
                  </w:tcBorders>
                  <w:vAlign w:val="center"/>
                </w:tcPr>
                <w:p w14:paraId="5501CB6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vAlign w:val="center"/>
                </w:tcPr>
                <w:p w14:paraId="252E4A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吹膜</w:t>
                  </w:r>
                </w:p>
              </w:tc>
              <w:tc>
                <w:tcPr>
                  <w:tcW w:w="0" w:type="auto"/>
                  <w:vMerge w:val="continue"/>
                  <w:tcBorders>
                    <w:tl2br w:val="nil"/>
                    <w:tr2bl w:val="nil"/>
                  </w:tcBorders>
                  <w:vAlign w:val="center"/>
                </w:tcPr>
                <w:p w14:paraId="6E5DF5B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vMerge w:val="continue"/>
                  <w:tcBorders>
                    <w:tl2br w:val="nil"/>
                    <w:tr2bl w:val="nil"/>
                  </w:tcBorders>
                  <w:vAlign w:val="center"/>
                </w:tcPr>
                <w:p w14:paraId="4A3D657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522" w:type="dxa"/>
                  <w:tcBorders>
                    <w:tl2br w:val="nil"/>
                    <w:tr2bl w:val="nil"/>
                  </w:tcBorders>
                  <w:vAlign w:val="center"/>
                </w:tcPr>
                <w:p w14:paraId="57EBBA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21.43</w:t>
                  </w:r>
                </w:p>
              </w:tc>
              <w:tc>
                <w:tcPr>
                  <w:tcW w:w="570" w:type="dxa"/>
                  <w:tcBorders>
                    <w:tl2br w:val="nil"/>
                    <w:tr2bl w:val="nil"/>
                  </w:tcBorders>
                  <w:vAlign w:val="center"/>
                </w:tcPr>
                <w:p w14:paraId="584FC2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0.3750</w:t>
                  </w:r>
                </w:p>
              </w:tc>
              <w:tc>
                <w:tcPr>
                  <w:tcW w:w="570" w:type="dxa"/>
                  <w:tcBorders>
                    <w:tl2br w:val="nil"/>
                    <w:tr2bl w:val="nil"/>
                  </w:tcBorders>
                  <w:vAlign w:val="center"/>
                </w:tcPr>
                <w:p w14:paraId="727D39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2.25</w:t>
                  </w:r>
                </w:p>
              </w:tc>
              <w:tc>
                <w:tcPr>
                  <w:tcW w:w="0" w:type="auto"/>
                  <w:gridSpan w:val="2"/>
                  <w:vMerge w:val="continue"/>
                  <w:tcBorders>
                    <w:tl2br w:val="nil"/>
                    <w:tr2bl w:val="nil"/>
                  </w:tcBorders>
                  <w:vAlign w:val="center"/>
                </w:tcPr>
                <w:p w14:paraId="62810D2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522" w:type="dxa"/>
                  <w:tcBorders>
                    <w:tl2br w:val="nil"/>
                    <w:tr2bl w:val="nil"/>
                  </w:tcBorders>
                  <w:vAlign w:val="center"/>
                </w:tcPr>
                <w:p w14:paraId="4A7200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5.36</w:t>
                  </w:r>
                </w:p>
              </w:tc>
              <w:tc>
                <w:tcPr>
                  <w:tcW w:w="570" w:type="dxa"/>
                  <w:tcBorders>
                    <w:tl2br w:val="nil"/>
                    <w:tr2bl w:val="nil"/>
                  </w:tcBorders>
                  <w:vAlign w:val="center"/>
                </w:tcPr>
                <w:p w14:paraId="41FA03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0.0938</w:t>
                  </w:r>
                </w:p>
              </w:tc>
              <w:tc>
                <w:tcPr>
                  <w:tcW w:w="570" w:type="dxa"/>
                  <w:tcBorders>
                    <w:tl2br w:val="nil"/>
                    <w:tr2bl w:val="nil"/>
                  </w:tcBorders>
                  <w:vAlign w:val="center"/>
                </w:tcPr>
                <w:p w14:paraId="43F11C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0.5625</w:t>
                  </w:r>
                </w:p>
              </w:tc>
              <w:tc>
                <w:tcPr>
                  <w:tcW w:w="0" w:type="auto"/>
                  <w:vMerge w:val="continue"/>
                  <w:tcBorders>
                    <w:tl2br w:val="nil"/>
                    <w:tr2bl w:val="nil"/>
                  </w:tcBorders>
                  <w:vAlign w:val="center"/>
                </w:tcPr>
                <w:p w14:paraId="3B11BA9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7CAC279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27C0BCF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7317CBE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3D118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tcBorders>
                    <w:tl2br w:val="nil"/>
                    <w:tr2bl w:val="nil"/>
                  </w:tcBorders>
                  <w:vAlign w:val="center"/>
                </w:tcPr>
                <w:p w14:paraId="04FC050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0E7CD3B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制袋</w:t>
                  </w:r>
                </w:p>
              </w:tc>
              <w:tc>
                <w:tcPr>
                  <w:tcW w:w="0" w:type="auto"/>
                  <w:vMerge w:val="continue"/>
                  <w:tcBorders>
                    <w:tl2br w:val="nil"/>
                    <w:tr2bl w:val="nil"/>
                  </w:tcBorders>
                  <w:shd w:val="clear" w:color="auto" w:fill="auto"/>
                  <w:vAlign w:val="center"/>
                </w:tcPr>
                <w:p w14:paraId="05DB6DD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p>
              </w:tc>
              <w:tc>
                <w:tcPr>
                  <w:tcW w:w="0" w:type="auto"/>
                  <w:vMerge w:val="continue"/>
                  <w:tcBorders>
                    <w:tl2br w:val="nil"/>
                    <w:tr2bl w:val="nil"/>
                  </w:tcBorders>
                  <w:shd w:val="clear" w:color="auto" w:fill="auto"/>
                  <w:vAlign w:val="center"/>
                </w:tcPr>
                <w:p w14:paraId="4CF8A20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p>
              </w:tc>
              <w:tc>
                <w:tcPr>
                  <w:tcW w:w="522" w:type="dxa"/>
                  <w:tcBorders>
                    <w:tl2br w:val="nil"/>
                    <w:tr2bl w:val="nil"/>
                  </w:tcBorders>
                  <w:shd w:val="clear" w:color="auto" w:fill="auto"/>
                  <w:vAlign w:val="center"/>
                </w:tcPr>
                <w:p w14:paraId="46DB682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2.91</w:t>
                  </w:r>
                </w:p>
              </w:tc>
              <w:tc>
                <w:tcPr>
                  <w:tcW w:w="570" w:type="dxa"/>
                  <w:tcBorders>
                    <w:tl2br w:val="nil"/>
                    <w:tr2bl w:val="nil"/>
                  </w:tcBorders>
                  <w:shd w:val="clear" w:color="auto" w:fill="auto"/>
                  <w:vAlign w:val="center"/>
                </w:tcPr>
                <w:p w14:paraId="64A2F14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0.0510</w:t>
                  </w:r>
                </w:p>
              </w:tc>
              <w:tc>
                <w:tcPr>
                  <w:tcW w:w="570" w:type="dxa"/>
                  <w:tcBorders>
                    <w:tl2br w:val="nil"/>
                    <w:tr2bl w:val="nil"/>
                  </w:tcBorders>
                  <w:shd w:val="clear" w:color="auto" w:fill="auto"/>
                  <w:vAlign w:val="center"/>
                </w:tcPr>
                <w:p w14:paraId="1BCA669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0.306</w:t>
                  </w:r>
                </w:p>
              </w:tc>
              <w:tc>
                <w:tcPr>
                  <w:tcW w:w="0" w:type="auto"/>
                  <w:gridSpan w:val="2"/>
                  <w:vMerge w:val="continue"/>
                  <w:tcBorders>
                    <w:tl2br w:val="nil"/>
                    <w:tr2bl w:val="nil"/>
                  </w:tcBorders>
                  <w:shd w:val="clear" w:color="auto" w:fill="auto"/>
                  <w:vAlign w:val="center"/>
                </w:tcPr>
                <w:p w14:paraId="34EE9A7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c>
                <w:tcPr>
                  <w:tcW w:w="522" w:type="dxa"/>
                  <w:tcBorders>
                    <w:tl2br w:val="nil"/>
                    <w:tr2bl w:val="nil"/>
                  </w:tcBorders>
                  <w:shd w:val="clear" w:color="auto" w:fill="auto"/>
                  <w:vAlign w:val="center"/>
                </w:tcPr>
                <w:p w14:paraId="5AEC1CB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0.73</w:t>
                  </w:r>
                </w:p>
              </w:tc>
              <w:tc>
                <w:tcPr>
                  <w:tcW w:w="570" w:type="dxa"/>
                  <w:tcBorders>
                    <w:tl2br w:val="nil"/>
                    <w:tr2bl w:val="nil"/>
                  </w:tcBorders>
                  <w:shd w:val="clear" w:color="auto" w:fill="auto"/>
                  <w:vAlign w:val="center"/>
                </w:tcPr>
                <w:p w14:paraId="7EBFBC2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0.0128</w:t>
                  </w:r>
                </w:p>
              </w:tc>
              <w:tc>
                <w:tcPr>
                  <w:tcW w:w="570" w:type="dxa"/>
                  <w:tcBorders>
                    <w:tl2br w:val="nil"/>
                    <w:tr2bl w:val="nil"/>
                  </w:tcBorders>
                  <w:shd w:val="clear" w:color="auto" w:fill="auto"/>
                  <w:vAlign w:val="center"/>
                </w:tcPr>
                <w:p w14:paraId="72020EE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0.0765</w:t>
                  </w:r>
                </w:p>
              </w:tc>
              <w:tc>
                <w:tcPr>
                  <w:tcW w:w="0" w:type="auto"/>
                  <w:vMerge w:val="continue"/>
                  <w:tcBorders>
                    <w:tl2br w:val="nil"/>
                    <w:tr2bl w:val="nil"/>
                  </w:tcBorders>
                  <w:vAlign w:val="center"/>
                </w:tcPr>
                <w:p w14:paraId="7711D7C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7536C1D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41F5EF0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43EC63A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767E9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0" w:type="auto"/>
                  <w:vMerge w:val="restart"/>
                  <w:tcBorders>
                    <w:tl2br w:val="nil"/>
                    <w:tr2bl w:val="nil"/>
                  </w:tcBorders>
                  <w:vAlign w:val="center"/>
                </w:tcPr>
                <w:p w14:paraId="1B2DD3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无组织</w:t>
                  </w:r>
                </w:p>
              </w:tc>
              <w:tc>
                <w:tcPr>
                  <w:tcW w:w="0" w:type="auto"/>
                  <w:tcBorders>
                    <w:tl2br w:val="nil"/>
                    <w:tr2bl w:val="nil"/>
                  </w:tcBorders>
                  <w:shd w:val="clear" w:color="auto" w:fill="auto"/>
                  <w:vAlign w:val="center"/>
                </w:tcPr>
                <w:p w14:paraId="646B8A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印刷</w:t>
                  </w:r>
                </w:p>
              </w:tc>
              <w:tc>
                <w:tcPr>
                  <w:tcW w:w="0" w:type="auto"/>
                  <w:vMerge w:val="restart"/>
                  <w:tcBorders>
                    <w:tl2br w:val="nil"/>
                    <w:tr2bl w:val="nil"/>
                  </w:tcBorders>
                  <w:shd w:val="clear" w:color="auto" w:fill="auto"/>
                  <w:vAlign w:val="center"/>
                </w:tcPr>
                <w:p w14:paraId="6EE212A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非甲烷总烃</w:t>
                  </w:r>
                </w:p>
                <w:p w14:paraId="7500CA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0" w:type="auto"/>
                  <w:tcBorders>
                    <w:tl2br w:val="nil"/>
                    <w:tr2bl w:val="nil"/>
                  </w:tcBorders>
                  <w:vAlign w:val="center"/>
                </w:tcPr>
                <w:p w14:paraId="61F39F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522" w:type="dxa"/>
                  <w:tcBorders>
                    <w:tl2br w:val="nil"/>
                    <w:tr2bl w:val="nil"/>
                  </w:tcBorders>
                  <w:vAlign w:val="center"/>
                </w:tcPr>
                <w:p w14:paraId="28B2CA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3DD87C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0.0858</w:t>
                  </w:r>
                </w:p>
              </w:tc>
              <w:tc>
                <w:tcPr>
                  <w:tcW w:w="570" w:type="dxa"/>
                  <w:tcBorders>
                    <w:tl2br w:val="nil"/>
                    <w:tr2bl w:val="nil"/>
                  </w:tcBorders>
                  <w:vAlign w:val="center"/>
                </w:tcPr>
                <w:p w14:paraId="37022B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0.515</w:t>
                  </w:r>
                </w:p>
              </w:tc>
              <w:tc>
                <w:tcPr>
                  <w:tcW w:w="0" w:type="auto"/>
                  <w:gridSpan w:val="2"/>
                  <w:vMerge w:val="restart"/>
                  <w:tcBorders>
                    <w:tl2br w:val="nil"/>
                    <w:tr2bl w:val="nil"/>
                  </w:tcBorders>
                  <w:vAlign w:val="center"/>
                </w:tcPr>
                <w:p w14:paraId="372BCC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w:t>
                  </w:r>
                  <w:r>
                    <w:rPr>
                      <w:rFonts w:hint="eastAsia" w:ascii="Times New Roman" w:hAnsi="Times New Roman" w:eastAsia="宋体" w:cs="Times New Roman"/>
                      <w:color w:val="auto"/>
                      <w:spacing w:val="0"/>
                      <w:kern w:val="0"/>
                      <w:sz w:val="21"/>
                      <w:szCs w:val="21"/>
                      <w:highlight w:val="none"/>
                      <w:lang w:val="en-US" w:eastAsia="zh-CN" w:bidi="he-IL"/>
                    </w:rPr>
                    <w:t>二级</w:t>
                  </w:r>
                  <w:r>
                    <w:rPr>
                      <w:rFonts w:hint="default" w:ascii="Times New Roman" w:hAnsi="Times New Roman" w:eastAsia="宋体" w:cs="Times New Roman"/>
                      <w:color w:val="auto"/>
                      <w:spacing w:val="0"/>
                      <w:kern w:val="0"/>
                      <w:sz w:val="21"/>
                      <w:szCs w:val="21"/>
                      <w:highlight w:val="none"/>
                      <w:lang w:val="en-US" w:eastAsia="zh-CN" w:bidi="he-IL"/>
                    </w:rPr>
                    <w:t>活性炭吸附净化装置维护保养，防止废气事故无组织排放；生产过程中门窗关闭，保持一个相对密闭的空间，合理设计送排风系统</w:t>
                  </w:r>
                </w:p>
              </w:tc>
              <w:tc>
                <w:tcPr>
                  <w:tcW w:w="522" w:type="dxa"/>
                  <w:tcBorders>
                    <w:tl2br w:val="nil"/>
                    <w:tr2bl w:val="nil"/>
                  </w:tcBorders>
                  <w:vAlign w:val="center"/>
                </w:tcPr>
                <w:p w14:paraId="4A8808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075365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0.0858</w:t>
                  </w:r>
                </w:p>
              </w:tc>
              <w:tc>
                <w:tcPr>
                  <w:tcW w:w="570" w:type="dxa"/>
                  <w:tcBorders>
                    <w:tl2br w:val="nil"/>
                    <w:tr2bl w:val="nil"/>
                  </w:tcBorders>
                  <w:vAlign w:val="center"/>
                </w:tcPr>
                <w:p w14:paraId="1FFED0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0.5150</w:t>
                  </w:r>
                </w:p>
              </w:tc>
              <w:tc>
                <w:tcPr>
                  <w:tcW w:w="0" w:type="auto"/>
                  <w:tcBorders>
                    <w:tl2br w:val="nil"/>
                    <w:tr2bl w:val="nil"/>
                  </w:tcBorders>
                  <w:shd w:val="clear" w:color="auto" w:fill="auto"/>
                  <w:vAlign w:val="center"/>
                </w:tcPr>
                <w:p w14:paraId="11E587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30C786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58CBD9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5B7CF4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r w14:paraId="38567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5DB593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628C00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复合/熟化</w:t>
                  </w:r>
                </w:p>
              </w:tc>
              <w:tc>
                <w:tcPr>
                  <w:tcW w:w="0" w:type="auto"/>
                  <w:vMerge w:val="continue"/>
                  <w:tcBorders>
                    <w:tl2br w:val="nil"/>
                    <w:tr2bl w:val="nil"/>
                  </w:tcBorders>
                  <w:shd w:val="clear" w:color="auto" w:fill="auto"/>
                  <w:vAlign w:val="center"/>
                </w:tcPr>
                <w:p w14:paraId="207F351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0" w:type="auto"/>
                  <w:tcBorders>
                    <w:tl2br w:val="nil"/>
                    <w:tr2bl w:val="nil"/>
                  </w:tcBorders>
                  <w:vAlign w:val="center"/>
                </w:tcPr>
                <w:p w14:paraId="3C0B720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522" w:type="dxa"/>
                  <w:tcBorders>
                    <w:tl2br w:val="nil"/>
                    <w:tr2bl w:val="nil"/>
                  </w:tcBorders>
                  <w:vAlign w:val="center"/>
                </w:tcPr>
                <w:p w14:paraId="2C6AF3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1F63C6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0.0042</w:t>
                  </w:r>
                </w:p>
              </w:tc>
              <w:tc>
                <w:tcPr>
                  <w:tcW w:w="570" w:type="dxa"/>
                  <w:tcBorders>
                    <w:tl2br w:val="nil"/>
                    <w:tr2bl w:val="nil"/>
                  </w:tcBorders>
                  <w:vAlign w:val="center"/>
                </w:tcPr>
                <w:p w14:paraId="49CE3E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0.025</w:t>
                  </w:r>
                </w:p>
              </w:tc>
              <w:tc>
                <w:tcPr>
                  <w:tcW w:w="0" w:type="auto"/>
                  <w:gridSpan w:val="2"/>
                  <w:vMerge w:val="continue"/>
                  <w:tcBorders>
                    <w:tl2br w:val="nil"/>
                    <w:tr2bl w:val="nil"/>
                  </w:tcBorders>
                  <w:vAlign w:val="center"/>
                </w:tcPr>
                <w:p w14:paraId="504655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522" w:type="dxa"/>
                  <w:tcBorders>
                    <w:tl2br w:val="nil"/>
                    <w:tr2bl w:val="nil"/>
                  </w:tcBorders>
                  <w:vAlign w:val="center"/>
                </w:tcPr>
                <w:p w14:paraId="0BDA8C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3B7B51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0.0042</w:t>
                  </w:r>
                </w:p>
              </w:tc>
              <w:tc>
                <w:tcPr>
                  <w:tcW w:w="570" w:type="dxa"/>
                  <w:tcBorders>
                    <w:tl2br w:val="nil"/>
                    <w:tr2bl w:val="nil"/>
                  </w:tcBorders>
                  <w:vAlign w:val="center"/>
                </w:tcPr>
                <w:p w14:paraId="23CE81C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0.0250</w:t>
                  </w:r>
                </w:p>
              </w:tc>
              <w:tc>
                <w:tcPr>
                  <w:tcW w:w="0" w:type="auto"/>
                  <w:tcBorders>
                    <w:tl2br w:val="nil"/>
                    <w:tr2bl w:val="nil"/>
                  </w:tcBorders>
                  <w:shd w:val="clear" w:color="auto" w:fill="auto"/>
                  <w:vAlign w:val="center"/>
                </w:tcPr>
                <w:p w14:paraId="5233912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tcBorders>
                    <w:tl2br w:val="nil"/>
                    <w:tr2bl w:val="nil"/>
                  </w:tcBorders>
                  <w:shd w:val="clear" w:color="auto" w:fill="auto"/>
                  <w:vAlign w:val="center"/>
                </w:tcPr>
                <w:p w14:paraId="632D94A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41E8DB3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6C425B0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r w14:paraId="2FF2B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5FC7EB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6C436A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吹膜</w:t>
                  </w:r>
                </w:p>
              </w:tc>
              <w:tc>
                <w:tcPr>
                  <w:tcW w:w="0" w:type="auto"/>
                  <w:vMerge w:val="continue"/>
                  <w:tcBorders>
                    <w:tl2br w:val="nil"/>
                    <w:tr2bl w:val="nil"/>
                  </w:tcBorders>
                  <w:shd w:val="clear" w:color="auto" w:fill="auto"/>
                  <w:vAlign w:val="center"/>
                </w:tcPr>
                <w:p w14:paraId="514D8D7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0" w:type="auto"/>
                  <w:tcBorders>
                    <w:tl2br w:val="nil"/>
                    <w:tr2bl w:val="nil"/>
                  </w:tcBorders>
                  <w:shd w:val="clear" w:color="auto" w:fill="auto"/>
                  <w:vAlign w:val="center"/>
                </w:tcPr>
                <w:p w14:paraId="175A6D0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522" w:type="dxa"/>
                  <w:tcBorders>
                    <w:tl2br w:val="nil"/>
                    <w:tr2bl w:val="nil"/>
                  </w:tcBorders>
                  <w:vAlign w:val="center"/>
                </w:tcPr>
                <w:p w14:paraId="35F111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29396F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0.0417</w:t>
                  </w:r>
                </w:p>
              </w:tc>
              <w:tc>
                <w:tcPr>
                  <w:tcW w:w="570" w:type="dxa"/>
                  <w:tcBorders>
                    <w:tl2br w:val="nil"/>
                    <w:tr2bl w:val="nil"/>
                  </w:tcBorders>
                  <w:shd w:val="clear" w:color="auto" w:fill="auto"/>
                  <w:vAlign w:val="center"/>
                </w:tcPr>
                <w:p w14:paraId="46BFF5F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0.25</w:t>
                  </w:r>
                </w:p>
              </w:tc>
              <w:tc>
                <w:tcPr>
                  <w:tcW w:w="0" w:type="auto"/>
                  <w:gridSpan w:val="2"/>
                  <w:vMerge w:val="continue"/>
                  <w:tcBorders>
                    <w:tl2br w:val="nil"/>
                    <w:tr2bl w:val="nil"/>
                  </w:tcBorders>
                  <w:vAlign w:val="center"/>
                </w:tcPr>
                <w:p w14:paraId="5273B3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522" w:type="dxa"/>
                  <w:tcBorders>
                    <w:tl2br w:val="nil"/>
                    <w:tr2bl w:val="nil"/>
                  </w:tcBorders>
                  <w:vAlign w:val="center"/>
                </w:tcPr>
                <w:p w14:paraId="42455E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2D8799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0.0417</w:t>
                  </w:r>
                </w:p>
              </w:tc>
              <w:tc>
                <w:tcPr>
                  <w:tcW w:w="570" w:type="dxa"/>
                  <w:tcBorders>
                    <w:tl2br w:val="nil"/>
                    <w:tr2bl w:val="nil"/>
                  </w:tcBorders>
                  <w:vAlign w:val="center"/>
                </w:tcPr>
                <w:p w14:paraId="755E4F4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0.2500</w:t>
                  </w:r>
                </w:p>
              </w:tc>
              <w:tc>
                <w:tcPr>
                  <w:tcW w:w="0" w:type="auto"/>
                  <w:tcBorders>
                    <w:tl2br w:val="nil"/>
                    <w:tr2bl w:val="nil"/>
                  </w:tcBorders>
                  <w:shd w:val="clear" w:color="auto" w:fill="auto"/>
                  <w:vAlign w:val="center"/>
                </w:tcPr>
                <w:p w14:paraId="7D9B423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390ABB2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275100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3050555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r>
            <w:tr w14:paraId="217DF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5CC997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5ABE55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制袋</w:t>
                  </w:r>
                </w:p>
              </w:tc>
              <w:tc>
                <w:tcPr>
                  <w:tcW w:w="0" w:type="auto"/>
                  <w:vMerge w:val="continue"/>
                  <w:tcBorders>
                    <w:tl2br w:val="nil"/>
                    <w:tr2bl w:val="nil"/>
                  </w:tcBorders>
                  <w:shd w:val="clear" w:color="auto" w:fill="auto"/>
                  <w:vAlign w:val="center"/>
                </w:tcPr>
                <w:p w14:paraId="30DA600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0" w:type="auto"/>
                  <w:tcBorders>
                    <w:tl2br w:val="nil"/>
                    <w:tr2bl w:val="nil"/>
                  </w:tcBorders>
                  <w:shd w:val="clear" w:color="auto" w:fill="auto"/>
                  <w:vAlign w:val="center"/>
                </w:tcPr>
                <w:p w14:paraId="33F100F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522" w:type="dxa"/>
                  <w:tcBorders>
                    <w:tl2br w:val="nil"/>
                    <w:tr2bl w:val="nil"/>
                  </w:tcBorders>
                  <w:vAlign w:val="center"/>
                </w:tcPr>
                <w:p w14:paraId="12D70B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5259F0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0.0057</w:t>
                  </w:r>
                </w:p>
              </w:tc>
              <w:tc>
                <w:tcPr>
                  <w:tcW w:w="570" w:type="dxa"/>
                  <w:tcBorders>
                    <w:tl2br w:val="nil"/>
                    <w:tr2bl w:val="nil"/>
                  </w:tcBorders>
                  <w:shd w:val="clear" w:color="auto" w:fill="auto"/>
                  <w:vAlign w:val="center"/>
                </w:tcPr>
                <w:p w14:paraId="0D34FC9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0.034</w:t>
                  </w:r>
                </w:p>
              </w:tc>
              <w:tc>
                <w:tcPr>
                  <w:tcW w:w="0" w:type="auto"/>
                  <w:gridSpan w:val="2"/>
                  <w:vMerge w:val="continue"/>
                  <w:tcBorders>
                    <w:tl2br w:val="nil"/>
                    <w:tr2bl w:val="nil"/>
                  </w:tcBorders>
                  <w:vAlign w:val="center"/>
                </w:tcPr>
                <w:p w14:paraId="21515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522" w:type="dxa"/>
                  <w:tcBorders>
                    <w:tl2br w:val="nil"/>
                    <w:tr2bl w:val="nil"/>
                  </w:tcBorders>
                  <w:vAlign w:val="center"/>
                </w:tcPr>
                <w:p w14:paraId="370138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570" w:type="dxa"/>
                  <w:tcBorders>
                    <w:tl2br w:val="nil"/>
                    <w:tr2bl w:val="nil"/>
                  </w:tcBorders>
                  <w:vAlign w:val="center"/>
                </w:tcPr>
                <w:p w14:paraId="1E8A69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0.0057</w:t>
                  </w:r>
                </w:p>
              </w:tc>
              <w:tc>
                <w:tcPr>
                  <w:tcW w:w="570" w:type="dxa"/>
                  <w:tcBorders>
                    <w:tl2br w:val="nil"/>
                    <w:tr2bl w:val="nil"/>
                  </w:tcBorders>
                  <w:vAlign w:val="center"/>
                </w:tcPr>
                <w:p w14:paraId="6AAAD80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0.0340</w:t>
                  </w:r>
                </w:p>
              </w:tc>
              <w:tc>
                <w:tcPr>
                  <w:tcW w:w="0" w:type="auto"/>
                  <w:tcBorders>
                    <w:tl2br w:val="nil"/>
                    <w:tr2bl w:val="nil"/>
                  </w:tcBorders>
                  <w:shd w:val="clear" w:color="auto" w:fill="auto"/>
                  <w:vAlign w:val="center"/>
                </w:tcPr>
                <w:p w14:paraId="0D65276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tcBorders>
                    <w:tl2br w:val="nil"/>
                    <w:tr2bl w:val="nil"/>
                  </w:tcBorders>
                  <w:shd w:val="clear" w:color="auto" w:fill="auto"/>
                  <w:vAlign w:val="center"/>
                </w:tcPr>
                <w:p w14:paraId="175CC2A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0575277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099665F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r>
            <w:tr w14:paraId="6D992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34F1D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0" w:type="auto"/>
                  <w:gridSpan w:val="3"/>
                  <w:vAlign w:val="center"/>
                </w:tcPr>
                <w:p w14:paraId="7D82DE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0" w:type="auto"/>
                  <w:gridSpan w:val="4"/>
                  <w:shd w:val="clear" w:color="auto" w:fill="auto"/>
                  <w:vAlign w:val="center"/>
                </w:tcPr>
                <w:p w14:paraId="2174BB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0" w:type="auto"/>
                  <w:gridSpan w:val="4"/>
                  <w:shd w:val="clear" w:color="auto" w:fill="auto"/>
                  <w:vAlign w:val="center"/>
                </w:tcPr>
                <w:p w14:paraId="37D3FB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0" w:type="auto"/>
                  <w:gridSpan w:val="4"/>
                  <w:vAlign w:val="center"/>
                </w:tcPr>
                <w:p w14:paraId="06C6F2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总</w:t>
                  </w:r>
                  <w:r>
                    <w:rPr>
                      <w:rFonts w:hint="default" w:ascii="Times New Roman" w:hAnsi="Times New Roman" w:eastAsia="宋体" w:cs="Times New Roman"/>
                      <w:color w:val="auto"/>
                      <w:sz w:val="21"/>
                      <w:szCs w:val="21"/>
                      <w:highlight w:val="none"/>
                      <w:vertAlign w:val="baseline"/>
                      <w:lang w:val="en-US" w:eastAsia="zh-CN"/>
                    </w:rPr>
                    <w:t>计</w:t>
                  </w:r>
                </w:p>
              </w:tc>
            </w:tr>
            <w:tr w14:paraId="5E3DD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EE174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gridSpan w:val="3"/>
                  <w:vAlign w:val="center"/>
                </w:tcPr>
                <w:p w14:paraId="5B5E21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非甲烷总烃</w:t>
                  </w:r>
                  <w:r>
                    <w:rPr>
                      <w:rFonts w:hint="eastAsia" w:ascii="Times New Roman" w:hAnsi="Times New Roman" w:eastAsia="宋体" w:cs="Times New Roman"/>
                      <w:b w:val="0"/>
                      <w:bCs w:val="0"/>
                      <w:color w:val="auto"/>
                      <w:sz w:val="21"/>
                      <w:szCs w:val="21"/>
                      <w:u w:val="none"/>
                      <w:lang w:val="en-US" w:eastAsia="zh-CN"/>
                    </w:rPr>
                    <w:t>（t/a）</w:t>
                  </w:r>
                </w:p>
              </w:tc>
              <w:tc>
                <w:tcPr>
                  <w:tcW w:w="0" w:type="auto"/>
                  <w:gridSpan w:val="4"/>
                  <w:shd w:val="clear" w:color="auto" w:fill="auto"/>
                  <w:vAlign w:val="center"/>
                </w:tcPr>
                <w:p w14:paraId="6B2A69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1.854</w:t>
                  </w:r>
                </w:p>
              </w:tc>
              <w:tc>
                <w:tcPr>
                  <w:tcW w:w="0" w:type="auto"/>
                  <w:gridSpan w:val="4"/>
                  <w:shd w:val="clear" w:color="auto" w:fill="auto"/>
                  <w:vAlign w:val="center"/>
                </w:tcPr>
                <w:p w14:paraId="2B47D4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0.824</w:t>
                  </w:r>
                </w:p>
              </w:tc>
              <w:tc>
                <w:tcPr>
                  <w:tcW w:w="0" w:type="auto"/>
                  <w:gridSpan w:val="4"/>
                  <w:vAlign w:val="center"/>
                </w:tcPr>
                <w:p w14:paraId="111C17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2.678</w:t>
                  </w:r>
                </w:p>
              </w:tc>
            </w:tr>
          </w:tbl>
          <w:p w14:paraId="3F600170">
            <w:pPr>
              <w:numPr>
                <w:ilvl w:val="0"/>
                <w:numId w:val="0"/>
              </w:numPr>
              <w:adjustRightInd w:val="0"/>
              <w:snapToGrid w:val="0"/>
              <w:spacing w:line="348" w:lineRule="auto"/>
              <w:rPr>
                <w:rFonts w:hint="default" w:cs="Times New Roman"/>
                <w:color w:val="262626"/>
                <w:sz w:val="24"/>
                <w:lang w:val="en-US" w:eastAsia="zh-CN"/>
              </w:rPr>
            </w:pPr>
          </w:p>
        </w:tc>
      </w:tr>
    </w:tbl>
    <w:p w14:paraId="4F31C887">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
        <w:gridCol w:w="9019"/>
      </w:tblGrid>
      <w:tr w14:paraId="0887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0" w:hRule="atLeast"/>
        </w:trPr>
        <w:tc>
          <w:tcPr>
            <w:tcW w:w="252" w:type="pct"/>
            <w:vAlign w:val="center"/>
          </w:tcPr>
          <w:p w14:paraId="0536775A">
            <w:pPr>
              <w:jc w:val="center"/>
              <w:rPr>
                <w:rFonts w:hint="default" w:ascii="Times New Roman" w:hAnsi="Times New Roman" w:eastAsia="宋体" w:cs="Times New Roman"/>
                <w:color w:val="auto"/>
                <w:kern w:val="0"/>
                <w:sz w:val="24"/>
                <w:szCs w:val="24"/>
                <w:lang w:val="en-US" w:eastAsia="zh-CN"/>
              </w:rPr>
            </w:pPr>
          </w:p>
        </w:tc>
        <w:tc>
          <w:tcPr>
            <w:tcW w:w="4747" w:type="pct"/>
          </w:tcPr>
          <w:p w14:paraId="1EAF0EE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84" w:name="_Toc7968"/>
            <w:r>
              <w:rPr>
                <w:rFonts w:hint="eastAsia"/>
                <w:b/>
                <w:color w:val="262626"/>
                <w:kern w:val="0"/>
                <w:sz w:val="24"/>
                <w:lang w:val="en-US" w:eastAsia="zh-CN"/>
              </w:rPr>
              <w:t>4.1.3运营期大气污染防治措施合理性分析</w:t>
            </w:r>
            <w:bookmarkEnd w:id="84"/>
          </w:p>
          <w:p w14:paraId="1C2D9E9A">
            <w:pPr>
              <w:pStyle w:val="47"/>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w:t>
            </w:r>
            <w:r>
              <w:rPr>
                <w:rFonts w:hint="eastAsia" w:ascii="Times New Roman" w:hAnsi="Times New Roman" w:cs="Times New Roman"/>
                <w:color w:val="auto"/>
                <w:sz w:val="24"/>
                <w:szCs w:val="24"/>
                <w:lang w:val="en-US" w:eastAsia="zh-CN"/>
              </w:rPr>
              <w:t>主要</w:t>
            </w:r>
            <w:r>
              <w:rPr>
                <w:rFonts w:hint="default" w:ascii="Times New Roman" w:hAnsi="Times New Roman" w:eastAsia="宋体" w:cs="Times New Roman"/>
                <w:color w:val="auto"/>
                <w:sz w:val="24"/>
                <w:szCs w:val="24"/>
                <w:lang w:val="en-US" w:eastAsia="zh-CN"/>
              </w:rPr>
              <w:t>为VOCs（以非甲烷总烃计）。</w:t>
            </w:r>
          </w:p>
          <w:p w14:paraId="1895617B">
            <w:pPr>
              <w:pStyle w:val="47"/>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7587C353">
            <w:pPr>
              <w:pStyle w:val="47"/>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厂房总体为钢筋混凝土结构，墙体、屋顶、门窗等均采用密闭设计。本项目所使用设备均设置在车间内，密闭条件较好</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污染较大的设备，设置在厂房一角建设隔断墙密闭管理，可减少污染物无组织扩散。</w:t>
            </w:r>
          </w:p>
          <w:p w14:paraId="7816EBD4">
            <w:pPr>
              <w:pStyle w:val="47"/>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w:t>
            </w:r>
            <w:r>
              <w:rPr>
                <w:rFonts w:hint="eastAsia" w:ascii="Times New Roman" w:hAnsi="Times New Roman" w:cs="Times New Roman"/>
                <w:color w:val="000000"/>
                <w:sz w:val="24"/>
                <w:szCs w:val="24"/>
                <w:highlight w:val="none"/>
                <w:lang w:val="en-US" w:eastAsia="zh-CN"/>
              </w:rPr>
              <w:t>废气</w:t>
            </w:r>
            <w:r>
              <w:rPr>
                <w:rFonts w:hint="default" w:ascii="Times New Roman" w:hAnsi="Times New Roman" w:eastAsia="宋体" w:cs="Times New Roman"/>
                <w:color w:val="000000"/>
                <w:sz w:val="24"/>
                <w:szCs w:val="24"/>
                <w:highlight w:val="none"/>
                <w:lang w:val="en-US" w:eastAsia="zh-CN"/>
              </w:rPr>
              <w:t>治理措施</w:t>
            </w:r>
            <w:r>
              <w:rPr>
                <w:rFonts w:hint="eastAsia" w:ascii="Times New Roman" w:hAnsi="Times New Roman" w:cs="Times New Roman"/>
                <w:color w:val="000000"/>
                <w:sz w:val="24"/>
                <w:szCs w:val="24"/>
                <w:highlight w:val="none"/>
                <w:lang w:val="en-US" w:eastAsia="zh-CN"/>
              </w:rPr>
              <w:t>分析</w:t>
            </w:r>
          </w:p>
          <w:p w14:paraId="08F82F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印刷</w:t>
            </w:r>
            <w:r>
              <w:rPr>
                <w:rFonts w:hint="eastAsia" w:ascii="Times New Roman" w:hAnsi="Times New Roman" w:cs="Times New Roman"/>
                <w:color w:val="auto"/>
                <w:kern w:val="0"/>
                <w:sz w:val="24"/>
                <w:szCs w:val="24"/>
                <w:highlight w:val="none"/>
                <w:lang w:val="en-US" w:eastAsia="zh-CN" w:bidi="ar-SA"/>
              </w:rPr>
              <w:t>废气</w:t>
            </w:r>
            <w:r>
              <w:rPr>
                <w:rFonts w:hint="eastAsia" w:cs="Times New Roman"/>
                <w:color w:val="auto"/>
                <w:kern w:val="0"/>
                <w:sz w:val="24"/>
                <w:szCs w:val="24"/>
                <w:highlight w:val="none"/>
                <w:lang w:val="en-US" w:eastAsia="zh-CN" w:bidi="ar-SA"/>
              </w:rPr>
              <w:t>、复合/熟化废气、吹膜废气、制袋废气</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二级</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m高的排气筒（DA001）排放。</w:t>
            </w:r>
          </w:p>
          <w:p w14:paraId="024E1C3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71A44C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本项目采用颗粒</w:t>
            </w:r>
            <w:r>
              <w:rPr>
                <w:rFonts w:hint="default" w:ascii="Times New Roman" w:hAnsi="Times New Roman" w:eastAsia="宋体" w:cs="Times New Roman"/>
                <w:color w:val="000000"/>
                <w:sz w:val="24"/>
                <w:szCs w:val="24"/>
                <w:lang w:val="en-US" w:eastAsia="zh-CN"/>
              </w:rPr>
              <w:t>活性炭，是一种具有多孔结构和大的内部比表面积的材料。由于其大的比表面积、微孔结构、高的吸附能力和很高的表面活性而成为独特的多功能吸附剂</w:t>
            </w:r>
            <w:r>
              <w:rPr>
                <w:rFonts w:hint="eastAsia" w:cs="Times New Roman"/>
                <w:color w:val="000000"/>
                <w:sz w:val="24"/>
                <w:szCs w:val="24"/>
                <w:lang w:val="en-US" w:eastAsia="zh-CN"/>
              </w:rPr>
              <w:t>且</w:t>
            </w:r>
            <w:r>
              <w:rPr>
                <w:rFonts w:hint="default" w:ascii="Times New Roman" w:hAnsi="Times New Roman" w:eastAsia="宋体" w:cs="Times New Roman"/>
                <w:color w:val="000000"/>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w:t>
            </w:r>
            <w:r>
              <w:rPr>
                <w:rFonts w:hint="default" w:ascii="Times New Roman" w:hAnsi="Times New Roman" w:eastAsia="宋体" w:cs="Times New Roman"/>
                <w:color w:val="auto"/>
                <w:sz w:val="24"/>
                <w:szCs w:val="24"/>
                <w:lang w:val="en-US" w:eastAsia="zh-CN"/>
              </w:rPr>
              <w:t>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w:t>
            </w:r>
            <w:r>
              <w:rPr>
                <w:rFonts w:hint="default" w:ascii="Times New Roman" w:hAnsi="Times New Roman" w:eastAsia="宋体" w:cs="Times New Roman"/>
                <w:color w:val="000000"/>
                <w:sz w:val="24"/>
                <w:szCs w:val="24"/>
                <w:lang w:val="en-US" w:eastAsia="zh-CN"/>
              </w:rPr>
              <w:t>有机废气具有良好的吸附效果，可使得有机废气处理能力达</w:t>
            </w:r>
            <w:r>
              <w:rPr>
                <w:rFonts w:hint="default" w:ascii="Times New Roman" w:hAnsi="Times New Roman" w:eastAsia="宋体" w:cs="Times New Roman"/>
                <w:color w:val="auto"/>
                <w:sz w:val="24"/>
                <w:szCs w:val="24"/>
                <w:lang w:val="en-US" w:eastAsia="zh-CN"/>
              </w:rPr>
              <w:t>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77B7B6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733C34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w:t>
            </w:r>
            <w:r>
              <w:rPr>
                <w:rFonts w:hint="eastAsia" w:cs="Times New Roman"/>
                <w:color w:val="auto"/>
                <w:sz w:val="24"/>
                <w:szCs w:val="24"/>
                <w:highlight w:val="none"/>
                <w:lang w:val="en-US" w:eastAsia="zh-CN"/>
              </w:rPr>
              <w:t>二级</w:t>
            </w:r>
            <w:r>
              <w:rPr>
                <w:rFonts w:hint="eastAsia" w:ascii="Times New Roman" w:hAnsi="Times New Roman" w:eastAsia="宋体" w:cs="Times New Roman"/>
                <w:color w:val="auto"/>
                <w:sz w:val="24"/>
                <w:szCs w:val="24"/>
                <w:highlight w:val="none"/>
                <w:lang w:val="en-US" w:eastAsia="zh-CN"/>
              </w:rPr>
              <w:t>活性炭吸附装置对应的风量为</w:t>
            </w:r>
            <w:r>
              <w:rPr>
                <w:rFonts w:hint="eastAsia" w:cs="Times New Roman"/>
                <w:color w:val="auto"/>
                <w:sz w:val="24"/>
                <w:szCs w:val="24"/>
                <w:highlight w:val="none"/>
                <w:lang w:val="en-US" w:eastAsia="zh-CN"/>
              </w:rPr>
              <w:t>17500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/h=4.8611m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4.8611/2.5/3.2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6076</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满足《吸附法工业有机废气治理工程技术规范（</w:t>
            </w:r>
            <w:r>
              <w:rPr>
                <w:rFonts w:hint="default" w:ascii="Times New Roman" w:hAnsi="Times New Roman" w:eastAsia="宋体" w:cs="Times New Roman"/>
                <w:color w:val="auto"/>
                <w:sz w:val="24"/>
                <w:szCs w:val="24"/>
                <w:highlight w:val="none"/>
                <w:lang w:val="en-US" w:eastAsia="zh-CN"/>
              </w:rPr>
              <w:t>HJ2026-2013</w:t>
            </w:r>
            <w:r>
              <w:rPr>
                <w:rFonts w:hint="eastAsia" w:ascii="Times New Roman" w:hAnsi="Times New Roman" w:eastAsia="宋体" w:cs="Times New Roman"/>
                <w:color w:val="auto"/>
                <w:sz w:val="24"/>
                <w:szCs w:val="24"/>
                <w:highlight w:val="none"/>
                <w:lang w:val="en-US" w:eastAsia="zh-CN"/>
              </w:rPr>
              <w:t>）》中“采用颗粒状吸附剂时，气体流速宜低于</w:t>
            </w:r>
            <w:r>
              <w:rPr>
                <w:rFonts w:hint="default" w:ascii="Times New Roman" w:hAnsi="Times New Roman" w:eastAsia="宋体" w:cs="Times New Roman"/>
                <w:color w:val="auto"/>
                <w:sz w:val="24"/>
                <w:szCs w:val="24"/>
                <w:highlight w:val="none"/>
                <w:lang w:val="en-US" w:eastAsia="zh-CN"/>
              </w:rPr>
              <w:t>0.6m/s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0.35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0.6076</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0.576</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1273C7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4D68A4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42.5</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，满足该规范要求。</w:t>
            </w:r>
          </w:p>
          <w:p w14:paraId="559F84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 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5C0A07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drawing>
                <wp:inline distT="0" distB="0" distL="114300" distR="114300">
                  <wp:extent cx="4822825" cy="2259965"/>
                  <wp:effectExtent l="0" t="0" r="15875"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4822825" cy="2259965"/>
                          </a:xfrm>
                          <a:prstGeom prst="rect">
                            <a:avLst/>
                          </a:prstGeom>
                          <a:noFill/>
                          <a:ln>
                            <a:noFill/>
                          </a:ln>
                        </pic:spPr>
                      </pic:pic>
                    </a:graphicData>
                  </a:graphic>
                </wp:inline>
              </w:drawing>
            </w:r>
          </w:p>
          <w:p w14:paraId="54120C41">
            <w:pPr>
              <w:pStyle w:val="54"/>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1-4</w:t>
            </w:r>
            <w:r>
              <w:rPr>
                <w:rFonts w:hint="eastAsia" w:ascii="Times New Roman" w:hAnsi="Times New Roman" w:eastAsia="宋体" w:cs="Times New Roman"/>
                <w:color w:val="auto"/>
                <w:lang w:val="en-US" w:eastAsia="zh-CN"/>
              </w:rPr>
              <w:t xml:space="preserve"> 更换周期参数表</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400"/>
              <w:gridCol w:w="864"/>
              <w:gridCol w:w="1622"/>
              <w:gridCol w:w="1291"/>
              <w:gridCol w:w="1032"/>
              <w:gridCol w:w="864"/>
            </w:tblGrid>
            <w:tr w14:paraId="0A956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80" w:type="pct"/>
                  <w:tcBorders>
                    <w:bottom w:val="single" w:color="auto" w:sz="12" w:space="0"/>
                  </w:tcBorders>
                  <w:noWrap w:val="0"/>
                  <w:vAlign w:val="center"/>
                </w:tcPr>
                <w:p w14:paraId="2988EF59">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795" w:type="pct"/>
                  <w:tcBorders>
                    <w:bottom w:val="single" w:color="auto" w:sz="12" w:space="0"/>
                  </w:tcBorders>
                  <w:noWrap w:val="0"/>
                  <w:vAlign w:val="center"/>
                </w:tcPr>
                <w:p w14:paraId="49D46746">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491" w:type="pct"/>
                  <w:tcBorders>
                    <w:bottom w:val="single" w:color="auto" w:sz="12" w:space="0"/>
                  </w:tcBorders>
                  <w:noWrap w:val="0"/>
                  <w:vAlign w:val="center"/>
                </w:tcPr>
                <w:p w14:paraId="702D3A95">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921" w:type="pct"/>
                  <w:tcBorders>
                    <w:bottom w:val="single" w:color="auto" w:sz="12" w:space="0"/>
                  </w:tcBorders>
                  <w:noWrap w:val="0"/>
                  <w:vAlign w:val="center"/>
                </w:tcPr>
                <w:p w14:paraId="5CCC3D23">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733" w:type="pct"/>
                  <w:tcBorders>
                    <w:bottom w:val="single" w:color="auto" w:sz="12" w:space="0"/>
                  </w:tcBorders>
                  <w:noWrap w:val="0"/>
                  <w:vAlign w:val="center"/>
                </w:tcPr>
                <w:p w14:paraId="50FEC772">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586" w:type="pct"/>
                  <w:tcBorders>
                    <w:bottom w:val="single" w:color="auto" w:sz="12" w:space="0"/>
                  </w:tcBorders>
                  <w:noWrap w:val="0"/>
                  <w:vAlign w:val="center"/>
                </w:tcPr>
                <w:p w14:paraId="78C95752">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491" w:type="pct"/>
                  <w:tcBorders>
                    <w:bottom w:val="single" w:color="auto" w:sz="12" w:space="0"/>
                  </w:tcBorders>
                  <w:noWrap w:val="0"/>
                  <w:vAlign w:val="center"/>
                </w:tcPr>
                <w:p w14:paraId="7F8E2BD0">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31010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80" w:type="pct"/>
                  <w:tcBorders>
                    <w:top w:val="single" w:color="auto" w:sz="12" w:space="0"/>
                    <w:tl2br w:val="nil"/>
                    <w:tr2bl w:val="nil"/>
                  </w:tcBorders>
                  <w:noWrap w:val="0"/>
                  <w:vAlign w:val="center"/>
                </w:tcPr>
                <w:p w14:paraId="2BE8C74A">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795" w:type="pct"/>
                  <w:tcBorders>
                    <w:top w:val="single" w:color="auto" w:sz="12" w:space="0"/>
                    <w:tl2br w:val="nil"/>
                    <w:tr2bl w:val="nil"/>
                  </w:tcBorders>
                  <w:noWrap w:val="0"/>
                  <w:vAlign w:val="center"/>
                </w:tcPr>
                <w:p w14:paraId="7CEC4BDB">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491" w:type="pct"/>
                  <w:tcBorders>
                    <w:top w:val="single" w:color="auto" w:sz="12" w:space="0"/>
                    <w:tl2br w:val="nil"/>
                    <w:tr2bl w:val="nil"/>
                  </w:tcBorders>
                  <w:noWrap w:val="0"/>
                  <w:vAlign w:val="center"/>
                </w:tcPr>
                <w:p w14:paraId="7B132A5A">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921" w:type="pct"/>
                  <w:tcBorders>
                    <w:top w:val="single" w:color="auto" w:sz="12" w:space="0"/>
                    <w:tl2br w:val="nil"/>
                    <w:tr2bl w:val="nil"/>
                  </w:tcBorders>
                  <w:noWrap w:val="0"/>
                  <w:vAlign w:val="center"/>
                </w:tcPr>
                <w:p w14:paraId="07C29C9B">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733" w:type="pct"/>
                  <w:tcBorders>
                    <w:top w:val="single" w:color="auto" w:sz="12" w:space="0"/>
                    <w:tl2br w:val="nil"/>
                    <w:tr2bl w:val="nil"/>
                  </w:tcBorders>
                  <w:noWrap w:val="0"/>
                  <w:vAlign w:val="center"/>
                </w:tcPr>
                <w:p w14:paraId="3BF0ECCE">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586" w:type="pct"/>
                  <w:tcBorders>
                    <w:top w:val="single" w:color="auto" w:sz="12" w:space="0"/>
                    <w:tl2br w:val="nil"/>
                    <w:tr2bl w:val="nil"/>
                  </w:tcBorders>
                  <w:noWrap w:val="0"/>
                  <w:vAlign w:val="center"/>
                </w:tcPr>
                <w:p w14:paraId="04928043">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491" w:type="pct"/>
                  <w:tcBorders>
                    <w:top w:val="single" w:color="auto" w:sz="12" w:space="0"/>
                    <w:tl2br w:val="nil"/>
                    <w:tr2bl w:val="nil"/>
                  </w:tcBorders>
                  <w:noWrap w:val="0"/>
                  <w:vAlign w:val="center"/>
                </w:tcPr>
                <w:p w14:paraId="6FA1AC5F">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5F875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0" w:type="pct"/>
                  <w:tcBorders>
                    <w:tl2br w:val="nil"/>
                    <w:tr2bl w:val="nil"/>
                  </w:tcBorders>
                  <w:noWrap w:val="0"/>
                  <w:vAlign w:val="center"/>
                </w:tcPr>
                <w:p w14:paraId="313C3465">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795" w:type="pct"/>
                  <w:tcBorders>
                    <w:tl2br w:val="nil"/>
                    <w:tr2bl w:val="nil"/>
                  </w:tcBorders>
                  <w:noWrap w:val="0"/>
                  <w:vAlign w:val="center"/>
                </w:tcPr>
                <w:p w14:paraId="2FBA7B62">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1400</w:t>
                  </w:r>
                </w:p>
              </w:tc>
              <w:tc>
                <w:tcPr>
                  <w:tcW w:w="491" w:type="pct"/>
                  <w:tcBorders>
                    <w:tl2br w:val="nil"/>
                    <w:tr2bl w:val="nil"/>
                  </w:tcBorders>
                  <w:noWrap w:val="0"/>
                  <w:vAlign w:val="center"/>
                </w:tcPr>
                <w:p w14:paraId="4EBF78FD">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15</w:t>
                  </w:r>
                </w:p>
              </w:tc>
              <w:tc>
                <w:tcPr>
                  <w:tcW w:w="921" w:type="pct"/>
                  <w:tcBorders>
                    <w:tl2br w:val="nil"/>
                    <w:tr2bl w:val="nil"/>
                  </w:tcBorders>
                  <w:noWrap w:val="0"/>
                  <w:vAlign w:val="center"/>
                </w:tcPr>
                <w:p w14:paraId="275B72BC">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70.62</w:t>
                  </w:r>
                </w:p>
              </w:tc>
              <w:tc>
                <w:tcPr>
                  <w:tcW w:w="733" w:type="pct"/>
                  <w:tcBorders>
                    <w:tl2br w:val="nil"/>
                    <w:tr2bl w:val="nil"/>
                  </w:tcBorders>
                  <w:noWrap w:val="0"/>
                  <w:vAlign w:val="center"/>
                </w:tcPr>
                <w:p w14:paraId="46E3AAF3">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17500</w:t>
                  </w:r>
                </w:p>
              </w:tc>
              <w:tc>
                <w:tcPr>
                  <w:tcW w:w="586" w:type="pct"/>
                  <w:tcBorders>
                    <w:tl2br w:val="nil"/>
                    <w:tr2bl w:val="nil"/>
                  </w:tcBorders>
                  <w:noWrap w:val="0"/>
                  <w:vAlign w:val="center"/>
                </w:tcPr>
                <w:p w14:paraId="50E7E3EE">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20</w:t>
                  </w:r>
                </w:p>
              </w:tc>
              <w:tc>
                <w:tcPr>
                  <w:tcW w:w="491" w:type="pct"/>
                  <w:tcBorders>
                    <w:tl2br w:val="nil"/>
                    <w:tr2bl w:val="nil"/>
                  </w:tcBorders>
                  <w:noWrap w:val="0"/>
                  <w:vAlign w:val="center"/>
                </w:tcPr>
                <w:p w14:paraId="6CC18C69">
                  <w:pPr>
                    <w:pStyle w:val="54"/>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42.5</w:t>
                  </w:r>
                </w:p>
              </w:tc>
            </w:tr>
          </w:tbl>
          <w:p w14:paraId="1E8236ED">
            <w:pPr>
              <w:pStyle w:val="54"/>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406E45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45BC06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关于印发〈主要污染物总量减排核算技术指南（2022年修订）〉的通知》〔2022〕350</w:t>
            </w:r>
            <w:r>
              <w:rPr>
                <w:rFonts w:hint="eastAsia" w:cs="Times New Roman"/>
                <w:color w:val="auto"/>
                <w:sz w:val="24"/>
                <w:szCs w:val="24"/>
                <w:lang w:val="en-US" w:eastAsia="zh-CN"/>
              </w:rPr>
              <w:t>号</w:t>
            </w:r>
            <w:r>
              <w:rPr>
                <w:rFonts w:hint="eastAsia" w:ascii="Times New Roman" w:hAnsi="Times New Roman" w:eastAsia="宋体" w:cs="Times New Roman"/>
                <w:color w:val="auto"/>
                <w:sz w:val="24"/>
                <w:szCs w:val="24"/>
                <w:lang w:val="en-US" w:eastAsia="zh-CN"/>
              </w:rPr>
              <w:t>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一次性活性炭的吸附效率50%。采用二级活性炭吸附效率为1-（1%～50%）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（1%～50%）=75%。</w:t>
            </w:r>
            <w:r>
              <w:rPr>
                <w:rFonts w:hint="default" w:ascii="Times New Roman" w:hAnsi="Times New Roman" w:eastAsia="宋体" w:cs="Times New Roman"/>
                <w:color w:val="auto"/>
                <w:sz w:val="24"/>
                <w:szCs w:val="24"/>
                <w:lang w:val="en-US" w:eastAsia="zh-CN"/>
              </w:rPr>
              <w:t>为保证废气与活性炭的接触时间和吸附效果，要求控制吸附</w:t>
            </w:r>
            <w:r>
              <w:rPr>
                <w:rFonts w:hint="eastAsia" w:ascii="Times New Roman" w:hAnsi="Times New Roman" w:eastAsia="宋体" w:cs="Times New Roman"/>
                <w:color w:val="auto"/>
                <w:sz w:val="24"/>
                <w:szCs w:val="24"/>
                <w:lang w:val="en-US" w:eastAsia="zh-CN"/>
              </w:rPr>
              <w:t>装</w:t>
            </w:r>
            <w:r>
              <w:rPr>
                <w:rFonts w:hint="default" w:ascii="Times New Roman" w:hAnsi="Times New Roman" w:eastAsia="宋体" w:cs="Times New Roman"/>
                <w:color w:val="auto"/>
                <w:sz w:val="24"/>
                <w:szCs w:val="24"/>
                <w:lang w:val="en-US" w:eastAsia="zh-CN"/>
              </w:rPr>
              <w:t>置吸附层的风速，一般取0.10m/s～0.15m/s之间；吸附剂和气体的接触时间宜按不低于3s计；同时确保项目活性炭吸附装置一次性装置量，定期更换活性纤维，采取以上治理措</w:t>
            </w:r>
            <w:r>
              <w:rPr>
                <w:rFonts w:hint="eastAsia" w:cs="Times New Roman"/>
                <w:color w:val="auto"/>
                <w:sz w:val="24"/>
                <w:szCs w:val="24"/>
                <w:lang w:val="en-US" w:eastAsia="zh-CN"/>
              </w:rPr>
              <w:t>施和</w:t>
            </w:r>
            <w:r>
              <w:rPr>
                <w:rFonts w:hint="default" w:ascii="Times New Roman" w:hAnsi="Times New Roman" w:eastAsia="宋体" w:cs="Times New Roman"/>
                <w:color w:val="auto"/>
                <w:sz w:val="24"/>
                <w:szCs w:val="24"/>
                <w:lang w:val="en-US" w:eastAsia="zh-CN"/>
              </w:rPr>
              <w:t>综合治理措施后，本评价废气设施去除效率按</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%计，根据预测，有机废气污染物非甲烷总烃可以达标排放，因此，项目有机废气经处理后对环境影响较小，采取的措施可行。</w:t>
            </w:r>
          </w:p>
          <w:p w14:paraId="74579413">
            <w:pPr>
              <w:pStyle w:val="52"/>
              <w:ind w:firstLine="48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（3）集气罩收集效率可行性分析</w:t>
            </w:r>
          </w:p>
          <w:p w14:paraId="0A7E8F77">
            <w:pPr>
              <w:pStyle w:val="52"/>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根据《废气处理工程设计手册》（王纯、张殷印主编）中的经验公式：</w:t>
            </w:r>
          </w:p>
          <w:p w14:paraId="08BBCFBA">
            <w:pPr>
              <w:pStyle w:val="52"/>
              <w:ind w:firstLine="48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Q=3600Fvβ</w:t>
            </w:r>
          </w:p>
          <w:p w14:paraId="3F3EFB98">
            <w:pPr>
              <w:pStyle w:val="52"/>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其中：Q为集气罩的计算风量m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6C081D77">
            <w:pPr>
              <w:pStyle w:val="52"/>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V罩口平均速度，m/s。可取0.5~1.5。本项目取0.5。</w:t>
            </w:r>
          </w:p>
          <w:p w14:paraId="106CA68C">
            <w:pPr>
              <w:pStyle w:val="52"/>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F罩口面积m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，集气罩尺寸为0.5m、0.</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m，共计设置</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个，则集气罩共计面积为</w:t>
            </w:r>
            <w:r>
              <w:rPr>
                <w:rFonts w:hint="eastAsia" w:cs="Times New Roman"/>
                <w:color w:val="auto"/>
                <w:sz w:val="24"/>
                <w:szCs w:val="24"/>
                <w:lang w:val="en-US" w:eastAsia="zh-CN"/>
              </w:rPr>
              <w:t>7.2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474CB2CA">
            <w:pPr>
              <w:pStyle w:val="52"/>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β—安全系数，一般取1.05~1.1，本环评取1.1：</w:t>
            </w:r>
          </w:p>
          <w:p w14:paraId="702AD163">
            <w:pPr>
              <w:pStyle w:val="52"/>
              <w:keepNext w:val="0"/>
              <w:keepLines w:val="0"/>
              <w:pageBreakBefore w:val="0"/>
              <w:widowControl w:val="0"/>
              <w:kinsoku/>
              <w:wordWrap/>
              <w:overflowPunct/>
              <w:topLinePunct w:val="0"/>
              <w:autoSpaceDE/>
              <w:autoSpaceDN/>
              <w:bidi w:val="0"/>
              <w:adjustRightInd/>
              <w:snapToGrid/>
              <w:spacing w:after="0"/>
              <w:ind w:left="0" w:leftChars="0" w:firstLine="480"/>
              <w:jc w:val="both"/>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计算可得，风机总风量为14256m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/h，考虑管阻等因素，引风机风量按不低于120%的集气罩风量进行设计，项目引风机风量按17500m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/h进行设计。</w:t>
            </w:r>
          </w:p>
          <w:p w14:paraId="780F86B9">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（3）污染物达标分析</w:t>
            </w:r>
          </w:p>
          <w:p w14:paraId="7F8C4858">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本项目运营期产生的废气主要包括非甲烷总烃。经核算，非甲烷总烃有组织</w:t>
            </w:r>
            <w:r>
              <w:rPr>
                <w:rFonts w:hint="eastAsia" w:ascii="Times New Roman" w:hAnsi="Times New Roman" w:cs="Times New Roman"/>
                <w:color w:val="000000"/>
                <w:highlight w:val="none"/>
                <w:lang w:val="en-US" w:eastAsia="zh-CN"/>
              </w:rPr>
              <w:t>最大</w:t>
            </w:r>
            <w:r>
              <w:rPr>
                <w:rFonts w:hint="eastAsia" w:ascii="Times New Roman" w:hAnsi="Times New Roman" w:eastAsia="宋体" w:cs="Times New Roman"/>
                <w:color w:val="000000"/>
                <w:highlight w:val="none"/>
                <w:lang w:val="en-US" w:eastAsia="zh-CN"/>
              </w:rPr>
              <w:t>排放浓度为</w:t>
            </w:r>
            <w:r>
              <w:rPr>
                <w:rFonts w:hint="eastAsia" w:ascii="Times New Roman" w:hAnsi="Times New Roman" w:cs="Times New Roman"/>
                <w:color w:val="000000"/>
                <w:highlight w:val="none"/>
                <w:lang w:val="en-US" w:eastAsia="zh-CN"/>
              </w:rPr>
              <w:t>11.04</w:t>
            </w:r>
            <w:r>
              <w:rPr>
                <w:rFonts w:hint="eastAsia" w:ascii="Times New Roman" w:hAnsi="Times New Roman" w:eastAsia="宋体" w:cs="Times New Roman"/>
                <w:color w:val="000000"/>
                <w:highlight w:val="none"/>
                <w:lang w:val="en-US" w:eastAsia="zh-CN"/>
              </w:rPr>
              <w:t>mg/m³，排放速率为</w:t>
            </w:r>
            <w:r>
              <w:rPr>
                <w:rFonts w:hint="eastAsia" w:ascii="Times New Roman" w:hAnsi="Times New Roman" w:cs="Times New Roman"/>
                <w:color w:val="000000"/>
                <w:highlight w:val="none"/>
                <w:lang w:val="en-US" w:eastAsia="zh-CN"/>
              </w:rPr>
              <w:t>0.1931</w:t>
            </w:r>
            <w:r>
              <w:rPr>
                <w:rFonts w:hint="eastAsia" w:ascii="Times New Roman" w:hAnsi="Times New Roman" w:eastAsia="宋体" w:cs="Times New Roman"/>
                <w:color w:val="000000"/>
                <w:highlight w:val="none"/>
                <w:lang w:val="en-US" w:eastAsia="zh-CN"/>
              </w:rPr>
              <w:t>kg/h；。根据印刷行业挥发性有机物排放标准》（DB35/1784-2018）标准限值要求，非甲烷总烃有组织排放限值为≤</w:t>
            </w:r>
            <w:r>
              <w:rPr>
                <w:rFonts w:hint="eastAsia" w:ascii="Times New Roman" w:hAnsi="Times New Roman" w:cs="Times New Roman"/>
                <w:color w:val="000000"/>
                <w:highlight w:val="none"/>
                <w:lang w:val="en-US" w:eastAsia="zh-CN"/>
              </w:rPr>
              <w:t>50</w:t>
            </w:r>
            <w:r>
              <w:rPr>
                <w:rFonts w:hint="eastAsia" w:ascii="Times New Roman" w:hAnsi="Times New Roman" w:eastAsia="宋体" w:cs="Times New Roman"/>
                <w:color w:val="000000"/>
                <w:highlight w:val="none"/>
                <w:lang w:val="en-US" w:eastAsia="zh-CN"/>
              </w:rPr>
              <w:t>mg/m</w:t>
            </w:r>
            <w:r>
              <w:rPr>
                <w:rFonts w:hint="eastAsia" w:ascii="Times New Roman" w:hAnsi="Times New Roman" w:cs="Times New Roman"/>
                <w:color w:val="000000"/>
                <w:highlight w:val="none"/>
                <w:vertAlign w:val="superscript"/>
                <w:lang w:val="en-US" w:eastAsia="zh-CN"/>
              </w:rPr>
              <w:t>3</w:t>
            </w:r>
            <w:r>
              <w:rPr>
                <w:rFonts w:hint="eastAsia" w:ascii="Times New Roman" w:hAnsi="Times New Roman" w:eastAsia="宋体" w:cs="Times New Roman"/>
                <w:color w:val="000000"/>
                <w:highlight w:val="none"/>
                <w:lang w:val="en-US" w:eastAsia="zh-CN"/>
              </w:rPr>
              <w:t>。本项目废气排放浓度及速率均满足上述标准要求。</w:t>
            </w:r>
          </w:p>
          <w:p w14:paraId="4EA2C2C6">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因此，项目废气经处理后对环境影响较小，采取的废气治理措施可行，能够确保废气达标排放。</w:t>
            </w:r>
          </w:p>
          <w:p w14:paraId="7099B98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85" w:name="_Toc8398"/>
            <w:r>
              <w:rPr>
                <w:rFonts w:hint="eastAsia"/>
                <w:b/>
                <w:color w:val="262626"/>
                <w:kern w:val="0"/>
                <w:sz w:val="24"/>
                <w:lang w:val="en-US" w:eastAsia="zh-CN"/>
              </w:rPr>
              <w:t>4.1.4非正常工况排放量核算</w:t>
            </w:r>
            <w:bookmarkEnd w:id="85"/>
          </w:p>
          <w:p w14:paraId="3EA89623">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（1）非正常排放情形及排放源强</w:t>
            </w:r>
          </w:p>
          <w:p w14:paraId="09592A6B">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55E61841">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lang w:val="en-US" w:eastAsia="zh-CN"/>
              </w:rPr>
              <w:t>废气处理设施故障，导致废气非正常排放。</w:t>
            </w:r>
            <w:r>
              <w:rPr>
                <w:rFonts w:hint="default" w:ascii="Times New Roman" w:hAnsi="Times New Roman" w:eastAsia="宋体" w:cs="Times New Roman"/>
                <w:color w:val="000000"/>
                <w:kern w:val="2"/>
                <w:sz w:val="24"/>
                <w:szCs w:val="24"/>
                <w:lang w:val="en-US" w:eastAsia="zh-CN" w:bidi="ar-SA"/>
              </w:rPr>
              <w:t>本评价按最不利情况考虑，即废气处理效率降低为0%的情况下污染物排放对周边环境的影响。非正常工况下废气排放源强核算结果见下表4.</w:t>
            </w:r>
            <w:r>
              <w:rPr>
                <w:rFonts w:hint="eastAsia" w:ascii="Times New Roman" w:hAnsi="Times New Roman" w:eastAsia="宋体"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eastAsia" w:ascii="Times New Roman" w:hAnsi="Times New Roman" w:cs="Times New Roman"/>
                <w:color w:val="000000"/>
                <w:kern w:val="2"/>
                <w:sz w:val="24"/>
                <w:szCs w:val="24"/>
                <w:lang w:val="en-US" w:eastAsia="zh-CN" w:bidi="ar-SA"/>
              </w:rPr>
              <w:t>。</w:t>
            </w:r>
          </w:p>
          <w:p w14:paraId="46C98F93">
            <w:pPr>
              <w:pStyle w:val="54"/>
              <w:bidi w:val="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 xml:space="preserve"> 污染源非正常排放量核算</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21"/>
              <w:gridCol w:w="1111"/>
              <w:gridCol w:w="1340"/>
              <w:gridCol w:w="1465"/>
              <w:gridCol w:w="1363"/>
              <w:gridCol w:w="1134"/>
              <w:gridCol w:w="1164"/>
            </w:tblGrid>
            <w:tr w14:paraId="66475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94" w:type="pct"/>
                  <w:vMerge w:val="restart"/>
                  <w:tcBorders>
                    <w:tl2br w:val="nil"/>
                    <w:tr2bl w:val="nil"/>
                  </w:tcBorders>
                  <w:vAlign w:val="center"/>
                </w:tcPr>
                <w:p w14:paraId="7EE9821A">
                  <w:pPr>
                    <w:pStyle w:val="84"/>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名称</w:t>
                  </w:r>
                </w:p>
              </w:tc>
              <w:tc>
                <w:tcPr>
                  <w:tcW w:w="631" w:type="pct"/>
                  <w:vMerge w:val="restart"/>
                  <w:tcBorders>
                    <w:tl2br w:val="nil"/>
                    <w:tr2bl w:val="nil"/>
                  </w:tcBorders>
                  <w:vAlign w:val="center"/>
                </w:tcPr>
                <w:p w14:paraId="36277066">
                  <w:pPr>
                    <w:pStyle w:val="84"/>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排放形式</w:t>
                  </w:r>
                </w:p>
              </w:tc>
              <w:tc>
                <w:tcPr>
                  <w:tcW w:w="761" w:type="pct"/>
                  <w:vMerge w:val="restart"/>
                  <w:tcBorders>
                    <w:tl2br w:val="nil"/>
                    <w:tr2bl w:val="nil"/>
                  </w:tcBorders>
                  <w:vAlign w:val="center"/>
                </w:tcPr>
                <w:p w14:paraId="1EA97750">
                  <w:pPr>
                    <w:pStyle w:val="84"/>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污染物种类</w:t>
                  </w:r>
                </w:p>
              </w:tc>
              <w:tc>
                <w:tcPr>
                  <w:tcW w:w="2250" w:type="pct"/>
                  <w:gridSpan w:val="3"/>
                  <w:tcBorders>
                    <w:tl2br w:val="nil"/>
                    <w:tr2bl w:val="nil"/>
                  </w:tcBorders>
                  <w:vAlign w:val="center"/>
                </w:tcPr>
                <w:p w14:paraId="037F2578">
                  <w:pPr>
                    <w:pStyle w:val="84"/>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污染物排放情况</w:t>
                  </w:r>
                </w:p>
              </w:tc>
              <w:tc>
                <w:tcPr>
                  <w:tcW w:w="661" w:type="pct"/>
                  <w:vMerge w:val="restart"/>
                  <w:tcBorders>
                    <w:tl2br w:val="nil"/>
                    <w:tr2bl w:val="nil"/>
                  </w:tcBorders>
                  <w:vAlign w:val="center"/>
                </w:tcPr>
                <w:p w14:paraId="35F10587">
                  <w:pPr>
                    <w:pStyle w:val="84"/>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排放去向</w:t>
                  </w:r>
                </w:p>
              </w:tc>
            </w:tr>
            <w:tr w14:paraId="71963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94" w:type="pct"/>
                  <w:vMerge w:val="continue"/>
                  <w:tcBorders>
                    <w:tl2br w:val="nil"/>
                    <w:tr2bl w:val="nil"/>
                  </w:tcBorders>
                  <w:vAlign w:val="center"/>
                </w:tcPr>
                <w:p w14:paraId="533EC217">
                  <w:pPr>
                    <w:pStyle w:val="84"/>
                    <w:spacing w:line="240" w:lineRule="auto"/>
                    <w:jc w:val="center"/>
                    <w:rPr>
                      <w:rFonts w:ascii="Times New Roman" w:hAnsi="Times New Roman" w:cs="Times New Roman"/>
                      <w:color w:val="000000" w:themeColor="text1"/>
                      <w:sz w:val="21"/>
                      <w14:textFill>
                        <w14:solidFill>
                          <w14:schemeClr w14:val="tx1"/>
                        </w14:solidFill>
                      </w14:textFill>
                    </w:rPr>
                  </w:pPr>
                </w:p>
              </w:tc>
              <w:tc>
                <w:tcPr>
                  <w:tcW w:w="631" w:type="pct"/>
                  <w:vMerge w:val="continue"/>
                  <w:tcBorders>
                    <w:tl2br w:val="nil"/>
                    <w:tr2bl w:val="nil"/>
                  </w:tcBorders>
                  <w:vAlign w:val="center"/>
                </w:tcPr>
                <w:p w14:paraId="79ABEA8E">
                  <w:pPr>
                    <w:pStyle w:val="84"/>
                    <w:spacing w:line="240" w:lineRule="auto"/>
                    <w:jc w:val="center"/>
                    <w:rPr>
                      <w:rFonts w:ascii="Times New Roman" w:hAnsi="Times New Roman" w:cs="Times New Roman"/>
                      <w:color w:val="000000" w:themeColor="text1"/>
                      <w:sz w:val="21"/>
                      <w14:textFill>
                        <w14:solidFill>
                          <w14:schemeClr w14:val="tx1"/>
                        </w14:solidFill>
                      </w14:textFill>
                    </w:rPr>
                  </w:pPr>
                </w:p>
              </w:tc>
              <w:tc>
                <w:tcPr>
                  <w:tcW w:w="761" w:type="pct"/>
                  <w:vMerge w:val="continue"/>
                  <w:tcBorders>
                    <w:tl2br w:val="nil"/>
                    <w:tr2bl w:val="nil"/>
                  </w:tcBorders>
                  <w:vAlign w:val="center"/>
                </w:tcPr>
                <w:p w14:paraId="2FC1E076">
                  <w:pPr>
                    <w:pStyle w:val="84"/>
                    <w:spacing w:line="240" w:lineRule="auto"/>
                    <w:jc w:val="center"/>
                    <w:rPr>
                      <w:rFonts w:ascii="Times New Roman" w:hAnsi="Times New Roman" w:cs="Times New Roman"/>
                      <w:color w:val="000000" w:themeColor="text1"/>
                      <w:sz w:val="21"/>
                      <w14:textFill>
                        <w14:solidFill>
                          <w14:schemeClr w14:val="tx1"/>
                        </w14:solidFill>
                      </w14:textFill>
                    </w:rPr>
                  </w:pPr>
                </w:p>
              </w:tc>
              <w:tc>
                <w:tcPr>
                  <w:tcW w:w="832" w:type="pct"/>
                  <w:tcBorders>
                    <w:tl2br w:val="nil"/>
                    <w:tr2bl w:val="nil"/>
                  </w:tcBorders>
                  <w:vAlign w:val="center"/>
                </w:tcPr>
                <w:p w14:paraId="73E1C944">
                  <w:pPr>
                    <w:pStyle w:val="84"/>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排放浓度mg/m</w:t>
                  </w:r>
                  <w:r>
                    <w:rPr>
                      <w:rFonts w:ascii="Times New Roman" w:hAnsi="Times New Roman" w:cs="Times New Roman"/>
                      <w:color w:val="000000" w:themeColor="text1"/>
                      <w:sz w:val="21"/>
                      <w:vertAlign w:val="superscript"/>
                      <w14:textFill>
                        <w14:solidFill>
                          <w14:schemeClr w14:val="tx1"/>
                        </w14:solidFill>
                      </w14:textFill>
                    </w:rPr>
                    <w:t>3</w:t>
                  </w:r>
                </w:p>
              </w:tc>
              <w:tc>
                <w:tcPr>
                  <w:tcW w:w="774" w:type="pct"/>
                  <w:tcBorders>
                    <w:tl2br w:val="nil"/>
                    <w:tr2bl w:val="nil"/>
                  </w:tcBorders>
                  <w:vAlign w:val="center"/>
                </w:tcPr>
                <w:p w14:paraId="37655302">
                  <w:pPr>
                    <w:pStyle w:val="84"/>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排放速率kg/h</w:t>
                  </w:r>
                </w:p>
              </w:tc>
              <w:tc>
                <w:tcPr>
                  <w:tcW w:w="643" w:type="pct"/>
                  <w:tcBorders>
                    <w:tl2br w:val="nil"/>
                    <w:tr2bl w:val="nil"/>
                  </w:tcBorders>
                  <w:vAlign w:val="center"/>
                </w:tcPr>
                <w:p w14:paraId="3F5000B8">
                  <w:pPr>
                    <w:pStyle w:val="84"/>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排放量t/a</w:t>
                  </w:r>
                </w:p>
              </w:tc>
              <w:tc>
                <w:tcPr>
                  <w:tcW w:w="661" w:type="pct"/>
                  <w:vMerge w:val="continue"/>
                  <w:tcBorders>
                    <w:tl2br w:val="nil"/>
                    <w:tr2bl w:val="nil"/>
                  </w:tcBorders>
                  <w:vAlign w:val="center"/>
                </w:tcPr>
                <w:p w14:paraId="06F5BB6A">
                  <w:pPr>
                    <w:pStyle w:val="84"/>
                    <w:spacing w:line="240" w:lineRule="auto"/>
                    <w:jc w:val="center"/>
                    <w:rPr>
                      <w:rFonts w:ascii="Times New Roman" w:hAnsi="Times New Roman" w:cs="Times New Roman"/>
                      <w:color w:val="000000" w:themeColor="text1"/>
                      <w:sz w:val="21"/>
                      <w14:textFill>
                        <w14:solidFill>
                          <w14:schemeClr w14:val="tx1"/>
                        </w14:solidFill>
                      </w14:textFill>
                    </w:rPr>
                  </w:pPr>
                </w:p>
              </w:tc>
            </w:tr>
            <w:tr w14:paraId="2E8E1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694" w:type="pct"/>
                  <w:tcBorders>
                    <w:tl2br w:val="nil"/>
                    <w:tr2bl w:val="nil"/>
                  </w:tcBorders>
                  <w:vAlign w:val="center"/>
                </w:tcPr>
                <w:p w14:paraId="7E142010">
                  <w:pPr>
                    <w:pStyle w:val="84"/>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DA001</w:t>
                  </w:r>
                </w:p>
              </w:tc>
              <w:tc>
                <w:tcPr>
                  <w:tcW w:w="631" w:type="pct"/>
                  <w:tcBorders>
                    <w:tl2br w:val="nil"/>
                    <w:tr2bl w:val="nil"/>
                  </w:tcBorders>
                  <w:vAlign w:val="center"/>
                </w:tcPr>
                <w:p w14:paraId="19230508">
                  <w:pPr>
                    <w:pStyle w:val="84"/>
                    <w:spacing w:line="240" w:lineRule="auto"/>
                    <w:jc w:val="center"/>
                    <w:rPr>
                      <w:rFonts w:hint="eastAsia"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有组织</w:t>
                  </w:r>
                </w:p>
              </w:tc>
              <w:tc>
                <w:tcPr>
                  <w:tcW w:w="761" w:type="pct"/>
                  <w:tcBorders>
                    <w:tl2br w:val="nil"/>
                    <w:tr2bl w:val="nil"/>
                  </w:tcBorders>
                  <w:vAlign w:val="center"/>
                </w:tcPr>
                <w:p w14:paraId="53FE48B3">
                  <w:pPr>
                    <w:pStyle w:val="84"/>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sz w:val="21"/>
                      <w:szCs w:val="21"/>
                      <w:lang w:val="en-US" w:eastAsia="zh-CN"/>
                    </w:rPr>
                    <w:t>VOCs（以非甲烷总烃计）</w:t>
                  </w:r>
                </w:p>
              </w:tc>
              <w:tc>
                <w:tcPr>
                  <w:tcW w:w="832" w:type="pct"/>
                  <w:tcBorders>
                    <w:tl2br w:val="nil"/>
                    <w:tr2bl w:val="nil"/>
                  </w:tcBorders>
                  <w:shd w:val="clear" w:color="auto" w:fill="auto"/>
                  <w:vAlign w:val="center"/>
                </w:tcPr>
                <w:p w14:paraId="08034652">
                  <w:pPr>
                    <w:pStyle w:val="84"/>
                    <w:spacing w:line="240" w:lineRule="auto"/>
                    <w:jc w:val="center"/>
                    <w:rPr>
                      <w:rFonts w:hint="default" w:ascii="Times New Roman" w:hAnsi="Times New Roman" w:eastAsia="宋体" w:cs="Times New Roman"/>
                      <w:snapToGrid w:val="0"/>
                      <w:color w:val="auto"/>
                      <w:spacing w:val="4"/>
                      <w:sz w:val="21"/>
                      <w:szCs w:val="21"/>
                      <w:lang w:val="en-US" w:eastAsia="zh-CN" w:bidi="ar-SA"/>
                    </w:rPr>
                  </w:pPr>
                  <w:r>
                    <w:rPr>
                      <w:rFonts w:hint="eastAsia" w:ascii="Times New Roman" w:hAnsi="Times New Roman" w:cs="Times New Roman"/>
                      <w:snapToGrid w:val="0"/>
                      <w:color w:val="auto"/>
                      <w:spacing w:val="4"/>
                      <w:sz w:val="21"/>
                      <w:szCs w:val="21"/>
                      <w:lang w:val="en-US" w:eastAsia="zh-CN" w:bidi="ar-SA"/>
                    </w:rPr>
                    <w:t>70.6286</w:t>
                  </w:r>
                </w:p>
              </w:tc>
              <w:tc>
                <w:tcPr>
                  <w:tcW w:w="774" w:type="pct"/>
                  <w:tcBorders>
                    <w:tl2br w:val="nil"/>
                    <w:tr2bl w:val="nil"/>
                  </w:tcBorders>
                  <w:shd w:val="clear" w:color="auto" w:fill="auto"/>
                  <w:vAlign w:val="center"/>
                </w:tcPr>
                <w:p w14:paraId="5DD942A5">
                  <w:pPr>
                    <w:pStyle w:val="84"/>
                    <w:spacing w:line="240" w:lineRule="auto"/>
                    <w:jc w:val="center"/>
                    <w:rPr>
                      <w:rFonts w:hint="default"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lang w:val="en-US" w:eastAsia="zh-CN" w:bidi="ar-SA"/>
                      <w14:textFill>
                        <w14:solidFill>
                          <w14:schemeClr w14:val="tx1"/>
                        </w14:solidFill>
                      </w14:textFill>
                    </w:rPr>
                    <w:t>1.236</w:t>
                  </w:r>
                </w:p>
              </w:tc>
              <w:tc>
                <w:tcPr>
                  <w:tcW w:w="643" w:type="pct"/>
                  <w:tcBorders>
                    <w:tl2br w:val="nil"/>
                    <w:tr2bl w:val="nil"/>
                  </w:tcBorders>
                  <w:shd w:val="clear" w:color="auto" w:fill="auto"/>
                  <w:vAlign w:val="center"/>
                </w:tcPr>
                <w:p w14:paraId="6B5B08AD">
                  <w:pPr>
                    <w:pStyle w:val="84"/>
                    <w:spacing w:line="240" w:lineRule="auto"/>
                    <w:jc w:val="center"/>
                    <w:rPr>
                      <w:rFonts w:hint="default"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lang w:val="en-US" w:eastAsia="zh-CN" w:bidi="ar-SA"/>
                      <w14:textFill>
                        <w14:solidFill>
                          <w14:schemeClr w14:val="tx1"/>
                        </w14:solidFill>
                      </w14:textFill>
                    </w:rPr>
                    <w:t>7.416</w:t>
                  </w:r>
                </w:p>
              </w:tc>
              <w:tc>
                <w:tcPr>
                  <w:tcW w:w="661" w:type="pct"/>
                  <w:tcBorders>
                    <w:tl2br w:val="nil"/>
                    <w:tr2bl w:val="nil"/>
                  </w:tcBorders>
                  <w:vAlign w:val="center"/>
                </w:tcPr>
                <w:p w14:paraId="0CD32264">
                  <w:pPr>
                    <w:pStyle w:val="84"/>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大气环境</w:t>
                  </w:r>
                </w:p>
              </w:tc>
            </w:tr>
          </w:tbl>
          <w:p w14:paraId="6C947002">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）非正常排放防治措施</w:t>
            </w:r>
          </w:p>
          <w:p w14:paraId="0038137F">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针对以上非正常排放情形，本评价建议建设单位在生产运营期间采取以下控制措施以避免或减少废气非正常排放。</w:t>
            </w:r>
          </w:p>
          <w:p w14:paraId="1F309799">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①规范车间生产操作，避免因员工操作不当导致工艺设备、环保设施故障引发废气事故排放。</w:t>
            </w:r>
          </w:p>
          <w:p w14:paraId="4B771378">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②定期对生产设施及废气处理设施进行检查维护，杜绝非正常工况发生，避免非正常排放出现后才采取维护措施。</w:t>
            </w:r>
          </w:p>
          <w:p w14:paraId="1E8551F1">
            <w:pPr>
              <w:pStyle w:val="4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1658E003">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ascii="Times New Roman" w:hAnsi="Times New Roman" w:eastAsia="宋体" w:cs="Times New Roman"/>
                <w:b/>
                <w:color w:val="262626"/>
                <w:kern w:val="0"/>
                <w:sz w:val="24"/>
                <w:lang w:val="en-US" w:eastAsia="zh-CN"/>
              </w:rPr>
            </w:pPr>
            <w:r>
              <w:rPr>
                <w:rFonts w:hint="eastAsia"/>
                <w:b/>
                <w:color w:val="262626"/>
                <w:kern w:val="0"/>
                <w:sz w:val="24"/>
                <w:lang w:val="en-US" w:eastAsia="zh-CN"/>
              </w:rPr>
              <w:t>4.1.5</w:t>
            </w:r>
            <w:r>
              <w:rPr>
                <w:rFonts w:hint="eastAsia" w:ascii="Times New Roman" w:hAnsi="Times New Roman" w:eastAsia="宋体" w:cs="Times New Roman"/>
                <w:b/>
                <w:color w:val="262626"/>
                <w:kern w:val="0"/>
                <w:sz w:val="24"/>
                <w:lang w:val="en-US" w:eastAsia="zh-CN"/>
              </w:rPr>
              <w:t>环境防护距离分析</w:t>
            </w:r>
          </w:p>
          <w:p w14:paraId="09F3FF05">
            <w:pPr>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根据《建设项目环境影响报告表编制技术指南</w:t>
            </w:r>
            <w:r>
              <w:rPr>
                <w:rFonts w:hint="eastAsia" w:cs="Times New Roman"/>
                <w:bCs/>
                <w:sz w:val="24"/>
                <w:lang w:eastAsia="zh-CN"/>
              </w:rPr>
              <w:t>（</w:t>
            </w:r>
            <w:r>
              <w:rPr>
                <w:rFonts w:hint="eastAsia" w:ascii="Times New Roman" w:hAnsi="Times New Roman" w:eastAsia="宋体" w:cs="Times New Roman"/>
                <w:bCs/>
                <w:sz w:val="24"/>
              </w:rPr>
              <w:t>污染影响类</w:t>
            </w:r>
            <w:r>
              <w:rPr>
                <w:rFonts w:hint="eastAsia" w:cs="Times New Roman"/>
                <w:bCs/>
                <w:sz w:val="24"/>
                <w:lang w:eastAsia="zh-CN"/>
              </w:rPr>
              <w:t>）（</w:t>
            </w:r>
            <w:r>
              <w:rPr>
                <w:rFonts w:hint="eastAsia" w:ascii="Times New Roman" w:hAnsi="Times New Roman" w:eastAsia="宋体" w:cs="Times New Roman"/>
                <w:bCs/>
                <w:sz w:val="24"/>
              </w:rPr>
              <w:t>试行</w:t>
            </w:r>
            <w:r>
              <w:rPr>
                <w:rFonts w:hint="eastAsia" w:cs="Times New Roman"/>
                <w:bCs/>
                <w:sz w:val="24"/>
                <w:lang w:eastAsia="zh-CN"/>
              </w:rPr>
              <w:t>）</w:t>
            </w:r>
            <w:r>
              <w:rPr>
                <w:rFonts w:hint="eastAsia" w:ascii="Times New Roman" w:hAnsi="Times New Roman" w:eastAsia="宋体" w:cs="Times New Roman"/>
                <w:bCs/>
                <w:sz w:val="24"/>
              </w:rPr>
              <w:t>》</w:t>
            </w:r>
            <w:r>
              <w:rPr>
                <w:rFonts w:hint="eastAsia" w:cs="Times New Roman"/>
                <w:bCs/>
                <w:sz w:val="24"/>
                <w:lang w:eastAsia="zh-CN"/>
              </w:rPr>
              <w:t>（</w:t>
            </w:r>
            <w:r>
              <w:rPr>
                <w:rFonts w:ascii="Times New Roman" w:hAnsi="Times New Roman" w:eastAsia="宋体" w:cs="Times New Roman"/>
                <w:bCs/>
                <w:sz w:val="24"/>
                <w:lang w:val="zh-CN"/>
              </w:rPr>
              <w:t>环办环评〔2020〕33号</w:t>
            </w:r>
            <w:r>
              <w:rPr>
                <w:rFonts w:hint="eastAsia" w:cs="Times New Roman"/>
                <w:bCs/>
                <w:sz w:val="24"/>
                <w:lang w:val="zh-CN"/>
              </w:rPr>
              <w:t>）</w:t>
            </w:r>
            <w:r>
              <w:rPr>
                <w:rFonts w:hint="eastAsia" w:ascii="Times New Roman" w:hAnsi="Times New Roman" w:eastAsia="宋体" w:cs="Times New Roman"/>
                <w:bCs/>
                <w:sz w:val="24"/>
              </w:rPr>
              <w:t>要求可知，目前不对项目</w:t>
            </w:r>
            <w:r>
              <w:rPr>
                <w:rFonts w:ascii="Times New Roman" w:hAnsi="Times New Roman" w:eastAsia="宋体" w:cs="Times New Roman"/>
                <w:bCs/>
                <w:sz w:val="24"/>
              </w:rPr>
              <w:t>大气环境防护距离及卫生防护</w:t>
            </w:r>
            <w:r>
              <w:rPr>
                <w:rFonts w:hint="eastAsia" w:ascii="Times New Roman" w:hAnsi="Times New Roman" w:eastAsia="宋体" w:cs="Times New Roman"/>
                <w:bCs/>
                <w:sz w:val="24"/>
              </w:rPr>
              <w:t>距离进行要求。</w:t>
            </w:r>
            <w:r>
              <w:rPr>
                <w:rFonts w:ascii="Times New Roman" w:hAnsi="Times New Roman" w:eastAsia="宋体" w:cs="Times New Roman"/>
                <w:b/>
                <w:bCs/>
                <w:sz w:val="24"/>
                <w:szCs w:val="22"/>
              </w:rPr>
              <w:t>根据环境影响评价网</w:t>
            </w:r>
            <w:r>
              <w:rPr>
                <w:rFonts w:hint="eastAsia" w:cs="Times New Roman"/>
                <w:b/>
                <w:bCs/>
                <w:sz w:val="24"/>
                <w:szCs w:val="22"/>
                <w:lang w:eastAsia="zh-CN"/>
              </w:rPr>
              <w:t>（</w:t>
            </w:r>
            <w:r>
              <w:rPr>
                <w:rFonts w:ascii="Times New Roman" w:hAnsi="Times New Roman" w:eastAsia="宋体" w:cs="Times New Roman"/>
                <w:b/>
                <w:bCs/>
                <w:sz w:val="24"/>
                <w:szCs w:val="22"/>
                <w:lang w:val="zh-CN"/>
              </w:rPr>
              <w:t>生态环境部环境工程评估中心</w:t>
            </w:r>
            <w:r>
              <w:rPr>
                <w:rFonts w:hint="eastAsia" w:cs="Times New Roman"/>
                <w:b/>
                <w:bCs/>
                <w:sz w:val="24"/>
                <w:szCs w:val="22"/>
                <w:lang w:val="zh-CN"/>
              </w:rPr>
              <w:t>）</w:t>
            </w:r>
            <w:r>
              <w:rPr>
                <w:rFonts w:ascii="Times New Roman" w:hAnsi="Times New Roman" w:eastAsia="宋体" w:cs="Times New Roman"/>
                <w:b/>
                <w:bCs/>
                <w:sz w:val="24"/>
                <w:szCs w:val="22"/>
              </w:rPr>
              <w:t>关于</w:t>
            </w:r>
            <w:r>
              <w:rPr>
                <w:rFonts w:ascii="Times New Roman" w:hAnsi="Times New Roman" w:eastAsia="宋体" w:cs="Times New Roman"/>
                <w:b/>
                <w:bCs/>
                <w:sz w:val="24"/>
                <w:szCs w:val="22"/>
                <w:lang w:val="zh-CN"/>
              </w:rPr>
              <w:t>《建设项目环境影响报告表》内容、格式及编制技术指南常见问题解答：“</w:t>
            </w:r>
            <w:r>
              <w:rPr>
                <w:rFonts w:ascii="Times New Roman" w:hAnsi="Times New Roman" w:eastAsia="宋体" w:cs="Times New Roman"/>
                <w:sz w:val="24"/>
                <w:shd w:val="clear" w:color="auto" w:fill="FFFFFF"/>
              </w:rPr>
              <w:t>《建设项目环境影响评价技术导则 总纲》</w:t>
            </w:r>
            <w:r>
              <w:rPr>
                <w:rFonts w:hint="eastAsia" w:cs="Times New Roman"/>
                <w:sz w:val="24"/>
                <w:shd w:val="clear" w:color="auto" w:fill="FFFFFF"/>
                <w:lang w:eastAsia="zh-CN"/>
              </w:rPr>
              <w:t>（</w:t>
            </w:r>
            <w:r>
              <w:rPr>
                <w:rFonts w:ascii="Times New Roman" w:hAnsi="Times New Roman" w:eastAsia="宋体" w:cs="Times New Roman"/>
                <w:sz w:val="24"/>
                <w:shd w:val="clear" w:color="auto" w:fill="FFFFFF"/>
              </w:rPr>
              <w:t>HJ2.1-2016</w:t>
            </w:r>
            <w:r>
              <w:rPr>
                <w:rFonts w:hint="eastAsia" w:cs="Times New Roman"/>
                <w:sz w:val="24"/>
                <w:shd w:val="clear" w:color="auto" w:fill="FFFFFF"/>
                <w:lang w:eastAsia="zh-CN"/>
              </w:rPr>
              <w:t>）</w:t>
            </w:r>
            <w:r>
              <w:rPr>
                <w:rFonts w:ascii="Times New Roman" w:hAnsi="Times New Roman" w:eastAsia="宋体" w:cs="Times New Roman"/>
                <w:sz w:val="24"/>
                <w:shd w:val="clear" w:color="auto" w:fill="FFFFFF"/>
              </w:rPr>
              <w:t>未对卫生防护距离提出评价要求，建设项目环境影响报告表编制技术指南</w:t>
            </w:r>
            <w:r>
              <w:rPr>
                <w:rFonts w:hint="eastAsia" w:cs="Times New Roman"/>
                <w:sz w:val="24"/>
                <w:shd w:val="clear" w:color="auto" w:fill="FFFFFF"/>
                <w:lang w:eastAsia="zh-CN"/>
              </w:rPr>
              <w:t>（</w:t>
            </w:r>
            <w:r>
              <w:rPr>
                <w:rFonts w:ascii="Times New Roman" w:hAnsi="Times New Roman" w:eastAsia="宋体" w:cs="Times New Roman"/>
                <w:sz w:val="24"/>
                <w:shd w:val="clear" w:color="auto" w:fill="FFFFFF"/>
              </w:rPr>
              <w:t>以下简称技术指南</w:t>
            </w:r>
            <w:r>
              <w:rPr>
                <w:rFonts w:hint="eastAsia" w:cs="Times New Roman"/>
                <w:sz w:val="24"/>
                <w:shd w:val="clear" w:color="auto" w:fill="FFFFFF"/>
                <w:lang w:eastAsia="zh-CN"/>
              </w:rPr>
              <w:t>）</w:t>
            </w:r>
            <w:r>
              <w:rPr>
                <w:rFonts w:ascii="Times New Roman" w:hAnsi="Times New Roman" w:eastAsia="宋体" w:cs="Times New Roman"/>
                <w:sz w:val="24"/>
                <w:shd w:val="clear" w:color="auto" w:fill="FFFFFF"/>
              </w:rPr>
              <w:t>不</w:t>
            </w:r>
            <w:r>
              <w:rPr>
                <w:rFonts w:hint="eastAsia" w:ascii="Times New Roman" w:hAnsi="Times New Roman" w:eastAsia="宋体" w:cs="Times New Roman"/>
                <w:sz w:val="24"/>
                <w:shd w:val="clear" w:color="auto" w:fill="FFFFFF"/>
              </w:rPr>
              <w:t>作要求</w:t>
            </w:r>
            <w:r>
              <w:rPr>
                <w:rFonts w:ascii="Times New Roman" w:hAnsi="Times New Roman" w:eastAsia="宋体" w:cs="Times New Roman"/>
                <w:sz w:val="24"/>
                <w:shd w:val="clear" w:color="auto" w:fill="FFFFFF"/>
              </w:rPr>
              <w:t>。对于判定为需要开展大气专项评价的建设项目，根据《环境影响评价技术导则 大气环境》</w:t>
            </w:r>
            <w:r>
              <w:rPr>
                <w:rFonts w:hint="eastAsia" w:cs="Times New Roman"/>
                <w:sz w:val="24"/>
                <w:shd w:val="clear" w:color="auto" w:fill="FFFFFF"/>
                <w:lang w:eastAsia="zh-CN"/>
              </w:rPr>
              <w:t>（</w:t>
            </w:r>
            <w:r>
              <w:rPr>
                <w:rFonts w:ascii="Times New Roman" w:hAnsi="Times New Roman" w:eastAsia="宋体" w:cs="Times New Roman"/>
                <w:sz w:val="24"/>
                <w:shd w:val="clear" w:color="auto" w:fill="FFFFFF"/>
              </w:rPr>
              <w:t>HJ2.2-2018</w:t>
            </w:r>
            <w:r>
              <w:rPr>
                <w:rFonts w:hint="eastAsia" w:cs="Times New Roman"/>
                <w:sz w:val="24"/>
                <w:shd w:val="clear" w:color="auto" w:fill="FFFFFF"/>
                <w:lang w:eastAsia="zh-CN"/>
              </w:rPr>
              <w:t>）</w:t>
            </w:r>
            <w:r>
              <w:rPr>
                <w:rFonts w:ascii="Times New Roman" w:hAnsi="Times New Roman" w:eastAsia="宋体" w:cs="Times New Roman"/>
                <w:sz w:val="24"/>
                <w:shd w:val="clear" w:color="auto" w:fill="FFFFFF"/>
              </w:rPr>
              <w:t>需要计算大气环境防护距离的，应按要求计算</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。本项目不涉及大气专项评价，因此，</w:t>
            </w:r>
            <w:r>
              <w:rPr>
                <w:rFonts w:ascii="Times New Roman" w:hAnsi="Times New Roman" w:eastAsia="宋体" w:cs="Times New Roman"/>
                <w:bCs/>
                <w:sz w:val="24"/>
              </w:rPr>
              <w:t>在企业落实有效的废气收集、处理措施的前提下，本项目可不设置环境防护距离。</w:t>
            </w:r>
          </w:p>
          <w:p w14:paraId="2B751556">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86" w:name="_Toc7062"/>
            <w:r>
              <w:rPr>
                <w:rFonts w:hint="eastAsia" w:ascii="Times New Roman" w:hAnsi="Times New Roman" w:eastAsia="宋体" w:cs="Times New Roman"/>
                <w:color w:val="auto"/>
                <w:sz w:val="28"/>
                <w:szCs w:val="28"/>
                <w:u w:val="none"/>
                <w:lang w:val="en-US" w:eastAsia="zh-CN"/>
              </w:rPr>
              <w:t>4.2水环境影响分析和污染防治措施</w:t>
            </w:r>
            <w:bookmarkEnd w:id="86"/>
          </w:p>
          <w:p w14:paraId="69ACD4F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87" w:name="_Toc12276"/>
            <w:r>
              <w:rPr>
                <w:rFonts w:hint="eastAsia"/>
                <w:b/>
                <w:color w:val="262626"/>
                <w:kern w:val="0"/>
                <w:sz w:val="24"/>
                <w:lang w:val="en-US" w:eastAsia="zh-CN"/>
              </w:rPr>
              <w:t>4.2.1运营期废水源强分析</w:t>
            </w:r>
            <w:bookmarkEnd w:id="87"/>
          </w:p>
          <w:p w14:paraId="1125D531">
            <w:pPr>
              <w:keepNext w:val="0"/>
              <w:pageBreakBefore w:val="0"/>
              <w:kinsoku/>
              <w:wordWrap/>
              <w:overflowPunct/>
              <w:topLinePunct w:val="0"/>
              <w:bidi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cs="Times New Roman"/>
                <w:bCs/>
                <w:color w:val="auto"/>
                <w:sz w:val="24"/>
                <w:highlight w:val="none"/>
                <w:lang w:val="en-US" w:eastAsia="zh-CN"/>
              </w:rPr>
              <w:t>本项目不产生生产废水，仅产生生活污水</w:t>
            </w:r>
            <w:bookmarkStart w:id="88" w:name="_Toc22817"/>
            <w:bookmarkStart w:id="89" w:name="_Toc28146"/>
            <w:bookmarkStart w:id="90" w:name="_Toc4624"/>
            <w:r>
              <w:rPr>
                <w:rFonts w:hint="eastAsia" w:cs="Times New Roman"/>
                <w:bCs/>
                <w:color w:val="auto"/>
                <w:sz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本项目劳动定员</w:t>
            </w:r>
            <w:r>
              <w:rPr>
                <w:rFonts w:hint="eastAsia"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lang w:val="en-US" w:eastAsia="zh-CN"/>
              </w:rPr>
              <w:t>人，均不住厂，根据《建筑给水排水设计标准》（GB50015-2019），车间工作人员的生活用水额定</w:t>
            </w:r>
            <w:r>
              <w:rPr>
                <w:rFonts w:hint="eastAsia" w:eastAsia="宋体" w:cs="Times New Roman"/>
                <w:b w:val="0"/>
                <w:bCs w:val="0"/>
                <w:color w:val="auto"/>
                <w:sz w:val="24"/>
                <w:szCs w:val="24"/>
                <w:highlight w:val="none"/>
                <w:lang w:val="en-US" w:eastAsia="zh-CN"/>
              </w:rPr>
              <w:t>应</w:t>
            </w:r>
            <w:r>
              <w:rPr>
                <w:rFonts w:hint="default" w:ascii="Times New Roman" w:hAnsi="Times New Roman" w:eastAsia="宋体" w:cs="Times New Roman"/>
                <w:b w:val="0"/>
                <w:bCs w:val="0"/>
                <w:color w:val="auto"/>
                <w:sz w:val="24"/>
                <w:szCs w:val="24"/>
                <w:highlight w:val="none"/>
                <w:lang w:val="en-US" w:eastAsia="zh-CN"/>
              </w:rPr>
              <w:t>根据车间性质确定，一般宜采用30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50L/人·班，本项目不住厂职工生活用水额定按50L/人·班计。项目年工作日按300天计，则本项目职工生活用水量约</w:t>
            </w:r>
            <w:r>
              <w:rPr>
                <w:rFonts w:hint="eastAsia" w:eastAsia="宋体"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t/d（</w:t>
            </w:r>
            <w:r>
              <w:rPr>
                <w:rFonts w:hint="eastAsia" w:eastAsia="宋体" w:cs="Times New Roman"/>
                <w:b w:val="0"/>
                <w:bCs w:val="0"/>
                <w:color w:val="auto"/>
                <w:sz w:val="24"/>
                <w:szCs w:val="24"/>
                <w:highlight w:val="none"/>
                <w:lang w:val="en-US" w:eastAsia="zh-CN"/>
              </w:rPr>
              <w:t>900</w:t>
            </w:r>
            <w:r>
              <w:rPr>
                <w:rFonts w:hint="default" w:ascii="Times New Roman" w:hAnsi="Times New Roman" w:eastAsia="宋体" w:cs="Times New Roman"/>
                <w:b w:val="0"/>
                <w:bCs w:val="0"/>
                <w:color w:val="auto"/>
                <w:sz w:val="24"/>
                <w:szCs w:val="24"/>
                <w:highlight w:val="none"/>
                <w:lang w:val="en-US" w:eastAsia="zh-CN"/>
              </w:rPr>
              <w:t>t/a），根据《排水源统计调查产排污计算方法和核算手册》中《生活源产排污系数手册》，人均日生活用水量≤150升/人·天时，折污系数取0.8，则项目生活污水产生量约</w:t>
            </w:r>
            <w:r>
              <w:rPr>
                <w:rFonts w:hint="eastAsia"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t/d（</w:t>
            </w:r>
            <w:r>
              <w:rPr>
                <w:rFonts w:hint="eastAsia" w:eastAsia="宋体" w:cs="Times New Roman"/>
                <w:b w:val="0"/>
                <w:bCs w:val="0"/>
                <w:color w:val="auto"/>
                <w:sz w:val="24"/>
                <w:szCs w:val="24"/>
                <w:highlight w:val="none"/>
                <w:lang w:val="en-US" w:eastAsia="zh-CN"/>
              </w:rPr>
              <w:t>720</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生活污水依托厂区现有的化粪池处理达标后排入市政污水管网，最终进入</w:t>
            </w:r>
            <w:bookmarkEnd w:id="88"/>
            <w:bookmarkEnd w:id="89"/>
            <w:bookmarkEnd w:id="90"/>
            <w:r>
              <w:rPr>
                <w:rFonts w:hint="eastAsia" w:eastAsia="宋体" w:cs="Times New Roman"/>
                <w:color w:val="auto"/>
                <w:sz w:val="24"/>
                <w:szCs w:val="24"/>
                <w:lang w:val="en-US" w:eastAsia="zh-CN"/>
              </w:rPr>
              <w:t>福清市融元污水处理厂集</w:t>
            </w:r>
            <w:r>
              <w:rPr>
                <w:rFonts w:hint="eastAsia" w:ascii="Times New Roman" w:hAnsi="Times New Roman" w:eastAsia="宋体" w:cs="Times New Roman"/>
                <w:b w:val="0"/>
                <w:bCs w:val="0"/>
                <w:color w:val="auto"/>
                <w:sz w:val="24"/>
                <w:szCs w:val="24"/>
                <w:highlight w:val="none"/>
                <w:lang w:val="en-US" w:eastAsia="zh-CN"/>
              </w:rPr>
              <w:t>中进行处理，污水处理厂</w:t>
            </w:r>
            <w:r>
              <w:rPr>
                <w:rFonts w:hint="default" w:ascii="Times New Roman" w:hAnsi="Times New Roman" w:eastAsia="宋体" w:cs="Times New Roman"/>
                <w:b w:val="0"/>
                <w:bCs w:val="0"/>
                <w:color w:val="auto"/>
                <w:sz w:val="24"/>
                <w:szCs w:val="24"/>
                <w:highlight w:val="none"/>
                <w:lang w:val="en-US" w:eastAsia="zh-CN"/>
              </w:rPr>
              <w:t>尾水排入龙江，所处龙江</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南门桥水闸至龙江入海口</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断面。</w:t>
            </w:r>
          </w:p>
          <w:p w14:paraId="0091FC92">
            <w:pPr>
              <w:pStyle w:val="56"/>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91" w:name="_Toc14324"/>
            <w:bookmarkStart w:id="92" w:name="_Toc22915"/>
            <w:bookmarkStart w:id="93" w:name="_Toc6977"/>
            <w:r>
              <w:rPr>
                <w:rFonts w:hint="default" w:ascii="Times New Roman" w:hAnsi="Times New Roman" w:eastAsia="宋体" w:cs="Times New Roman"/>
                <w:b w:val="0"/>
                <w:bCs w:val="0"/>
                <w:color w:val="auto"/>
                <w:sz w:val="24"/>
                <w:szCs w:val="24"/>
                <w:highlight w:val="none"/>
                <w:lang w:val="en-US" w:eastAsia="zh-CN"/>
              </w:rPr>
              <w:t>参考</w:t>
            </w:r>
            <w:r>
              <w:rPr>
                <w:rFonts w:hint="eastAsia" w:ascii="Times New Roman" w:hAnsi="Times New Roman" w:eastAsia="宋体" w:cs="Times New Roman"/>
                <w:b w:val="0"/>
                <w:bCs w:val="0"/>
                <w:color w:val="auto"/>
                <w:sz w:val="24"/>
                <w:szCs w:val="24"/>
                <w:highlight w:val="none"/>
                <w:lang w:val="en-US" w:eastAsia="zh-CN"/>
              </w:rPr>
              <w:t>《给排水设计手册》第五册《城镇排水》表</w:t>
            </w:r>
            <w:r>
              <w:rPr>
                <w:rFonts w:hint="default" w:ascii="Times New Roman" w:hAnsi="Times New Roman" w:eastAsia="宋体" w:cs="Times New Roman"/>
                <w:b w:val="0"/>
                <w:bCs w:val="0"/>
                <w:color w:val="auto"/>
                <w:sz w:val="24"/>
                <w:szCs w:val="24"/>
                <w:highlight w:val="none"/>
                <w:lang w:val="en-US" w:eastAsia="zh-CN"/>
              </w:rPr>
              <w:t>4-1</w:t>
            </w:r>
            <w:r>
              <w:rPr>
                <w:rFonts w:hint="eastAsia" w:ascii="Times New Roman" w:hAnsi="Times New Roman" w:eastAsia="宋体" w:cs="Times New Roman"/>
                <w:b w:val="0"/>
                <w:bCs w:val="0"/>
                <w:color w:val="auto"/>
                <w:sz w:val="24"/>
                <w:szCs w:val="24"/>
                <w:highlight w:val="none"/>
                <w:lang w:val="en-US" w:eastAsia="zh-CN"/>
              </w:rPr>
              <w:t>典型生活污水水质示例的低浓度；因此，不住厂职工产生的生活污水中各主要污染物浓度按</w:t>
            </w:r>
            <w:r>
              <w:rPr>
                <w:rFonts w:hint="default" w:ascii="Times New Roman" w:hAnsi="Times New Roman" w:eastAsia="宋体" w:cs="Times New Roman"/>
                <w:b w:val="0"/>
                <w:bCs w:val="0"/>
                <w:color w:val="auto"/>
                <w:sz w:val="24"/>
                <w:szCs w:val="24"/>
                <w:highlight w:val="none"/>
                <w:lang w:val="en-US" w:eastAsia="zh-CN"/>
              </w:rPr>
              <w:t>CODcr：</w:t>
            </w:r>
            <w:r>
              <w:rPr>
                <w:rFonts w:hint="eastAsia" w:ascii="Times New Roman" w:hAnsi="Times New Roman" w:eastAsia="宋体" w:cs="Times New Roman"/>
                <w:b w:val="0"/>
                <w:bCs w:val="0"/>
                <w:color w:val="auto"/>
                <w:sz w:val="24"/>
                <w:szCs w:val="24"/>
                <w:highlight w:val="none"/>
                <w:lang w:val="en-US" w:eastAsia="zh-CN"/>
              </w:rPr>
              <w:t>250</w:t>
            </w:r>
            <w:r>
              <w:rPr>
                <w:rFonts w:hint="default" w:ascii="Times New Roman" w:hAnsi="Times New Roman" w:eastAsia="宋体" w:cs="Times New Roman"/>
                <w:b w:val="0"/>
                <w:bCs w:val="0"/>
                <w:color w:val="auto"/>
                <w:sz w:val="24"/>
                <w:szCs w:val="24"/>
                <w:highlight w:val="none"/>
                <w:lang w:val="en-US" w:eastAsia="zh-CN"/>
              </w:rPr>
              <w:t>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eastAsia" w:eastAsia="宋体" w:cs="Times New Roman"/>
                <w:b w:val="0"/>
                <w:bCs w:val="0"/>
                <w:color w:val="auto"/>
                <w:sz w:val="24"/>
                <w:szCs w:val="24"/>
                <w:highlight w:val="none"/>
                <w:vertAlign w:val="subscript"/>
                <w:lang w:val="en-US" w:eastAsia="zh-CN"/>
              </w:rPr>
              <w:t>:</w:t>
            </w:r>
            <w:r>
              <w:rPr>
                <w:rFonts w:hint="eastAsia" w:ascii="Times New Roman" w:hAnsi="Times New Roman" w:eastAsia="宋体" w:cs="Times New Roman"/>
                <w:b w:val="0"/>
                <w:bCs w:val="0"/>
                <w:color w:val="auto"/>
                <w:sz w:val="24"/>
                <w:szCs w:val="24"/>
                <w:highlight w:val="none"/>
                <w:lang w:val="en-US" w:eastAsia="zh-CN"/>
              </w:rPr>
              <w:t>110</w:t>
            </w:r>
            <w:r>
              <w:rPr>
                <w:rFonts w:hint="default" w:ascii="Times New Roman" w:hAnsi="Times New Roman" w:eastAsia="宋体" w:cs="Times New Roman"/>
                <w:b w:val="0"/>
                <w:bCs w:val="0"/>
                <w:color w:val="auto"/>
                <w:sz w:val="24"/>
                <w:szCs w:val="24"/>
                <w:highlight w:val="none"/>
                <w:lang w:val="en-US" w:eastAsia="zh-CN"/>
              </w:rPr>
              <w:t>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w:t>
            </w:r>
            <w:r>
              <w:rPr>
                <w:rFonts w:hint="eastAsia"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mg/L、SS：</w:t>
            </w:r>
            <w:r>
              <w:rPr>
                <w:rFonts w:hint="eastAsia" w:ascii="Times New Roman" w:hAnsi="Times New Roman" w:eastAsia="宋体" w:cs="Times New Roman"/>
                <w:b w:val="0"/>
                <w:bCs w:val="0"/>
                <w:color w:val="auto"/>
                <w:sz w:val="24"/>
                <w:szCs w:val="24"/>
                <w:highlight w:val="none"/>
                <w:lang w:val="en-US" w:eastAsia="zh-CN"/>
              </w:rPr>
              <w:t>100</w:t>
            </w:r>
            <w:r>
              <w:rPr>
                <w:rFonts w:hint="default" w:ascii="Times New Roman" w:hAnsi="Times New Roman" w:eastAsia="宋体" w:cs="Times New Roman"/>
                <w:b w:val="0"/>
                <w:bCs w:val="0"/>
                <w:color w:val="auto"/>
                <w:sz w:val="24"/>
                <w:szCs w:val="24"/>
                <w:highlight w:val="none"/>
                <w:lang w:val="en-US" w:eastAsia="zh-CN"/>
              </w:rPr>
              <w:t>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-N的处理效率分别为20%、15%、30%、0%，则生活污水中各污染物产排情况详见表4.</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w:t>
            </w:r>
            <w:bookmarkEnd w:id="91"/>
            <w:bookmarkEnd w:id="92"/>
            <w:bookmarkEnd w:id="93"/>
          </w:p>
          <w:p w14:paraId="6F722C2B">
            <w:pPr>
              <w:pStyle w:val="54"/>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lang w:val="en-US" w:eastAsia="zh-CN"/>
              </w:rPr>
              <w:t>污染物产生及排放情况一览表</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3832"/>
              <w:gridCol w:w="993"/>
              <w:gridCol w:w="903"/>
              <w:gridCol w:w="1019"/>
              <w:gridCol w:w="868"/>
            </w:tblGrid>
            <w:tr w14:paraId="39A7C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73" w:type="pct"/>
                  <w:tcBorders>
                    <w:tl2br w:val="nil"/>
                    <w:tr2bl w:val="nil"/>
                  </w:tcBorders>
                  <w:noWrap w:val="0"/>
                  <w:vAlign w:val="center"/>
                </w:tcPr>
                <w:p w14:paraId="75B301B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176" w:type="pct"/>
                  <w:tcBorders>
                    <w:tl2br w:val="nil"/>
                    <w:tr2bl w:val="nil"/>
                  </w:tcBorders>
                  <w:noWrap w:val="0"/>
                  <w:vAlign w:val="center"/>
                </w:tcPr>
                <w:p w14:paraId="58A75582">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1898B15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12F9183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9" w:type="pct"/>
                  <w:tcBorders>
                    <w:tl2br w:val="nil"/>
                    <w:tr2bl w:val="nil"/>
                  </w:tcBorders>
                  <w:noWrap w:val="0"/>
                  <w:vAlign w:val="center"/>
                </w:tcPr>
                <w:p w14:paraId="62FD287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2" w:type="pct"/>
                  <w:tcBorders>
                    <w:tl2br w:val="nil"/>
                    <w:tr2bl w:val="nil"/>
                  </w:tcBorders>
                  <w:noWrap w:val="0"/>
                  <w:vAlign w:val="center"/>
                </w:tcPr>
                <w:p w14:paraId="089C033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08AAD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3" w:type="pct"/>
                  <w:vMerge w:val="restart"/>
                  <w:tcBorders>
                    <w:tl2br w:val="nil"/>
                    <w:tr2bl w:val="nil"/>
                  </w:tcBorders>
                  <w:noWrap w:val="0"/>
                  <w:vAlign w:val="center"/>
                </w:tcPr>
                <w:p w14:paraId="2BE04E0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900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41FDBF7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3D08014D">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1DDA30D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9" w:type="pct"/>
                  <w:tcBorders>
                    <w:tl2br w:val="nil"/>
                    <w:tr2bl w:val="nil"/>
                  </w:tcBorders>
                  <w:noWrap w:val="0"/>
                  <w:vAlign w:val="center"/>
                </w:tcPr>
                <w:p w14:paraId="0E4FA03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2" w:type="pct"/>
                  <w:tcBorders>
                    <w:tl2br w:val="nil"/>
                    <w:tr2bl w:val="nil"/>
                  </w:tcBorders>
                  <w:noWrap w:val="0"/>
                  <w:vAlign w:val="center"/>
                </w:tcPr>
                <w:p w14:paraId="3581850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87C9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73" w:type="pct"/>
                  <w:vMerge w:val="continue"/>
                  <w:tcBorders>
                    <w:tl2br w:val="nil"/>
                    <w:tr2bl w:val="nil"/>
                  </w:tcBorders>
                  <w:noWrap w:val="0"/>
                  <w:vAlign w:val="center"/>
                </w:tcPr>
                <w:p w14:paraId="6B22789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1AAD332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6AB8AB5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0.225</w:t>
                  </w:r>
                </w:p>
              </w:tc>
              <w:tc>
                <w:tcPr>
                  <w:tcW w:w="513" w:type="pct"/>
                  <w:tcBorders>
                    <w:tl2br w:val="nil"/>
                    <w:tr2bl w:val="nil"/>
                  </w:tcBorders>
                  <w:noWrap w:val="0"/>
                  <w:vAlign w:val="center"/>
                </w:tcPr>
                <w:p w14:paraId="3986D10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0.099</w:t>
                  </w:r>
                </w:p>
              </w:tc>
              <w:tc>
                <w:tcPr>
                  <w:tcW w:w="579" w:type="pct"/>
                  <w:tcBorders>
                    <w:tl2br w:val="nil"/>
                    <w:tr2bl w:val="nil"/>
                  </w:tcBorders>
                  <w:noWrap w:val="0"/>
                  <w:vAlign w:val="center"/>
                </w:tcPr>
                <w:p w14:paraId="42E919C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0.09</w:t>
                  </w:r>
                </w:p>
              </w:tc>
              <w:tc>
                <w:tcPr>
                  <w:tcW w:w="492" w:type="pct"/>
                  <w:tcBorders>
                    <w:tl2br w:val="nil"/>
                    <w:tr2bl w:val="nil"/>
                  </w:tcBorders>
                  <w:noWrap w:val="0"/>
                  <w:vAlign w:val="center"/>
                </w:tcPr>
                <w:p w14:paraId="126B0D4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0.022</w:t>
                  </w:r>
                </w:p>
              </w:tc>
            </w:tr>
            <w:tr w14:paraId="07DD6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73" w:type="pct"/>
                  <w:tcBorders>
                    <w:tl2br w:val="nil"/>
                    <w:tr2bl w:val="nil"/>
                  </w:tcBorders>
                  <w:noWrap w:val="0"/>
                  <w:vAlign w:val="center"/>
                </w:tcPr>
                <w:p w14:paraId="3931790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326" w:type="pct"/>
                  <w:gridSpan w:val="5"/>
                  <w:tcBorders>
                    <w:tl2br w:val="nil"/>
                    <w:tr2bl w:val="nil"/>
                  </w:tcBorders>
                  <w:noWrap w:val="0"/>
                  <w:vAlign w:val="center"/>
                </w:tcPr>
                <w:p w14:paraId="07C5791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依托厂区现有的化粪池处理达标后排入市政污水管网，最终进入</w:t>
                  </w: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highlight w:val="none"/>
                      <w:vertAlign w:val="baseline"/>
                      <w:lang w:val="en-US" w:eastAsia="zh-CN"/>
                    </w:rPr>
                    <w:t>进行处理</w:t>
                  </w:r>
                </w:p>
              </w:tc>
            </w:tr>
            <w:tr w14:paraId="4652A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3" w:type="pct"/>
                  <w:vMerge w:val="restart"/>
                  <w:tcBorders>
                    <w:tl2br w:val="nil"/>
                    <w:tr2bl w:val="nil"/>
                  </w:tcBorders>
                  <w:noWrap w:val="0"/>
                  <w:vAlign w:val="center"/>
                </w:tcPr>
                <w:p w14:paraId="20B0FE7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cs="Times New Roman"/>
                      <w:color w:val="auto"/>
                      <w:sz w:val="21"/>
                      <w:szCs w:val="21"/>
                      <w:vertAlign w:val="baseline"/>
                      <w:lang w:val="en-US" w:eastAsia="zh-CN"/>
                    </w:rPr>
                    <w:t>720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096A6E5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427CC39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53B8F87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9" w:type="pct"/>
                  <w:tcBorders>
                    <w:tl2br w:val="nil"/>
                    <w:tr2bl w:val="nil"/>
                  </w:tcBorders>
                  <w:noWrap w:val="0"/>
                  <w:vAlign w:val="center"/>
                </w:tcPr>
                <w:p w14:paraId="68ABE56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2" w:type="pct"/>
                  <w:tcBorders>
                    <w:tl2br w:val="nil"/>
                    <w:tr2bl w:val="nil"/>
                  </w:tcBorders>
                  <w:noWrap w:val="0"/>
                  <w:vAlign w:val="center"/>
                </w:tcPr>
                <w:p w14:paraId="5C4B9472">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1710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73" w:type="pct"/>
                  <w:vMerge w:val="continue"/>
                  <w:tcBorders>
                    <w:tl2br w:val="nil"/>
                    <w:tr2bl w:val="nil"/>
                  </w:tcBorders>
                  <w:noWrap w:val="0"/>
                  <w:vAlign w:val="center"/>
                </w:tcPr>
                <w:p w14:paraId="672589A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4FC43B4B">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15524802">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0DADB2ED">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9" w:type="pct"/>
                  <w:tcBorders>
                    <w:tl2br w:val="nil"/>
                    <w:tr2bl w:val="nil"/>
                  </w:tcBorders>
                  <w:noWrap w:val="0"/>
                  <w:vAlign w:val="center"/>
                </w:tcPr>
                <w:p w14:paraId="6019866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2" w:type="pct"/>
                  <w:tcBorders>
                    <w:tl2br w:val="nil"/>
                    <w:tr2bl w:val="nil"/>
                  </w:tcBorders>
                  <w:noWrap w:val="0"/>
                  <w:vAlign w:val="center"/>
                </w:tcPr>
                <w:p w14:paraId="0B30D1C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7454D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3" w:type="pct"/>
                  <w:vMerge w:val="continue"/>
                  <w:tcBorders>
                    <w:tl2br w:val="nil"/>
                    <w:tr2bl w:val="nil"/>
                  </w:tcBorders>
                  <w:noWrap w:val="0"/>
                  <w:vAlign w:val="center"/>
                </w:tcPr>
                <w:p w14:paraId="0736783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541ECEE2">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430F73C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0.144</w:t>
                  </w:r>
                </w:p>
              </w:tc>
              <w:tc>
                <w:tcPr>
                  <w:tcW w:w="513" w:type="pct"/>
                  <w:tcBorders>
                    <w:tl2br w:val="nil"/>
                    <w:tr2bl w:val="nil"/>
                  </w:tcBorders>
                  <w:noWrap w:val="0"/>
                  <w:vAlign w:val="center"/>
                </w:tcPr>
                <w:p w14:paraId="5DD1800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0.067</w:t>
                  </w:r>
                </w:p>
              </w:tc>
              <w:tc>
                <w:tcPr>
                  <w:tcW w:w="579" w:type="pct"/>
                  <w:tcBorders>
                    <w:tl2br w:val="nil"/>
                    <w:tr2bl w:val="nil"/>
                  </w:tcBorders>
                  <w:noWrap w:val="0"/>
                  <w:vAlign w:val="center"/>
                </w:tcPr>
                <w:p w14:paraId="1AE255B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0.050</w:t>
                  </w:r>
                </w:p>
              </w:tc>
              <w:tc>
                <w:tcPr>
                  <w:tcW w:w="492" w:type="pct"/>
                  <w:tcBorders>
                    <w:tl2br w:val="nil"/>
                    <w:tr2bl w:val="nil"/>
                  </w:tcBorders>
                  <w:noWrap w:val="0"/>
                  <w:vAlign w:val="center"/>
                </w:tcPr>
                <w:p w14:paraId="30BCAA6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0.017</w:t>
                  </w:r>
                </w:p>
              </w:tc>
            </w:tr>
            <w:tr w14:paraId="467B6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50" w:type="pct"/>
                  <w:gridSpan w:val="2"/>
                  <w:tcBorders>
                    <w:tl2br w:val="nil"/>
                    <w:tr2bl w:val="nil"/>
                  </w:tcBorders>
                  <w:noWrap w:val="0"/>
                  <w:vAlign w:val="center"/>
                </w:tcPr>
                <w:p w14:paraId="15A76D1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default" w:ascii="Times New Roman" w:hAnsi="Times New Roman" w:eastAsia="宋体" w:cs="Times New Roman"/>
                      <w:color w:val="auto"/>
                      <w:sz w:val="21"/>
                      <w:szCs w:val="21"/>
                      <w:vertAlign w:val="baseline"/>
                      <w:lang w:val="en-US" w:eastAsia="zh-CN"/>
                    </w:rPr>
                    <w:t>纳污指</w:t>
                  </w:r>
                  <w:r>
                    <w:rPr>
                      <w:rFonts w:hint="eastAsia" w:ascii="Times New Roman" w:hAnsi="Times New Roman" w:eastAsia="宋体" w:cs="Times New Roman"/>
                      <w:color w:val="auto"/>
                      <w:sz w:val="21"/>
                      <w:szCs w:val="21"/>
                      <w:vertAlign w:val="baseline"/>
                      <w:lang w:val="en-US" w:eastAsia="zh-CN"/>
                    </w:rPr>
                    <w:t>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9BE219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400</w:t>
                  </w:r>
                </w:p>
              </w:tc>
              <w:tc>
                <w:tcPr>
                  <w:tcW w:w="513" w:type="pct"/>
                  <w:tcBorders>
                    <w:tl2br w:val="nil"/>
                    <w:tr2bl w:val="nil"/>
                  </w:tcBorders>
                  <w:noWrap w:val="0"/>
                  <w:vAlign w:val="center"/>
                </w:tcPr>
                <w:p w14:paraId="135FF74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220</w:t>
                  </w:r>
                </w:p>
              </w:tc>
              <w:tc>
                <w:tcPr>
                  <w:tcW w:w="579" w:type="pct"/>
                  <w:tcBorders>
                    <w:tl2br w:val="nil"/>
                    <w:tr2bl w:val="nil"/>
                  </w:tcBorders>
                  <w:noWrap w:val="0"/>
                  <w:vAlign w:val="center"/>
                </w:tcPr>
                <w:p w14:paraId="6F23F49D">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≤2</w:t>
                  </w:r>
                  <w:r>
                    <w:rPr>
                      <w:rFonts w:hint="eastAsia" w:ascii="Times New Roman" w:hAnsi="Times New Roman" w:eastAsia="宋体" w:cs="Times New Roman"/>
                      <w:color w:val="auto"/>
                      <w:kern w:val="0"/>
                      <w:sz w:val="20"/>
                      <w:szCs w:val="20"/>
                      <w:lang w:val="en-US" w:eastAsia="zh-CN" w:bidi="ar"/>
                    </w:rPr>
                    <w:t>8</w:t>
                  </w:r>
                  <w:r>
                    <w:rPr>
                      <w:rFonts w:hint="default" w:ascii="Times New Roman" w:hAnsi="Times New Roman" w:eastAsia="宋体" w:cs="Times New Roman"/>
                      <w:color w:val="auto"/>
                      <w:kern w:val="0"/>
                      <w:sz w:val="20"/>
                      <w:szCs w:val="20"/>
                      <w:lang w:val="en-US" w:eastAsia="zh-CN" w:bidi="ar"/>
                    </w:rPr>
                    <w:t>0</w:t>
                  </w:r>
                </w:p>
              </w:tc>
              <w:tc>
                <w:tcPr>
                  <w:tcW w:w="492" w:type="pct"/>
                  <w:tcBorders>
                    <w:tl2br w:val="nil"/>
                    <w:tr2bl w:val="nil"/>
                  </w:tcBorders>
                  <w:noWrap w:val="0"/>
                  <w:vAlign w:val="center"/>
                </w:tcPr>
                <w:p w14:paraId="65D0F96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37</w:t>
                  </w:r>
                </w:p>
              </w:tc>
            </w:tr>
            <w:tr w14:paraId="5A4AE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50" w:type="pct"/>
                  <w:gridSpan w:val="2"/>
                  <w:tcBorders>
                    <w:tl2br w:val="nil"/>
                    <w:tr2bl w:val="nil"/>
                  </w:tcBorders>
                  <w:noWrap w:val="0"/>
                  <w:vAlign w:val="center"/>
                </w:tcPr>
                <w:p w14:paraId="2738A4C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49C9E8B">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1AE10DE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9" w:type="pct"/>
                  <w:tcBorders>
                    <w:tl2br w:val="nil"/>
                    <w:tr2bl w:val="nil"/>
                  </w:tcBorders>
                  <w:noWrap w:val="0"/>
                  <w:vAlign w:val="center"/>
                </w:tcPr>
                <w:p w14:paraId="3CB7E7E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2" w:type="pct"/>
                  <w:tcBorders>
                    <w:tl2br w:val="nil"/>
                    <w:tr2bl w:val="nil"/>
                  </w:tcBorders>
                  <w:noWrap w:val="0"/>
                  <w:vAlign w:val="center"/>
                </w:tcPr>
                <w:p w14:paraId="0C8FF101">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3CCF7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850" w:type="pct"/>
                  <w:gridSpan w:val="2"/>
                  <w:tcBorders>
                    <w:tl2br w:val="nil"/>
                    <w:tr2bl w:val="nil"/>
                  </w:tcBorders>
                  <w:noWrap w:val="0"/>
                  <w:vAlign w:val="center"/>
                </w:tcPr>
                <w:p w14:paraId="7693AC7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AFE4F0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1AD565C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9" w:type="pct"/>
                  <w:tcBorders>
                    <w:tl2br w:val="nil"/>
                    <w:tr2bl w:val="nil"/>
                  </w:tcBorders>
                  <w:noWrap w:val="0"/>
                  <w:vAlign w:val="center"/>
                </w:tcPr>
                <w:p w14:paraId="62C3ACBB">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2" w:type="pct"/>
                  <w:tcBorders>
                    <w:tl2br w:val="nil"/>
                    <w:tr2bl w:val="nil"/>
                  </w:tcBorders>
                  <w:noWrap w:val="0"/>
                  <w:vAlign w:val="center"/>
                </w:tcPr>
                <w:p w14:paraId="04E591D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487AEB3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94" w:name="_Toc16893"/>
            <w:bookmarkStart w:id="95" w:name="_Toc19668"/>
            <w:bookmarkStart w:id="96" w:name="_Toc14541"/>
          </w:p>
          <w:p w14:paraId="54BB081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97" w:name="_Toc6184"/>
            <w:r>
              <w:rPr>
                <w:rFonts w:hint="eastAsia"/>
                <w:b/>
                <w:color w:val="262626"/>
                <w:kern w:val="0"/>
                <w:sz w:val="24"/>
                <w:lang w:val="en-US" w:eastAsia="zh-CN"/>
              </w:rPr>
              <w:t>4.2.2</w:t>
            </w:r>
            <w:r>
              <w:rPr>
                <w:rFonts w:hint="default"/>
                <w:b/>
                <w:color w:val="262626"/>
                <w:kern w:val="0"/>
                <w:sz w:val="24"/>
                <w:lang w:val="en-US" w:eastAsia="zh-CN"/>
              </w:rPr>
              <w:t>运营期水环境影响及污染防治措施可行性分析</w:t>
            </w:r>
            <w:bookmarkEnd w:id="97"/>
          </w:p>
          <w:p w14:paraId="60348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1</w:t>
            </w:r>
            <w:r>
              <w:rPr>
                <w:rFonts w:hint="eastAsia" w:ascii="Times New Roman" w:hAnsi="Times New Roman" w:eastAsia="宋体" w:cs="Times New Roman"/>
                <w:b w:val="0"/>
                <w:bCs w:val="0"/>
                <w:strike w:val="0"/>
                <w:dstrike w:val="0"/>
                <w:color w:val="auto"/>
                <w:sz w:val="24"/>
                <w:szCs w:val="24"/>
                <w:highlight w:val="none"/>
                <w:lang w:val="en-US" w:eastAsia="zh-CN"/>
              </w:rPr>
              <w:t>）化粪池依托处理可行性分析</w:t>
            </w:r>
          </w:p>
          <w:p w14:paraId="229F6617">
            <w:pPr>
              <w:widowControl/>
              <w:spacing w:line="360" w:lineRule="auto"/>
              <w:ind w:firstLine="480" w:firstLineChars="200"/>
              <w:jc w:val="both"/>
              <w:rPr>
                <w:rFonts w:hint="default" w:ascii="Times New Roman" w:hAnsi="Times New Roman" w:eastAsia="宋体" w:cs="Times New Roman"/>
                <w:strike w:val="0"/>
                <w:dstrike w:val="0"/>
                <w:color w:val="auto"/>
                <w:sz w:val="24"/>
              </w:rPr>
            </w:pPr>
            <w:r>
              <w:rPr>
                <w:rFonts w:hint="default" w:ascii="Times New Roman" w:hAnsi="Times New Roman" w:eastAsia="宋体" w:cs="Times New Roman"/>
                <w:b w:val="0"/>
                <w:bCs w:val="0"/>
                <w:strike w:val="0"/>
                <w:dstrike w:val="0"/>
                <w:color w:val="auto"/>
                <w:sz w:val="24"/>
                <w:szCs w:val="24"/>
                <w:highlight w:val="none"/>
                <w:lang w:val="en-US" w:eastAsia="zh-CN"/>
              </w:rPr>
              <w:t>项目运营期外排废水为生活污水，依托厂区内现有化粪池处理后，排入市政污水管网，送往</w:t>
            </w:r>
            <w:r>
              <w:rPr>
                <w:rFonts w:hint="default" w:ascii="Times New Roman" w:hAnsi="Times New Roman" w:eastAsia="宋体" w:cs="Times New Roman"/>
                <w:strike w:val="0"/>
                <w:dstrike w:val="0"/>
                <w:color w:val="auto"/>
                <w:sz w:val="24"/>
                <w:szCs w:val="24"/>
                <w:lang w:val="en-US" w:eastAsia="zh-CN"/>
              </w:rPr>
              <w:t>福清市融元污水处理厂集</w:t>
            </w:r>
            <w:r>
              <w:rPr>
                <w:rFonts w:hint="default" w:ascii="Times New Roman" w:hAnsi="Times New Roman" w:eastAsia="宋体" w:cs="Times New Roman"/>
                <w:b w:val="0"/>
                <w:bCs w:val="0"/>
                <w:strike w:val="0"/>
                <w:dstrike w:val="0"/>
                <w:color w:val="auto"/>
                <w:sz w:val="24"/>
                <w:szCs w:val="24"/>
                <w:highlight w:val="none"/>
                <w:lang w:val="en-US" w:eastAsia="zh-CN"/>
              </w:rPr>
              <w:t>中进行处理，污水处理厂尾水排入龙江，所处龙江“南门桥水闸至龙江入海口”断面。生活污水依托厂区（均和云谷·福清科技港园区）现有的化粪池（50m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）处理后进入市政管网。据建设单位提供资料，</w:t>
            </w:r>
            <w:r>
              <w:rPr>
                <w:rFonts w:hint="default" w:ascii="Times New Roman" w:hAnsi="Times New Roman" w:eastAsia="宋体" w:cs="Times New Roman"/>
                <w:strike w:val="0"/>
                <w:dstrike w:val="0"/>
                <w:color w:val="auto"/>
                <w:sz w:val="24"/>
                <w:lang w:val="en-GB"/>
              </w:rPr>
              <w:t>项目所在的</w:t>
            </w:r>
            <w:r>
              <w:rPr>
                <w:rFonts w:hint="default" w:ascii="Times New Roman" w:hAnsi="Times New Roman" w:eastAsia="宋体" w:cs="Times New Roman"/>
                <w:strike w:val="0"/>
                <w:dstrike w:val="0"/>
                <w:color w:val="auto"/>
                <w:sz w:val="24"/>
              </w:rPr>
              <w:t>均和云谷</w:t>
            </w:r>
            <w:r>
              <w:rPr>
                <w:rFonts w:hint="eastAsia" w:ascii="宋体" w:hAnsi="宋体" w:eastAsia="宋体" w:cs="宋体"/>
                <w:strike w:val="0"/>
                <w:dstrike w:val="0"/>
                <w:color w:val="auto"/>
                <w:sz w:val="24"/>
              </w:rPr>
              <w:t>·</w:t>
            </w:r>
            <w:r>
              <w:rPr>
                <w:rFonts w:hint="default" w:ascii="Times New Roman" w:hAnsi="Times New Roman" w:eastAsia="宋体" w:cs="Times New Roman"/>
                <w:strike w:val="0"/>
                <w:dstrike w:val="0"/>
                <w:color w:val="auto"/>
                <w:sz w:val="24"/>
              </w:rPr>
              <w:t>福清科技港园区</w:t>
            </w:r>
            <w:r>
              <w:rPr>
                <w:rFonts w:hint="default" w:ascii="Times New Roman" w:hAnsi="Times New Roman" w:eastAsia="宋体" w:cs="Times New Roman"/>
                <w:strike w:val="0"/>
                <w:dstrike w:val="0"/>
                <w:color w:val="auto"/>
                <w:sz w:val="24"/>
                <w:lang w:val="en-US" w:eastAsia="zh-CN"/>
              </w:rPr>
              <w:t>西</w:t>
            </w:r>
            <w:r>
              <w:rPr>
                <w:rFonts w:hint="default" w:ascii="Times New Roman" w:hAnsi="Times New Roman" w:eastAsia="宋体" w:cs="Times New Roman"/>
                <w:strike w:val="0"/>
                <w:dstrike w:val="0"/>
                <w:color w:val="auto"/>
                <w:sz w:val="24"/>
              </w:rPr>
              <w:t>北侧</w:t>
            </w:r>
            <w:r>
              <w:rPr>
                <w:rFonts w:hint="default" w:ascii="Times New Roman" w:hAnsi="Times New Roman" w:eastAsia="宋体" w:cs="Times New Roman"/>
                <w:strike w:val="0"/>
                <w:dstrike w:val="0"/>
                <w:color w:val="auto"/>
                <w:sz w:val="24"/>
                <w:lang w:val="en-GB"/>
              </w:rPr>
              <w:t>设有一个有效容积约为50m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化粪池供</w:t>
            </w:r>
            <w:r>
              <w:rPr>
                <w:rFonts w:hint="default" w:ascii="Times New Roman" w:hAnsi="Times New Roman" w:eastAsia="宋体" w:cs="Times New Roman"/>
                <w:strike w:val="0"/>
                <w:dstrike w:val="0"/>
                <w:color w:val="auto"/>
                <w:sz w:val="24"/>
              </w:rPr>
              <w:t>整个厂区</w:t>
            </w:r>
            <w:r>
              <w:rPr>
                <w:rFonts w:hint="default" w:ascii="Times New Roman" w:hAnsi="Times New Roman" w:eastAsia="宋体" w:cs="Times New Roman"/>
                <w:strike w:val="0"/>
                <w:dstrike w:val="0"/>
                <w:color w:val="auto"/>
                <w:sz w:val="24"/>
                <w:lang w:val="en-GB"/>
              </w:rPr>
              <w:t>生活污水</w:t>
            </w:r>
            <w:r>
              <w:rPr>
                <w:rFonts w:hint="default" w:ascii="Times New Roman" w:hAnsi="Times New Roman" w:eastAsia="宋体" w:cs="Times New Roman"/>
                <w:strike w:val="0"/>
                <w:dstrike w:val="0"/>
                <w:color w:val="auto"/>
                <w:sz w:val="24"/>
                <w:lang w:val="en-US" w:eastAsia="zh-CN"/>
              </w:rPr>
              <w:t>处理</w:t>
            </w:r>
            <w:r>
              <w:rPr>
                <w:rFonts w:hint="default" w:ascii="Times New Roman" w:hAnsi="Times New Roman" w:eastAsia="宋体" w:cs="Times New Roman"/>
                <w:strike w:val="0"/>
                <w:dstrike w:val="0"/>
                <w:color w:val="auto"/>
                <w:sz w:val="24"/>
                <w:lang w:val="en-GB"/>
              </w:rPr>
              <w:t>使用</w:t>
            </w:r>
            <w:r>
              <w:rPr>
                <w:rFonts w:hint="default" w:ascii="Times New Roman" w:hAnsi="Times New Roman" w:eastAsia="宋体" w:cs="Times New Roman"/>
                <w:strike w:val="0"/>
                <w:dstrike w:val="0"/>
                <w:color w:val="auto"/>
                <w:sz w:val="24"/>
                <w:lang w:val="en-GB" w:eastAsia="zh-CN"/>
              </w:rPr>
              <w:t>，</w:t>
            </w:r>
            <w:r>
              <w:rPr>
                <w:rFonts w:hint="default" w:ascii="Times New Roman" w:hAnsi="Times New Roman" w:eastAsia="宋体" w:cs="Times New Roman"/>
                <w:strike w:val="0"/>
                <w:dstrike w:val="0"/>
                <w:color w:val="auto"/>
                <w:sz w:val="24"/>
                <w:lang w:val="en-US" w:eastAsia="zh-CN"/>
              </w:rPr>
              <w:t>化粪池管理、维护均由均和物业管理服务（福州）有限公司全权负责</w:t>
            </w:r>
            <w:r>
              <w:rPr>
                <w:rFonts w:hint="default" w:ascii="Times New Roman" w:hAnsi="Times New Roman" w:eastAsia="宋体" w:cs="Times New Roman"/>
                <w:strike w:val="0"/>
                <w:dstrike w:val="0"/>
                <w:color w:val="auto"/>
                <w:sz w:val="24"/>
                <w:lang w:val="en-GB"/>
              </w:rPr>
              <w:t>。根据均和产业发展（福清）有限公司提</w:t>
            </w:r>
            <w:r>
              <w:rPr>
                <w:rFonts w:hint="eastAsia" w:cs="Times New Roman"/>
                <w:strike w:val="0"/>
                <w:dstrike w:val="0"/>
                <w:color w:val="auto"/>
                <w:sz w:val="24"/>
                <w:lang w:val="en-GB" w:eastAsia="zh-CN"/>
              </w:rPr>
              <w:t>供的</w:t>
            </w:r>
            <w:r>
              <w:rPr>
                <w:rFonts w:hint="default" w:ascii="Times New Roman" w:hAnsi="Times New Roman" w:eastAsia="宋体" w:cs="Times New Roman"/>
                <w:strike w:val="0"/>
                <w:dstrike w:val="0"/>
                <w:color w:val="auto"/>
                <w:sz w:val="24"/>
                <w:shd w:val="clear"/>
                <w:lang w:val="en-GB"/>
              </w:rPr>
              <w:t>证明材料</w:t>
            </w:r>
            <w:r>
              <w:rPr>
                <w:rFonts w:hint="eastAsia" w:cs="Times New Roman"/>
                <w:strike w:val="0"/>
                <w:dstrike w:val="0"/>
                <w:color w:val="auto"/>
                <w:sz w:val="24"/>
                <w:shd w:val="clear"/>
                <w:lang w:val="en-GB" w:eastAsia="zh-CN"/>
              </w:rPr>
              <w:t>（</w:t>
            </w:r>
            <w:r>
              <w:rPr>
                <w:rFonts w:hint="eastAsia" w:cs="Times New Roman"/>
                <w:strike w:val="0"/>
                <w:dstrike w:val="0"/>
                <w:color w:val="auto"/>
                <w:sz w:val="24"/>
                <w:shd w:val="clear"/>
                <w:lang w:val="en-US" w:eastAsia="zh-CN"/>
              </w:rPr>
              <w:t>附件七）</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eastAsia" w:cs="Times New Roman"/>
                <w:strike w:val="0"/>
                <w:dstrike w:val="0"/>
                <w:color w:val="auto"/>
                <w:sz w:val="24"/>
                <w:lang w:val="en-US" w:eastAsia="zh-CN"/>
              </w:rPr>
              <w:t>48.425</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eastAsia" w:cs="Times New Roman"/>
                <w:strike w:val="0"/>
                <w:dstrike w:val="0"/>
                <w:color w:val="auto"/>
                <w:sz w:val="24"/>
                <w:lang w:val="en-US" w:eastAsia="zh-CN"/>
              </w:rPr>
              <w:t>2.4</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rPr>
              <w:t>/d，约占剩余化粪池处理量</w:t>
            </w:r>
            <w:r>
              <w:rPr>
                <w:rFonts w:hint="eastAsia" w:cs="Times New Roman"/>
                <w:strike w:val="0"/>
                <w:dstrike w:val="0"/>
                <w:color w:val="auto"/>
                <w:sz w:val="24"/>
                <w:lang w:val="en-US" w:eastAsia="zh-CN"/>
              </w:rPr>
              <w:t>4.95</w:t>
            </w:r>
            <w:r>
              <w:rPr>
                <w:rFonts w:hint="default" w:ascii="Times New Roman" w:hAnsi="Times New Roman" w:eastAsia="宋体" w:cs="Times New Roman"/>
                <w:strike w:val="0"/>
                <w:dstrike w:val="0"/>
                <w:color w:val="auto"/>
                <w:sz w:val="24"/>
              </w:rPr>
              <w:t>%，因此本项目生活污水依托均和云谷·福清科技港园区已建的化粪池进行处理可行。</w:t>
            </w:r>
            <w:r>
              <w:rPr>
                <w:rFonts w:hint="default" w:ascii="Times New Roman" w:hAnsi="Times New Roman" w:eastAsia="宋体" w:cs="Times New Roman"/>
                <w:strike w:val="0"/>
                <w:dstrike w:val="0"/>
                <w:color w:val="auto"/>
                <w:sz w:val="24"/>
                <w:lang w:val="en-US" w:eastAsia="zh-CN"/>
              </w:rPr>
              <w:t>根据现场勘查，目前厂区市政污水管网已经接入厂区西北侧岁金配套路市政污水管网</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详见</w:t>
            </w:r>
            <w:r>
              <w:rPr>
                <w:rFonts w:hint="default" w:ascii="Times New Roman" w:hAnsi="Times New Roman" w:eastAsia="宋体" w:cs="Times New Roman"/>
                <w:b/>
                <w:bCs/>
                <w:strike w:val="0"/>
                <w:dstrike w:val="0"/>
                <w:color w:val="auto"/>
                <w:sz w:val="24"/>
                <w:highlight w:val="none"/>
                <w:lang w:val="en-US" w:eastAsia="zh-CN"/>
              </w:rPr>
              <w:t>附件</w:t>
            </w:r>
            <w:r>
              <w:rPr>
                <w:rFonts w:hint="eastAsia" w:cs="Times New Roman"/>
                <w:b/>
                <w:bCs/>
                <w:strike w:val="0"/>
                <w:dstrike w:val="0"/>
                <w:color w:val="auto"/>
                <w:sz w:val="24"/>
                <w:highlight w:val="none"/>
                <w:lang w:val="en-US" w:eastAsia="zh-CN"/>
              </w:rPr>
              <w:t>八</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lang w:val="en-US" w:eastAsia="zh-CN"/>
              </w:rPr>
              <w:t>。</w:t>
            </w:r>
          </w:p>
          <w:p w14:paraId="3C3392BA">
            <w:pPr>
              <w:widowControl/>
              <w:spacing w:line="360" w:lineRule="auto"/>
              <w:ind w:firstLine="480" w:firstLineChars="200"/>
              <w:jc w:val="both"/>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2</w:t>
            </w:r>
            <w:r>
              <w:rPr>
                <w:rFonts w:hint="eastAsia" w:ascii="Times New Roman" w:hAnsi="Times New Roman" w:eastAsia="宋体" w:cs="Times New Roman"/>
                <w:b w:val="0"/>
                <w:bCs w:val="0"/>
                <w:strike w:val="0"/>
                <w:dstrike w:val="0"/>
                <w:color w:val="auto"/>
                <w:sz w:val="24"/>
                <w:szCs w:val="24"/>
                <w:highlight w:val="none"/>
                <w:lang w:val="en-US" w:eastAsia="zh-CN"/>
              </w:rPr>
              <w:t>）依托集中污水处理厂的可行性分析</w:t>
            </w:r>
          </w:p>
          <w:p w14:paraId="4BC23A2F">
            <w:pPr>
              <w:widowControl/>
              <w:spacing w:line="360" w:lineRule="auto"/>
              <w:ind w:firstLine="480" w:firstLineChars="200"/>
              <w:jc w:val="both"/>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要求，废水间接排放的建设项目应从处理能力、处理工艺、设计进出水水质等方面，分析依托集中污水处理厂的可行性。</w:t>
            </w:r>
          </w:p>
          <w:p w14:paraId="65FF62D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①福清市融元污水处理厂基本情况</w:t>
            </w:r>
          </w:p>
          <w:p w14:paraId="16B5DA69">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A.设计进出水水质</w:t>
            </w:r>
          </w:p>
          <w:p w14:paraId="0BAC184F">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根据《福清市融元污水处理厂提标及改造工程环境影响报告书</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报批稿</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70198885">
            <w:pPr>
              <w:pStyle w:val="54"/>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 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 xml:space="preserve"> pH除外</w:t>
            </w:r>
            <w:r>
              <w:rPr>
                <w:rFonts w:hint="eastAsia" w:cs="Times New Roman"/>
                <w:color w:val="auto"/>
                <w:sz w:val="24"/>
                <w:szCs w:val="24"/>
                <w:highlight w:val="none"/>
                <w:lang w:val="en-US" w:eastAsia="zh-CN"/>
              </w:rPr>
              <w:t>）</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54"/>
              <w:gridCol w:w="1408"/>
              <w:gridCol w:w="1145"/>
              <w:gridCol w:w="1036"/>
              <w:gridCol w:w="1103"/>
              <w:gridCol w:w="1022"/>
              <w:gridCol w:w="1022"/>
              <w:gridCol w:w="913"/>
            </w:tblGrid>
            <w:tr w14:paraId="47D91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55" w:type="pct"/>
                  <w:noWrap w:val="0"/>
                  <w:vAlign w:val="center"/>
                </w:tcPr>
                <w:p w14:paraId="38D251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799" w:type="pct"/>
                  <w:noWrap w:val="0"/>
                  <w:vAlign w:val="center"/>
                </w:tcPr>
                <w:p w14:paraId="00AE92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650" w:type="pct"/>
                  <w:noWrap w:val="0"/>
                  <w:vAlign w:val="center"/>
                </w:tcPr>
                <w:p w14:paraId="216994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588" w:type="pct"/>
                  <w:noWrap w:val="0"/>
                  <w:vAlign w:val="center"/>
                </w:tcPr>
                <w:p w14:paraId="4447B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BOD5</w:t>
                  </w:r>
                </w:p>
              </w:tc>
              <w:tc>
                <w:tcPr>
                  <w:tcW w:w="626" w:type="pct"/>
                  <w:noWrap w:val="0"/>
                  <w:vAlign w:val="center"/>
                </w:tcPr>
                <w:p w14:paraId="09F8F9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80" w:type="pct"/>
                  <w:noWrap w:val="0"/>
                  <w:vAlign w:val="center"/>
                </w:tcPr>
                <w:p w14:paraId="54353D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NH3-N</w:t>
                  </w:r>
                </w:p>
              </w:tc>
              <w:tc>
                <w:tcPr>
                  <w:tcW w:w="580" w:type="pct"/>
                  <w:noWrap w:val="0"/>
                  <w:vAlign w:val="center"/>
                </w:tcPr>
                <w:p w14:paraId="586DE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518" w:type="pct"/>
                  <w:noWrap w:val="0"/>
                  <w:vAlign w:val="center"/>
                </w:tcPr>
                <w:p w14:paraId="219A96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1BA8D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655" w:type="pct"/>
                  <w:noWrap w:val="0"/>
                  <w:vAlign w:val="center"/>
                </w:tcPr>
                <w:p w14:paraId="5C6A7A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799" w:type="pct"/>
                  <w:noWrap w:val="0"/>
                  <w:vAlign w:val="center"/>
                </w:tcPr>
                <w:p w14:paraId="7CDB73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44F4AD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≤400</w:t>
                  </w:r>
                </w:p>
              </w:tc>
              <w:tc>
                <w:tcPr>
                  <w:tcW w:w="588" w:type="pct"/>
                  <w:noWrap w:val="0"/>
                  <w:vAlign w:val="center"/>
                </w:tcPr>
                <w:p w14:paraId="66C135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≤220</w:t>
                  </w:r>
                </w:p>
              </w:tc>
              <w:tc>
                <w:tcPr>
                  <w:tcW w:w="626" w:type="pct"/>
                  <w:noWrap w:val="0"/>
                  <w:vAlign w:val="center"/>
                </w:tcPr>
                <w:p w14:paraId="01E5F9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≤280</w:t>
                  </w:r>
                </w:p>
              </w:tc>
              <w:tc>
                <w:tcPr>
                  <w:tcW w:w="580" w:type="pct"/>
                  <w:noWrap w:val="0"/>
                  <w:vAlign w:val="center"/>
                </w:tcPr>
                <w:p w14:paraId="306369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≤37</w:t>
                  </w:r>
                </w:p>
              </w:tc>
              <w:tc>
                <w:tcPr>
                  <w:tcW w:w="580" w:type="pct"/>
                  <w:noWrap w:val="0"/>
                  <w:vAlign w:val="center"/>
                </w:tcPr>
                <w:p w14:paraId="5273E9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≤54</w:t>
                  </w:r>
                </w:p>
              </w:tc>
              <w:tc>
                <w:tcPr>
                  <w:tcW w:w="518" w:type="pct"/>
                  <w:noWrap w:val="0"/>
                  <w:vAlign w:val="center"/>
                </w:tcPr>
                <w:p w14:paraId="178567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w:t>
                  </w:r>
                </w:p>
              </w:tc>
            </w:tr>
            <w:tr w14:paraId="1FE4C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655" w:type="pct"/>
                  <w:noWrap w:val="0"/>
                  <w:vAlign w:val="center"/>
                </w:tcPr>
                <w:p w14:paraId="6CC725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799" w:type="pct"/>
                  <w:noWrap w:val="0"/>
                  <w:vAlign w:val="center"/>
                </w:tcPr>
                <w:p w14:paraId="53CCC9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529634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588" w:type="pct"/>
                  <w:noWrap w:val="0"/>
                  <w:vAlign w:val="center"/>
                </w:tcPr>
                <w:p w14:paraId="0B8499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626" w:type="pct"/>
                  <w:noWrap w:val="0"/>
                  <w:vAlign w:val="center"/>
                </w:tcPr>
                <w:p w14:paraId="0FCA64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80" w:type="pct"/>
                  <w:noWrap w:val="0"/>
                  <w:vAlign w:val="center"/>
                </w:tcPr>
                <w:p w14:paraId="3BD391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0" w:type="pct"/>
                  <w:noWrap w:val="0"/>
                  <w:vAlign w:val="center"/>
                </w:tcPr>
                <w:p w14:paraId="594037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518" w:type="pct"/>
                  <w:noWrap w:val="0"/>
                  <w:vAlign w:val="center"/>
                </w:tcPr>
                <w:p w14:paraId="64571F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0DDF6609">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B.</w:t>
            </w:r>
            <w:r>
              <w:rPr>
                <w:rFonts w:hint="default" w:ascii="Times New Roman" w:hAnsi="Times New Roman" w:eastAsia="宋体" w:cs="Times New Roman"/>
                <w:b w:val="0"/>
                <w:bCs w:val="0"/>
                <w:strike w:val="0"/>
                <w:dstrike w:val="0"/>
                <w:color w:val="auto"/>
                <w:sz w:val="24"/>
                <w:szCs w:val="24"/>
                <w:highlight w:val="none"/>
                <w:lang w:val="en-US" w:eastAsia="zh-CN"/>
              </w:rPr>
              <w:t>处理工艺</w:t>
            </w:r>
          </w:p>
          <w:p w14:paraId="039FAD4F">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采用</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2</w:t>
            </w:r>
            <w:r>
              <w:rPr>
                <w:rFonts w:hint="default" w:ascii="Times New Roman" w:hAnsi="Times New Roman" w:eastAsia="宋体" w:cs="Times New Roman"/>
                <w:b w:val="0"/>
                <w:bCs w:val="0"/>
                <w:strike w:val="0"/>
                <w:dstrike w:val="0"/>
                <w:color w:val="auto"/>
                <w:sz w:val="24"/>
                <w:szCs w:val="24"/>
                <w:highlight w:val="none"/>
                <w:lang w:val="en-US" w:eastAsia="zh-CN"/>
              </w:rPr>
              <w:t>/O生化反应工艺</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处理工艺，属于城镇污水处理厂通用工艺，污水处理工艺流程详见图</w:t>
            </w:r>
            <w:r>
              <w:rPr>
                <w:rFonts w:hint="eastAsia" w:ascii="Times New Roman" w:hAnsi="Times New Roman" w:eastAsia="宋体" w:cs="Times New Roman"/>
                <w:b w:val="0"/>
                <w:bCs w:val="0"/>
                <w:strike w:val="0"/>
                <w:dstrike w:val="0"/>
                <w:color w:val="auto"/>
                <w:sz w:val="24"/>
                <w:szCs w:val="24"/>
                <w:highlight w:val="none"/>
                <w:lang w:val="en-US" w:eastAsia="zh-CN"/>
              </w:rPr>
              <w:t>4.2-1</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1D7DA9A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object>
                <v:shape id="_x0000_i1025" o:spt="75" type="#_x0000_t75" style="height:307.15pt;width:440.1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14:paraId="1285E42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 xml:space="preserve">4.2-1 </w:t>
            </w:r>
            <w:r>
              <w:rPr>
                <w:rFonts w:hint="default" w:ascii="Times New Roman" w:hAnsi="Times New Roman" w:eastAsia="宋体" w:cs="Times New Roman"/>
                <w:b/>
                <w:bCs/>
                <w:color w:val="auto"/>
                <w:sz w:val="24"/>
                <w:szCs w:val="24"/>
                <w:highlight w:val="none"/>
                <w:lang w:val="en-US" w:eastAsia="zh-CN"/>
              </w:rPr>
              <w:t>污水处理厂处理工艺流程图</w:t>
            </w:r>
          </w:p>
          <w:p w14:paraId="3D1270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②</w:t>
            </w:r>
            <w:r>
              <w:rPr>
                <w:rFonts w:hint="default" w:ascii="Times New Roman" w:hAnsi="Times New Roman" w:eastAsia="宋体" w:cs="Times New Roman"/>
                <w:b w:val="0"/>
                <w:bCs w:val="0"/>
                <w:strike w:val="0"/>
                <w:dstrike w:val="0"/>
                <w:color w:val="auto"/>
                <w:sz w:val="24"/>
                <w:szCs w:val="24"/>
                <w:highlight w:val="none"/>
                <w:lang w:val="en-US" w:eastAsia="zh-CN"/>
              </w:rPr>
              <w:t>依托可行性分析</w:t>
            </w:r>
          </w:p>
          <w:p w14:paraId="4508400C">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lang w:val="en-US" w:eastAsia="zh-CN"/>
              </w:rPr>
              <w:t>接管可行性</w:t>
            </w:r>
          </w:p>
          <w:p w14:paraId="635E9273">
            <w:pPr>
              <w:widowControl/>
              <w:spacing w:line="360" w:lineRule="auto"/>
              <w:ind w:firstLine="480" w:firstLineChars="200"/>
              <w:jc w:val="left"/>
              <w:rPr>
                <w:rFonts w:hint="default"/>
                <w:lang w:val="en-US" w:eastAsia="zh-CN"/>
              </w:rPr>
            </w:pPr>
            <w:r>
              <w:rPr>
                <w:rFonts w:hint="eastAsia" w:cs="Times New Roman"/>
                <w:strike w:val="0"/>
                <w:dstrike w:val="0"/>
                <w:color w:val="auto"/>
                <w:sz w:val="24"/>
                <w:lang w:val="en-US" w:eastAsia="zh-CN"/>
              </w:rPr>
              <w:t>根据调查，</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主要负责</w:t>
            </w:r>
            <w:r>
              <w:rPr>
                <w:rFonts w:hint="eastAsia" w:ascii="Times New Roman" w:hAnsi="Times New Roman" w:eastAsia="宋体" w:cs="Times New Roman"/>
                <w:strike w:val="0"/>
                <w:dstrike w:val="0"/>
                <w:color w:val="auto"/>
                <w:sz w:val="24"/>
                <w:lang w:val="en-US" w:eastAsia="zh-CN"/>
              </w:rPr>
              <w:t>城关区和洪宽区</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增加京东方和东旭光电项目</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的生活污水和工业污水。</w:t>
            </w:r>
            <w:r>
              <w:rPr>
                <w:rFonts w:hint="default" w:ascii="Times New Roman" w:hAnsi="Times New Roman" w:eastAsia="宋体" w:cs="Times New Roman"/>
                <w:strike w:val="0"/>
                <w:dstrike w:val="0"/>
                <w:color w:val="auto"/>
                <w:sz w:val="24"/>
                <w:lang w:val="en-US" w:eastAsia="zh-CN"/>
              </w:rPr>
              <w:t>本项目位于</w:t>
            </w:r>
            <w:r>
              <w:rPr>
                <w:rFonts w:hint="eastAsia" w:ascii="Times New Roman" w:hAnsi="Times New Roman" w:eastAsia="宋体" w:cs="Times New Roman"/>
                <w:strike w:val="0"/>
                <w:dstrike w:val="0"/>
                <w:color w:val="auto"/>
                <w:sz w:val="24"/>
                <w:lang w:val="en-US" w:eastAsia="zh-CN"/>
              </w:rPr>
              <w:t>福清市融侨经济技术开发区</w:t>
            </w:r>
            <w:r>
              <w:rPr>
                <w:rFonts w:hint="default" w:ascii="Times New Roman" w:hAnsi="Times New Roman" w:eastAsia="宋体" w:cs="Times New Roman"/>
                <w:strike w:val="0"/>
                <w:dstrike w:val="0"/>
                <w:color w:val="auto"/>
                <w:sz w:val="24"/>
                <w:lang w:val="en-US" w:eastAsia="zh-CN"/>
              </w:rPr>
              <w:t>，属于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服务范围内，根据现场勘查，目前</w:t>
            </w:r>
            <w:r>
              <w:rPr>
                <w:rFonts w:hint="eastAsia" w:ascii="Times New Roman" w:hAnsi="Times New Roman" w:eastAsia="宋体" w:cs="Times New Roman"/>
                <w:strike w:val="0"/>
                <w:dstrike w:val="0"/>
                <w:color w:val="auto"/>
                <w:sz w:val="24"/>
                <w:lang w:val="en-US" w:eastAsia="zh-CN"/>
              </w:rPr>
              <w:t>厂区周边的</w:t>
            </w:r>
            <w:r>
              <w:rPr>
                <w:rFonts w:hint="default" w:ascii="Times New Roman" w:hAnsi="Times New Roman" w:eastAsia="宋体" w:cs="Times New Roman"/>
                <w:strike w:val="0"/>
                <w:dstrike w:val="0"/>
                <w:color w:val="auto"/>
                <w:sz w:val="24"/>
                <w:lang w:val="en-US" w:eastAsia="zh-CN"/>
              </w:rPr>
              <w:t>市政污水管网已经铺设完成并已经投入正常运行，本项目厂区污水总排口已经接入市政污水管网</w:t>
            </w:r>
            <w:r>
              <w:rPr>
                <w:rFonts w:hint="eastAsia" w:ascii="Times New Roman" w:hAnsi="Times New Roman" w:eastAsia="宋体" w:cs="Times New Roman"/>
                <w:strike w:val="0"/>
                <w:dstrike w:val="0"/>
                <w:color w:val="auto"/>
                <w:sz w:val="24"/>
                <w:lang w:val="en-US" w:eastAsia="zh-CN"/>
              </w:rPr>
              <w:t>，项目污水排口位于厂区的西北侧区域</w:t>
            </w:r>
            <w:r>
              <w:rPr>
                <w:rFonts w:hint="default" w:ascii="Times New Roman" w:hAnsi="Times New Roman" w:eastAsia="宋体" w:cs="Times New Roman"/>
                <w:strike w:val="0"/>
                <w:dstrike w:val="0"/>
                <w:color w:val="auto"/>
                <w:sz w:val="24"/>
                <w:lang w:val="en-US" w:eastAsia="zh-CN"/>
              </w:rPr>
              <w:t>。</w:t>
            </w:r>
            <w:r>
              <w:rPr>
                <w:color w:val="auto"/>
              </w:rPr>
              <w:drawing>
                <wp:inline distT="0" distB="0" distL="114300" distR="114300">
                  <wp:extent cx="5427345" cy="3825240"/>
                  <wp:effectExtent l="0" t="0" r="13335" b="0"/>
                  <wp:docPr id="1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1"/>
                          </pic:cNvPicPr>
                        </pic:nvPicPr>
                        <pic:blipFill>
                          <a:blip r:embed="rId14"/>
                          <a:stretch>
                            <a:fillRect/>
                          </a:stretch>
                        </pic:blipFill>
                        <pic:spPr>
                          <a:xfrm>
                            <a:off x="0" y="0"/>
                            <a:ext cx="5427345" cy="3825240"/>
                          </a:xfrm>
                          <a:prstGeom prst="rect">
                            <a:avLst/>
                          </a:prstGeom>
                          <a:noFill/>
                          <a:ln>
                            <a:noFill/>
                          </a:ln>
                        </pic:spPr>
                      </pic:pic>
                    </a:graphicData>
                  </a:graphic>
                </wp:inline>
              </w:drawing>
            </w:r>
          </w:p>
          <w:p w14:paraId="76000A72">
            <w:pPr>
              <w:pStyle w:val="43"/>
              <w:keepNext w:val="0"/>
              <w:keepLines w:val="0"/>
              <w:pageBreakBefore w:val="0"/>
              <w:widowControl w:val="0"/>
              <w:kinsoku/>
              <w:wordWrap/>
              <w:overflowPunct/>
              <w:topLinePunct w:val="0"/>
              <w:autoSpaceDE w:val="0"/>
              <w:autoSpaceDN w:val="0"/>
              <w:bidi w:val="0"/>
              <w:adjustRightInd w:val="0"/>
              <w:snapToGrid w:val="0"/>
              <w:spacing w:before="0" w:beforeLines="0" w:after="163" w:afterLines="50"/>
              <w:ind w:left="0" w:leftChars="0" w:firstLine="0" w:firstLineChars="0"/>
              <w:jc w:val="center"/>
              <w:textAlignment w:val="baseline"/>
              <w:rPr>
                <w:rFonts w:hint="default" w:ascii="Times New Roman" w:hAnsi="Times New Roman" w:eastAsia="宋体" w:cs="Times New Roman"/>
                <w:b/>
                <w:bCs/>
                <w:strike w:val="0"/>
                <w:dstrike w:val="0"/>
                <w:color w:val="auto"/>
                <w:sz w:val="24"/>
                <w:szCs w:val="24"/>
                <w:lang w:val="en-US" w:eastAsia="zh-CN"/>
              </w:rPr>
            </w:pPr>
            <w:r>
              <w:rPr>
                <w:rFonts w:hint="default" w:ascii="Times New Roman" w:hAnsi="Times New Roman" w:eastAsia="宋体" w:cs="Times New Roman"/>
                <w:b/>
                <w:bCs/>
                <w:color w:val="auto"/>
                <w:sz w:val="24"/>
                <w:szCs w:val="24"/>
              </w:rPr>
              <w:t>图4.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污水工程规划图</w:t>
            </w:r>
          </w:p>
          <w:p w14:paraId="36815B82">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B.</w:t>
            </w:r>
            <w:r>
              <w:rPr>
                <w:rFonts w:hint="default" w:ascii="Times New Roman" w:hAnsi="Times New Roman" w:eastAsia="宋体" w:cs="Times New Roman"/>
                <w:strike w:val="0"/>
                <w:dstrike w:val="0"/>
                <w:color w:val="auto"/>
                <w:sz w:val="24"/>
                <w:lang w:val="en-US" w:eastAsia="zh-CN"/>
              </w:rPr>
              <w:t>水质负荷</w:t>
            </w:r>
          </w:p>
          <w:p w14:paraId="25031ABC">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本项目</w:t>
            </w:r>
            <w:r>
              <w:rPr>
                <w:rFonts w:hint="default" w:ascii="Times New Roman" w:hAnsi="Times New Roman" w:eastAsia="宋体" w:cs="Times New Roman"/>
                <w:strike w:val="0"/>
                <w:dstrike w:val="0"/>
                <w:color w:val="auto"/>
                <w:sz w:val="24"/>
                <w:lang w:val="en-US" w:eastAsia="zh-CN"/>
              </w:rPr>
              <w:t>生活污水直接经化粪池预处理</w:t>
            </w:r>
            <w:r>
              <w:rPr>
                <w:rFonts w:hint="eastAsia" w:ascii="Times New Roman" w:hAnsi="Times New Roman" w:eastAsia="宋体" w:cs="Times New Roman"/>
                <w:strike w:val="0"/>
                <w:dstrike w:val="0"/>
                <w:color w:val="auto"/>
                <w:sz w:val="24"/>
                <w:lang w:val="en-US" w:eastAsia="zh-CN"/>
              </w:rPr>
              <w:t>直接依托厂区污水总排口</w:t>
            </w:r>
            <w:r>
              <w:rPr>
                <w:rFonts w:hint="default" w:ascii="Times New Roman" w:hAnsi="Times New Roman" w:eastAsia="宋体" w:cs="Times New Roman"/>
                <w:strike w:val="0"/>
                <w:dstrike w:val="0"/>
                <w:color w:val="auto"/>
                <w:sz w:val="24"/>
                <w:lang w:val="en-US" w:eastAsia="zh-CN"/>
              </w:rPr>
              <w:t>排入市政污水管网</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根据</w:t>
            </w:r>
            <w:r>
              <w:rPr>
                <w:rFonts w:hint="eastAsia" w:ascii="Times New Roman" w:hAnsi="Times New Roman" w:eastAsia="宋体" w:cs="Times New Roman"/>
                <w:strike w:val="0"/>
                <w:dstrike w:val="0"/>
                <w:color w:val="auto"/>
                <w:sz w:val="24"/>
                <w:lang w:val="en-US" w:eastAsia="zh-CN"/>
              </w:rPr>
              <w:t>前文</w:t>
            </w:r>
            <w:r>
              <w:rPr>
                <w:rFonts w:hint="default" w:ascii="Times New Roman" w:hAnsi="Times New Roman" w:eastAsia="宋体" w:cs="Times New Roman"/>
                <w:strike w:val="0"/>
                <w:dstrike w:val="0"/>
                <w:color w:val="auto"/>
                <w:sz w:val="24"/>
                <w:lang w:val="en-US" w:eastAsia="zh-CN"/>
              </w:rPr>
              <w:t>分析预测可知</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本项目生活污水</w:t>
            </w:r>
            <w:r>
              <w:rPr>
                <w:rFonts w:hint="eastAsia" w:ascii="Times New Roman" w:hAnsi="Times New Roman" w:eastAsia="宋体" w:cs="Times New Roman"/>
                <w:strike w:val="0"/>
                <w:dstrike w:val="0"/>
                <w:color w:val="auto"/>
                <w:sz w:val="24"/>
                <w:lang w:val="en-US" w:eastAsia="zh-CN"/>
              </w:rPr>
              <w:t>经化粪池预处理后</w:t>
            </w:r>
            <w:r>
              <w:rPr>
                <w:rFonts w:hint="default" w:ascii="Times New Roman" w:hAnsi="Times New Roman" w:eastAsia="宋体" w:cs="Times New Roman"/>
                <w:strike w:val="0"/>
                <w:dstrike w:val="0"/>
                <w:color w:val="auto"/>
                <w:sz w:val="24"/>
                <w:lang w:val="en-US" w:eastAsia="zh-CN"/>
              </w:rPr>
              <w:t>主要污染物排放浓度均能满足《污水综合排放标准》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GB8978-1996</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表4三级标准及《污水排入城镇下水道水质标准》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GB/T 31962-2015</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表1中B级标准限值</w:t>
            </w:r>
            <w:r>
              <w:rPr>
                <w:rFonts w:hint="eastAsia" w:ascii="Times New Roman" w:hAnsi="Times New Roman" w:eastAsia="宋体" w:cs="Times New Roman"/>
                <w:strike w:val="0"/>
                <w:dstrike w:val="0"/>
                <w:color w:val="auto"/>
                <w:sz w:val="24"/>
                <w:lang w:val="en-US" w:eastAsia="zh-CN"/>
              </w:rPr>
              <w:t>，也可以符合污水处理厂进水水质标准。</w:t>
            </w:r>
            <w:r>
              <w:rPr>
                <w:rFonts w:hint="default" w:ascii="Times New Roman" w:hAnsi="Times New Roman" w:eastAsia="宋体" w:cs="Times New Roman"/>
                <w:strike w:val="0"/>
                <w:dstrike w:val="0"/>
                <w:color w:val="auto"/>
                <w:sz w:val="24"/>
                <w:lang w:val="en-US" w:eastAsia="zh-CN"/>
              </w:rPr>
              <w:t>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不涉及有毒有害污染物，不涉及持久性、重金属，也不含有腐蚀成分，因此，从水质方面分析，项目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经处理达标后，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w:t>
            </w:r>
            <w:r>
              <w:rPr>
                <w:rFonts w:hint="eastAsia" w:ascii="Times New Roman" w:hAnsi="Times New Roman" w:eastAsia="宋体" w:cs="Times New Roman"/>
                <w:strike w:val="0"/>
                <w:dstrike w:val="0"/>
                <w:color w:val="auto"/>
                <w:sz w:val="24"/>
                <w:lang w:val="en-US" w:eastAsia="zh-CN"/>
              </w:rPr>
              <w:t>污水</w:t>
            </w:r>
            <w:r>
              <w:rPr>
                <w:rFonts w:hint="default" w:ascii="Times New Roman" w:hAnsi="Times New Roman" w:eastAsia="宋体" w:cs="Times New Roman"/>
                <w:strike w:val="0"/>
                <w:dstrike w:val="0"/>
                <w:color w:val="auto"/>
                <w:sz w:val="24"/>
                <w:lang w:val="en-US" w:eastAsia="zh-CN"/>
              </w:rPr>
              <w:t>水质，不会对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水质负荷造成冲击。</w:t>
            </w:r>
          </w:p>
          <w:p w14:paraId="764F809C">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C.水量负荷</w:t>
            </w:r>
          </w:p>
          <w:p w14:paraId="72658B7D">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根据调查，目前福清</w:t>
            </w:r>
            <w:r>
              <w:rPr>
                <w:rFonts w:hint="default" w:ascii="Times New Roman" w:hAnsi="Times New Roman" w:eastAsia="宋体" w:cs="Times New Roman"/>
                <w:strike w:val="0"/>
                <w:dstrike w:val="0"/>
                <w:color w:val="auto"/>
                <w:sz w:val="24"/>
                <w:lang w:val="en-US" w:eastAsia="zh-CN"/>
              </w:rPr>
              <w:t>市融元污水处理厂厂内提标及改造工程已经完成并正常使用，平均处理规模约为11.85万</w:t>
            </w:r>
            <w:r>
              <w:rPr>
                <w:rFonts w:hint="eastAsia" w:cs="Times New Roman"/>
                <w:strike w:val="0"/>
                <w:dstrike w:val="0"/>
                <w:color w:val="auto"/>
                <w:sz w:val="24"/>
                <w:lang w:val="en-US" w:eastAsia="zh-CN"/>
              </w:rPr>
              <w:t>t</w:t>
            </w:r>
            <w:r>
              <w:rPr>
                <w:rFonts w:hint="default" w:ascii="Times New Roman" w:hAnsi="Times New Roman" w:eastAsia="宋体" w:cs="Times New Roman"/>
                <w:strike w:val="0"/>
                <w:dstrike w:val="0"/>
                <w:color w:val="auto"/>
                <w:sz w:val="24"/>
                <w:lang w:val="en-US" w:eastAsia="zh-CN"/>
              </w:rPr>
              <w:t>/d，剩余处理能力1500</w:t>
            </w:r>
            <w:r>
              <w:rPr>
                <w:rFonts w:hint="eastAsia" w:cs="Times New Roman"/>
                <w:strike w:val="0"/>
                <w:dstrike w:val="0"/>
                <w:color w:val="auto"/>
                <w:sz w:val="24"/>
                <w:lang w:val="en-US" w:eastAsia="zh-CN"/>
              </w:rPr>
              <w:t>t</w:t>
            </w:r>
            <w:r>
              <w:rPr>
                <w:rFonts w:hint="default" w:ascii="Times New Roman" w:hAnsi="Times New Roman" w:eastAsia="宋体" w:cs="Times New Roman"/>
                <w:strike w:val="0"/>
                <w:dstrike w:val="0"/>
                <w:color w:val="auto"/>
                <w:sz w:val="24"/>
                <w:lang w:val="en-US" w:eastAsia="zh-CN"/>
              </w:rPr>
              <w:t>/d。本项目生活污水排放量</w:t>
            </w:r>
            <w:r>
              <w:rPr>
                <w:rFonts w:hint="eastAsia" w:cs="Times New Roman"/>
                <w:strike w:val="0"/>
                <w:dstrike w:val="0"/>
                <w:color w:val="auto"/>
                <w:sz w:val="24"/>
                <w:lang w:val="en-US" w:eastAsia="zh-CN"/>
              </w:rPr>
              <w:t>2.4</w:t>
            </w:r>
            <w:r>
              <w:rPr>
                <w:rFonts w:hint="default" w:ascii="Times New Roman" w:hAnsi="Times New Roman" w:eastAsia="宋体" w:cs="Times New Roman"/>
                <w:strike w:val="0"/>
                <w:dstrike w:val="0"/>
                <w:color w:val="auto"/>
                <w:sz w:val="24"/>
                <w:lang w:val="en-US" w:eastAsia="zh-CN"/>
              </w:rPr>
              <w:t>t/d，仅占福清市融元污水处理厂剩余处理规模的</w:t>
            </w:r>
            <w:r>
              <w:rPr>
                <w:rFonts w:hint="eastAsia" w:cs="Times New Roman"/>
                <w:strike w:val="0"/>
                <w:dstrike w:val="0"/>
                <w:color w:val="auto"/>
                <w:sz w:val="24"/>
                <w:lang w:val="en-US" w:eastAsia="zh-CN"/>
              </w:rPr>
              <w:t>0.16</w:t>
            </w:r>
            <w:r>
              <w:rPr>
                <w:rFonts w:hint="default" w:ascii="Times New Roman" w:hAnsi="Times New Roman" w:eastAsia="宋体"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因此，从处理能力及处理工艺分析，</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可接纳项目废水排放量，不会对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水量</w:t>
            </w:r>
            <w:r>
              <w:rPr>
                <w:rFonts w:hint="eastAsia" w:ascii="Times New Roman" w:hAnsi="Times New Roman" w:eastAsia="宋体" w:cs="Times New Roman"/>
                <w:strike w:val="0"/>
                <w:dstrike w:val="0"/>
                <w:color w:val="auto"/>
                <w:sz w:val="24"/>
                <w:lang w:val="en-US" w:eastAsia="zh-CN"/>
              </w:rPr>
              <w:t>、水质</w:t>
            </w:r>
            <w:r>
              <w:rPr>
                <w:rFonts w:hint="default" w:ascii="Times New Roman" w:hAnsi="Times New Roman" w:eastAsia="宋体" w:cs="Times New Roman"/>
                <w:strike w:val="0"/>
                <w:dstrike w:val="0"/>
                <w:color w:val="auto"/>
                <w:sz w:val="24"/>
                <w:lang w:val="en-US" w:eastAsia="zh-CN"/>
              </w:rPr>
              <w:t>负荷造成冲击。</w:t>
            </w:r>
          </w:p>
          <w:p w14:paraId="10AFF061">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98" w:name="_Toc5458"/>
            <w:r>
              <w:rPr>
                <w:rFonts w:hint="eastAsia" w:ascii="Times New Roman" w:hAnsi="Times New Roman" w:eastAsia="宋体" w:cs="Times New Roman"/>
                <w:color w:val="auto"/>
                <w:sz w:val="28"/>
                <w:szCs w:val="28"/>
                <w:u w:val="none"/>
                <w:lang w:val="en-US" w:eastAsia="zh-CN"/>
              </w:rPr>
              <w:t>4.3噪声环境影响分析和污染防治措施</w:t>
            </w:r>
            <w:bookmarkEnd w:id="98"/>
          </w:p>
          <w:p w14:paraId="1DF7F90F">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99" w:name="_Toc19312"/>
            <w:r>
              <w:rPr>
                <w:rFonts w:hint="default"/>
                <w:b/>
                <w:color w:val="262626"/>
                <w:kern w:val="0"/>
                <w:sz w:val="24"/>
                <w:lang w:val="en-US" w:eastAsia="zh-CN"/>
              </w:rPr>
              <w:t>4.3.1噪声源强分析</w:t>
            </w:r>
            <w:bookmarkEnd w:id="99"/>
          </w:p>
          <w:p w14:paraId="4C83A785">
            <w:pPr>
              <w:pStyle w:val="60"/>
              <w:spacing w:line="360" w:lineRule="auto"/>
              <w:ind w:firstLine="480"/>
              <w:rPr>
                <w:rFonts w:ascii="Times New Roman" w:hAnsi="Times New Roman"/>
                <w:bCs w:val="0"/>
                <w:color w:val="000000"/>
                <w:szCs w:val="24"/>
              </w:rPr>
            </w:pPr>
            <w:r>
              <w:rPr>
                <w:rFonts w:ascii="Times New Roman" w:hAnsi="Times New Roman"/>
                <w:bCs w:val="0"/>
                <w:color w:val="000000"/>
                <w:szCs w:val="24"/>
              </w:rPr>
              <w:t>项目的噪声源主要为项目运营时机械设备运转产生的噪声，其噪声级及治理措施见表4.3-1。</w:t>
            </w:r>
          </w:p>
          <w:p w14:paraId="49C8BB96">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表4.3-1 项目主要设备噪声一览表</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97"/>
              <w:gridCol w:w="449"/>
              <w:gridCol w:w="1057"/>
              <w:gridCol w:w="674"/>
              <w:gridCol w:w="654"/>
              <w:gridCol w:w="663"/>
              <w:gridCol w:w="1239"/>
              <w:gridCol w:w="1056"/>
              <w:gridCol w:w="1383"/>
            </w:tblGrid>
            <w:tr w14:paraId="5EEE6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restart"/>
                  <w:tcBorders>
                    <w:tl2br w:val="nil"/>
                    <w:tr2bl w:val="nil"/>
                  </w:tcBorders>
                  <w:vAlign w:val="center"/>
                </w:tcPr>
                <w:p w14:paraId="132E986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序</w:t>
                  </w:r>
                  <w:r>
                    <w:rPr>
                      <w:rFonts w:ascii="Times New Roman" w:hAnsi="Times New Roman" w:eastAsia="宋体" w:cs="宋体"/>
                      <w:color w:val="auto"/>
                      <w:sz w:val="21"/>
                      <w:szCs w:val="21"/>
                      <w:highlight w:val="none"/>
                    </w:rPr>
                    <w:t>号</w:t>
                  </w:r>
                </w:p>
              </w:tc>
              <w:tc>
                <w:tcPr>
                  <w:tcW w:w="1197" w:type="dxa"/>
                  <w:vMerge w:val="restart"/>
                  <w:tcBorders>
                    <w:tl2br w:val="nil"/>
                    <w:tr2bl w:val="nil"/>
                  </w:tcBorders>
                  <w:vAlign w:val="center"/>
                </w:tcPr>
                <w:p w14:paraId="57175D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设备名称</w:t>
                  </w:r>
                </w:p>
              </w:tc>
              <w:tc>
                <w:tcPr>
                  <w:tcW w:w="449" w:type="dxa"/>
                  <w:vMerge w:val="restart"/>
                  <w:tcBorders>
                    <w:tl2br w:val="nil"/>
                    <w:tr2bl w:val="nil"/>
                  </w:tcBorders>
                  <w:vAlign w:val="center"/>
                </w:tcPr>
                <w:p w14:paraId="214121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数量</w:t>
                  </w:r>
                </w:p>
              </w:tc>
              <w:tc>
                <w:tcPr>
                  <w:tcW w:w="1057" w:type="dxa"/>
                  <w:vMerge w:val="restart"/>
                  <w:tcBorders>
                    <w:tl2br w:val="nil"/>
                    <w:tr2bl w:val="nil"/>
                  </w:tcBorders>
                  <w:vAlign w:val="center"/>
                </w:tcPr>
                <w:p w14:paraId="52D50A6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治理前声级</w:t>
                  </w:r>
                </w:p>
              </w:tc>
              <w:tc>
                <w:tcPr>
                  <w:tcW w:w="1991" w:type="dxa"/>
                  <w:gridSpan w:val="3"/>
                  <w:tcBorders>
                    <w:tl2br w:val="nil"/>
                    <w:tr2bl w:val="nil"/>
                  </w:tcBorders>
                  <w:vAlign w:val="center"/>
                </w:tcPr>
                <w:p w14:paraId="081E0D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空间相对位置/m</w:t>
                  </w:r>
                </w:p>
              </w:tc>
              <w:tc>
                <w:tcPr>
                  <w:tcW w:w="1239" w:type="dxa"/>
                  <w:vMerge w:val="restart"/>
                  <w:tcBorders>
                    <w:tl2br w:val="nil"/>
                    <w:tr2bl w:val="nil"/>
                  </w:tcBorders>
                  <w:vAlign w:val="center"/>
                </w:tcPr>
                <w:p w14:paraId="7646FE5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噪声属性及性质</w:t>
                  </w:r>
                </w:p>
              </w:tc>
              <w:tc>
                <w:tcPr>
                  <w:tcW w:w="1056" w:type="dxa"/>
                  <w:vMerge w:val="restart"/>
                  <w:tcBorders>
                    <w:tl2br w:val="nil"/>
                    <w:tr2bl w:val="nil"/>
                  </w:tcBorders>
                  <w:vAlign w:val="center"/>
                </w:tcPr>
                <w:p w14:paraId="3AD721F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治理措施</w:t>
                  </w:r>
                </w:p>
              </w:tc>
              <w:tc>
                <w:tcPr>
                  <w:tcW w:w="1383" w:type="dxa"/>
                  <w:vMerge w:val="restart"/>
                  <w:tcBorders>
                    <w:tl2br w:val="nil"/>
                    <w:tr2bl w:val="nil"/>
                  </w:tcBorders>
                  <w:vAlign w:val="center"/>
                </w:tcPr>
                <w:p w14:paraId="1871252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治理后</w:t>
                  </w:r>
                  <w:r>
                    <w:rPr>
                      <w:rFonts w:hint="eastAsia" w:ascii="Times New Roman" w:hAnsi="Times New Roman" w:eastAsia="宋体" w:cs="宋体"/>
                      <w:color w:val="auto"/>
                      <w:sz w:val="21"/>
                      <w:szCs w:val="21"/>
                      <w:highlight w:val="none"/>
                      <w:lang w:val="en-US" w:eastAsia="zh-CN"/>
                    </w:rPr>
                    <w:t>声</w:t>
                  </w:r>
                  <w:r>
                    <w:rPr>
                      <w:rFonts w:ascii="Times New Roman" w:hAnsi="Times New Roman" w:eastAsia="宋体" w:cs="宋体"/>
                      <w:color w:val="auto"/>
                      <w:sz w:val="21"/>
                      <w:szCs w:val="21"/>
                      <w:highlight w:val="none"/>
                    </w:rPr>
                    <w:t>级</w:t>
                  </w:r>
                </w:p>
              </w:tc>
            </w:tr>
            <w:tr w14:paraId="717DF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continue"/>
                  <w:tcBorders>
                    <w:tl2br w:val="nil"/>
                    <w:tr2bl w:val="nil"/>
                  </w:tcBorders>
                  <w:vAlign w:val="center"/>
                </w:tcPr>
                <w:p w14:paraId="4008FAC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197" w:type="dxa"/>
                  <w:vMerge w:val="continue"/>
                  <w:tcBorders>
                    <w:tl2br w:val="nil"/>
                    <w:tr2bl w:val="nil"/>
                  </w:tcBorders>
                  <w:vAlign w:val="center"/>
                </w:tcPr>
                <w:p w14:paraId="6D5C138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449" w:type="dxa"/>
                  <w:vMerge w:val="continue"/>
                  <w:tcBorders>
                    <w:tl2br w:val="nil"/>
                    <w:tr2bl w:val="nil"/>
                  </w:tcBorders>
                  <w:vAlign w:val="center"/>
                </w:tcPr>
                <w:p w14:paraId="1DAE4CB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057" w:type="dxa"/>
                  <w:vMerge w:val="continue"/>
                  <w:tcBorders>
                    <w:tl2br w:val="nil"/>
                    <w:tr2bl w:val="nil"/>
                  </w:tcBorders>
                  <w:vAlign w:val="center"/>
                </w:tcPr>
                <w:p w14:paraId="4B36D12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674" w:type="dxa"/>
                  <w:tcBorders>
                    <w:tl2br w:val="nil"/>
                    <w:tr2bl w:val="nil"/>
                  </w:tcBorders>
                  <w:vAlign w:val="center"/>
                </w:tcPr>
                <w:p w14:paraId="4A10BC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x</w:t>
                  </w:r>
                </w:p>
              </w:tc>
              <w:tc>
                <w:tcPr>
                  <w:tcW w:w="654" w:type="dxa"/>
                  <w:tcBorders>
                    <w:tl2br w:val="nil"/>
                    <w:tr2bl w:val="nil"/>
                  </w:tcBorders>
                  <w:vAlign w:val="center"/>
                </w:tcPr>
                <w:p w14:paraId="515208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y</w:t>
                  </w:r>
                </w:p>
              </w:tc>
              <w:tc>
                <w:tcPr>
                  <w:tcW w:w="663" w:type="dxa"/>
                  <w:tcBorders>
                    <w:tl2br w:val="nil"/>
                    <w:tr2bl w:val="nil"/>
                  </w:tcBorders>
                  <w:vAlign w:val="center"/>
                </w:tcPr>
                <w:p w14:paraId="43B8DA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z</w:t>
                  </w:r>
                </w:p>
              </w:tc>
              <w:tc>
                <w:tcPr>
                  <w:tcW w:w="1239" w:type="dxa"/>
                  <w:vMerge w:val="continue"/>
                  <w:tcBorders>
                    <w:tl2br w:val="nil"/>
                    <w:tr2bl w:val="nil"/>
                  </w:tcBorders>
                  <w:vAlign w:val="center"/>
                </w:tcPr>
                <w:p w14:paraId="10D7E0F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1056" w:type="dxa"/>
                  <w:vMerge w:val="continue"/>
                  <w:tcBorders>
                    <w:tl2br w:val="nil"/>
                    <w:tr2bl w:val="nil"/>
                  </w:tcBorders>
                  <w:vAlign w:val="center"/>
                </w:tcPr>
                <w:p w14:paraId="322385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1383" w:type="dxa"/>
                  <w:vMerge w:val="continue"/>
                  <w:tcBorders>
                    <w:tl2br w:val="nil"/>
                    <w:tr2bl w:val="nil"/>
                  </w:tcBorders>
                  <w:vAlign w:val="center"/>
                </w:tcPr>
                <w:p w14:paraId="23A415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r>
            <w:tr w14:paraId="48BC3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63B20733">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w:t>
                  </w:r>
                </w:p>
              </w:tc>
              <w:tc>
                <w:tcPr>
                  <w:tcW w:w="1197" w:type="dxa"/>
                  <w:tcBorders>
                    <w:tl2br w:val="nil"/>
                    <w:tr2bl w:val="nil"/>
                  </w:tcBorders>
                  <w:shd w:val="clear" w:color="auto" w:fill="auto"/>
                  <w:vAlign w:val="center"/>
                </w:tcPr>
                <w:p w14:paraId="69D86AE9">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000000"/>
                      <w:kern w:val="0"/>
                      <w:sz w:val="21"/>
                      <w:szCs w:val="21"/>
                    </w:rPr>
                    <w:t>吹PE膜机</w:t>
                  </w:r>
                </w:p>
              </w:tc>
              <w:tc>
                <w:tcPr>
                  <w:tcW w:w="449" w:type="dxa"/>
                  <w:tcBorders>
                    <w:tl2br w:val="nil"/>
                    <w:tr2bl w:val="nil"/>
                  </w:tcBorders>
                  <w:vAlign w:val="center"/>
                </w:tcPr>
                <w:p w14:paraId="2C08CF8C">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olor w:val="auto"/>
                      <w:sz w:val="21"/>
                      <w:szCs w:val="21"/>
                      <w:highlight w:val="none"/>
                      <w:vertAlign w:val="baseline"/>
                      <w:lang w:val="en-US"/>
                    </w:rPr>
                  </w:pPr>
                  <w:r>
                    <w:rPr>
                      <w:rFonts w:hint="eastAsia" w:ascii="Times New Roman" w:hAnsi="Times New Roman" w:eastAsia="宋体"/>
                      <w:bCs/>
                      <w:color w:val="000000"/>
                      <w:sz w:val="21"/>
                      <w:szCs w:val="21"/>
                    </w:rPr>
                    <w:t>2</w:t>
                  </w:r>
                </w:p>
              </w:tc>
              <w:tc>
                <w:tcPr>
                  <w:tcW w:w="1057" w:type="dxa"/>
                  <w:tcBorders>
                    <w:tl2br w:val="nil"/>
                    <w:tr2bl w:val="nil"/>
                  </w:tcBorders>
                  <w:vAlign w:val="center"/>
                </w:tcPr>
                <w:p w14:paraId="3ABB9A71">
                  <w:pPr>
                    <w:pStyle w:val="6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4" w:type="dxa"/>
                  <w:tcBorders>
                    <w:tl2br w:val="nil"/>
                    <w:tr2bl w:val="nil"/>
                  </w:tcBorders>
                  <w:vAlign w:val="center"/>
                </w:tcPr>
                <w:p w14:paraId="74C23EF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3C6D4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w:t>
                  </w:r>
                  <w:r>
                    <w:rPr>
                      <w:rFonts w:ascii="Times New Roman" w:hAnsi="Times New Roman" w:eastAsia="宋体" w:cs="宋体"/>
                      <w:color w:val="auto"/>
                      <w:sz w:val="21"/>
                      <w:szCs w:val="21"/>
                      <w:highlight w:val="none"/>
                    </w:rPr>
                    <w:t>12.0</w:t>
                  </w:r>
                </w:p>
              </w:tc>
              <w:tc>
                <w:tcPr>
                  <w:tcW w:w="663" w:type="dxa"/>
                  <w:tcBorders>
                    <w:tl2br w:val="nil"/>
                    <w:tr2bl w:val="nil"/>
                  </w:tcBorders>
                  <w:vAlign w:val="center"/>
                </w:tcPr>
                <w:p w14:paraId="4BF2EC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0.8</w:t>
                  </w:r>
                </w:p>
              </w:tc>
              <w:tc>
                <w:tcPr>
                  <w:tcW w:w="1239" w:type="dxa"/>
                  <w:tcBorders>
                    <w:tl2br w:val="nil"/>
                    <w:tr2bl w:val="nil"/>
                  </w:tcBorders>
                  <w:vAlign w:val="center"/>
                </w:tcPr>
                <w:p w14:paraId="4693FFFE">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restart"/>
                  <w:tcBorders>
                    <w:tl2br w:val="nil"/>
                    <w:tr2bl w:val="nil"/>
                  </w:tcBorders>
                  <w:vAlign w:val="center"/>
                </w:tcPr>
                <w:p w14:paraId="5FE617B0">
                  <w:pPr>
                    <w:pStyle w:val="65"/>
                    <w:keepNext w:val="0"/>
                    <w:keepLines w:val="0"/>
                    <w:pageBreakBefore w:val="0"/>
                    <w:widowControl w:val="0"/>
                    <w:kinsoku/>
                    <w:wordWrap/>
                    <w:overflowPunct/>
                    <w:topLinePunct w:val="0"/>
                    <w:autoSpaceDE/>
                    <w:autoSpaceDN/>
                    <w:bidi w:val="0"/>
                    <w:adjustRightInd/>
                    <w:snapToGrid/>
                    <w:ind w:left="0" w:firstLineChars="0"/>
                    <w:jc w:val="both"/>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高噪声设备基础安装减振，进</w:t>
                  </w:r>
                  <w:r>
                    <w:rPr>
                      <w:rFonts w:hint="eastAsia" w:cs="宋体"/>
                      <w:color w:val="auto"/>
                      <w:sz w:val="21"/>
                      <w:szCs w:val="21"/>
                      <w:highlight w:val="none"/>
                      <w:lang w:eastAsia="zh-CN"/>
                    </w:rPr>
                    <w:t>行安</w:t>
                  </w:r>
                  <w:r>
                    <w:rPr>
                      <w:rFonts w:ascii="Times New Roman" w:hAnsi="Times New Roman" w:eastAsia="宋体" w:cs="宋体"/>
                      <w:color w:val="auto"/>
                      <w:sz w:val="21"/>
                      <w:szCs w:val="21"/>
                      <w:highlight w:val="none"/>
                    </w:rPr>
                    <w:t>装消声器等降噪措施</w:t>
                  </w:r>
                </w:p>
              </w:tc>
              <w:tc>
                <w:tcPr>
                  <w:tcW w:w="1383" w:type="dxa"/>
                  <w:vMerge w:val="restart"/>
                  <w:tcBorders>
                    <w:tl2br w:val="nil"/>
                    <w:tr2bl w:val="nil"/>
                  </w:tcBorders>
                  <w:vAlign w:val="center"/>
                </w:tcPr>
                <w:p w14:paraId="041A214E">
                  <w:pPr>
                    <w:pStyle w:val="65"/>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dB(A)</w:t>
                  </w:r>
                </w:p>
              </w:tc>
            </w:tr>
            <w:tr w14:paraId="340BF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15EF950">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2</w:t>
                  </w:r>
                </w:p>
              </w:tc>
              <w:tc>
                <w:tcPr>
                  <w:tcW w:w="1197" w:type="dxa"/>
                  <w:tcBorders>
                    <w:tl2br w:val="nil"/>
                    <w:tr2bl w:val="nil"/>
                  </w:tcBorders>
                  <w:shd w:val="clear" w:color="auto" w:fill="auto"/>
                  <w:vAlign w:val="center"/>
                </w:tcPr>
                <w:p w14:paraId="0EB33016">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000000"/>
                      <w:kern w:val="0"/>
                      <w:sz w:val="21"/>
                      <w:szCs w:val="21"/>
                    </w:rPr>
                    <w:t>印刷机</w:t>
                  </w:r>
                </w:p>
              </w:tc>
              <w:tc>
                <w:tcPr>
                  <w:tcW w:w="449" w:type="dxa"/>
                  <w:tcBorders>
                    <w:tl2br w:val="nil"/>
                    <w:tr2bl w:val="nil"/>
                  </w:tcBorders>
                  <w:vAlign w:val="center"/>
                </w:tcPr>
                <w:p w14:paraId="2F48A830">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bCs/>
                      <w:color w:val="000000"/>
                      <w:sz w:val="21"/>
                      <w:szCs w:val="21"/>
                    </w:rPr>
                    <w:t>4</w:t>
                  </w:r>
                </w:p>
              </w:tc>
              <w:tc>
                <w:tcPr>
                  <w:tcW w:w="1057" w:type="dxa"/>
                  <w:tcBorders>
                    <w:tl2br w:val="nil"/>
                    <w:tr2bl w:val="nil"/>
                  </w:tcBorders>
                  <w:vAlign w:val="center"/>
                </w:tcPr>
                <w:p w14:paraId="28520022">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4" w:type="dxa"/>
                  <w:tcBorders>
                    <w:tl2br w:val="nil"/>
                    <w:tr2bl w:val="nil"/>
                  </w:tcBorders>
                  <w:vAlign w:val="center"/>
                </w:tcPr>
                <w:p w14:paraId="0AC3E6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w:t>
                  </w:r>
                  <w:r>
                    <w:rPr>
                      <w:rFonts w:ascii="Times New Roman" w:hAnsi="Times New Roman" w:eastAsia="宋体" w:cs="宋体"/>
                      <w:color w:val="auto"/>
                      <w:sz w:val="21"/>
                      <w:szCs w:val="21"/>
                      <w:highlight w:val="none"/>
                    </w:rPr>
                    <w:t>8.0</w:t>
                  </w:r>
                </w:p>
              </w:tc>
              <w:tc>
                <w:tcPr>
                  <w:tcW w:w="654" w:type="dxa"/>
                  <w:tcBorders>
                    <w:tl2br w:val="nil"/>
                    <w:tr2bl w:val="nil"/>
                  </w:tcBorders>
                  <w:vAlign w:val="center"/>
                </w:tcPr>
                <w:p w14:paraId="24B61F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w:t>
                  </w:r>
                  <w:r>
                    <w:rPr>
                      <w:rFonts w:hint="eastAsia" w:ascii="Times New Roman" w:hAnsi="Times New Roman" w:eastAsia="宋体" w:cs="宋体"/>
                      <w:color w:val="auto"/>
                      <w:sz w:val="21"/>
                      <w:szCs w:val="21"/>
                      <w:highlight w:val="none"/>
                      <w:lang w:val="en-US" w:eastAsia="zh-CN"/>
                    </w:rPr>
                    <w:t>9</w:t>
                  </w:r>
                  <w:r>
                    <w:rPr>
                      <w:rFonts w:ascii="Times New Roman" w:hAnsi="Times New Roman" w:eastAsia="宋体" w:cs="宋体"/>
                      <w:color w:val="auto"/>
                      <w:sz w:val="21"/>
                      <w:szCs w:val="21"/>
                      <w:highlight w:val="none"/>
                    </w:rPr>
                    <w:t>.0</w:t>
                  </w:r>
                </w:p>
              </w:tc>
              <w:tc>
                <w:tcPr>
                  <w:tcW w:w="663" w:type="dxa"/>
                  <w:tcBorders>
                    <w:tl2br w:val="nil"/>
                    <w:tr2bl w:val="nil"/>
                  </w:tcBorders>
                  <w:vAlign w:val="center"/>
                </w:tcPr>
                <w:p w14:paraId="4F7E09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39" w:type="dxa"/>
                  <w:tcBorders>
                    <w:tl2br w:val="nil"/>
                    <w:tr2bl w:val="nil"/>
                  </w:tcBorders>
                  <w:vAlign w:val="center"/>
                </w:tcPr>
                <w:p w14:paraId="2BE2536D">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continue"/>
                  <w:tcBorders>
                    <w:tl2br w:val="nil"/>
                    <w:tr2bl w:val="nil"/>
                  </w:tcBorders>
                  <w:vAlign w:val="center"/>
                </w:tcPr>
                <w:p w14:paraId="36888E8E">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83" w:type="dxa"/>
                  <w:vMerge w:val="continue"/>
                  <w:tcBorders>
                    <w:tl2br w:val="nil"/>
                    <w:tr2bl w:val="nil"/>
                  </w:tcBorders>
                  <w:vAlign w:val="center"/>
                </w:tcPr>
                <w:p w14:paraId="5890FE17">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21300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426" w:type="dxa"/>
                  <w:tcBorders>
                    <w:tl2br w:val="nil"/>
                    <w:tr2bl w:val="nil"/>
                  </w:tcBorders>
                  <w:vAlign w:val="center"/>
                </w:tcPr>
                <w:p w14:paraId="5C3CDCB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3</w:t>
                  </w:r>
                </w:p>
              </w:tc>
              <w:tc>
                <w:tcPr>
                  <w:tcW w:w="1197" w:type="dxa"/>
                  <w:tcBorders>
                    <w:tl2br w:val="nil"/>
                    <w:tr2bl w:val="nil"/>
                  </w:tcBorders>
                  <w:shd w:val="clear" w:color="auto" w:fill="auto"/>
                  <w:vAlign w:val="center"/>
                </w:tcPr>
                <w:p w14:paraId="235317B7">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000000"/>
                      <w:kern w:val="0"/>
                      <w:sz w:val="21"/>
                      <w:szCs w:val="21"/>
                    </w:rPr>
                    <w:t>无溶剂复合机</w:t>
                  </w:r>
                </w:p>
              </w:tc>
              <w:tc>
                <w:tcPr>
                  <w:tcW w:w="449" w:type="dxa"/>
                  <w:tcBorders>
                    <w:tl2br w:val="nil"/>
                    <w:tr2bl w:val="nil"/>
                  </w:tcBorders>
                  <w:vAlign w:val="center"/>
                </w:tcPr>
                <w:p w14:paraId="0616EB6D">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bCs/>
                      <w:color w:val="000000"/>
                      <w:sz w:val="21"/>
                      <w:szCs w:val="21"/>
                    </w:rPr>
                    <w:t>4</w:t>
                  </w:r>
                </w:p>
              </w:tc>
              <w:tc>
                <w:tcPr>
                  <w:tcW w:w="1057" w:type="dxa"/>
                  <w:tcBorders>
                    <w:tl2br w:val="nil"/>
                    <w:tr2bl w:val="nil"/>
                  </w:tcBorders>
                  <w:vAlign w:val="center"/>
                </w:tcPr>
                <w:p w14:paraId="48B77F72">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4" w:type="dxa"/>
                  <w:tcBorders>
                    <w:tl2br w:val="nil"/>
                    <w:tr2bl w:val="nil"/>
                  </w:tcBorders>
                  <w:vAlign w:val="center"/>
                </w:tcPr>
                <w:p w14:paraId="1FFA4F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24</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3E376A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0</w:t>
                  </w:r>
                </w:p>
              </w:tc>
              <w:tc>
                <w:tcPr>
                  <w:tcW w:w="663" w:type="dxa"/>
                  <w:tcBorders>
                    <w:tl2br w:val="nil"/>
                    <w:tr2bl w:val="nil"/>
                  </w:tcBorders>
                  <w:vAlign w:val="center"/>
                </w:tcPr>
                <w:p w14:paraId="5CE6D8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39" w:type="dxa"/>
                  <w:tcBorders>
                    <w:tl2br w:val="nil"/>
                    <w:tr2bl w:val="nil"/>
                  </w:tcBorders>
                  <w:vAlign w:val="center"/>
                </w:tcPr>
                <w:p w14:paraId="5270A96C">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continue"/>
                  <w:tcBorders>
                    <w:tl2br w:val="nil"/>
                    <w:tr2bl w:val="nil"/>
                  </w:tcBorders>
                  <w:vAlign w:val="center"/>
                </w:tcPr>
                <w:p w14:paraId="43B93904">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83" w:type="dxa"/>
                  <w:vMerge w:val="continue"/>
                  <w:tcBorders>
                    <w:tl2br w:val="nil"/>
                    <w:tr2bl w:val="nil"/>
                  </w:tcBorders>
                  <w:vAlign w:val="center"/>
                </w:tcPr>
                <w:p w14:paraId="22B01AEE">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2B2E8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2486014">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4</w:t>
                  </w:r>
                </w:p>
              </w:tc>
              <w:tc>
                <w:tcPr>
                  <w:tcW w:w="1197" w:type="dxa"/>
                  <w:tcBorders>
                    <w:tl2br w:val="nil"/>
                    <w:tr2bl w:val="nil"/>
                  </w:tcBorders>
                  <w:shd w:val="clear" w:color="auto" w:fill="auto"/>
                  <w:vAlign w:val="center"/>
                </w:tcPr>
                <w:p w14:paraId="26A3DCC1">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000000"/>
                      <w:kern w:val="0"/>
                      <w:sz w:val="21"/>
                      <w:szCs w:val="21"/>
                    </w:rPr>
                    <w:t>干式复合机</w:t>
                  </w:r>
                </w:p>
              </w:tc>
              <w:tc>
                <w:tcPr>
                  <w:tcW w:w="449" w:type="dxa"/>
                  <w:tcBorders>
                    <w:tl2br w:val="nil"/>
                    <w:tr2bl w:val="nil"/>
                  </w:tcBorders>
                  <w:vAlign w:val="center"/>
                </w:tcPr>
                <w:p w14:paraId="258D24F9">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bCs/>
                      <w:color w:val="000000"/>
                      <w:sz w:val="21"/>
                      <w:szCs w:val="21"/>
                    </w:rPr>
                    <w:t>1</w:t>
                  </w:r>
                </w:p>
              </w:tc>
              <w:tc>
                <w:tcPr>
                  <w:tcW w:w="1057" w:type="dxa"/>
                  <w:tcBorders>
                    <w:tl2br w:val="nil"/>
                    <w:tr2bl w:val="nil"/>
                  </w:tcBorders>
                  <w:vAlign w:val="center"/>
                </w:tcPr>
                <w:p w14:paraId="06762640">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4" w:type="dxa"/>
                  <w:tcBorders>
                    <w:tl2br w:val="nil"/>
                    <w:tr2bl w:val="nil"/>
                  </w:tcBorders>
                  <w:vAlign w:val="center"/>
                </w:tcPr>
                <w:p w14:paraId="66322C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-11</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30F621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-5</w:t>
                  </w:r>
                  <w:r>
                    <w:rPr>
                      <w:rFonts w:ascii="Times New Roman" w:hAnsi="Times New Roman" w:eastAsia="宋体" w:cs="宋体"/>
                      <w:color w:val="auto"/>
                      <w:sz w:val="21"/>
                      <w:szCs w:val="21"/>
                      <w:highlight w:val="none"/>
                    </w:rPr>
                    <w:t>.0</w:t>
                  </w:r>
                </w:p>
              </w:tc>
              <w:tc>
                <w:tcPr>
                  <w:tcW w:w="663" w:type="dxa"/>
                  <w:tcBorders>
                    <w:tl2br w:val="nil"/>
                    <w:tr2bl w:val="nil"/>
                  </w:tcBorders>
                  <w:vAlign w:val="center"/>
                </w:tcPr>
                <w:p w14:paraId="36B46D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39" w:type="dxa"/>
                  <w:tcBorders>
                    <w:tl2br w:val="nil"/>
                    <w:tr2bl w:val="nil"/>
                  </w:tcBorders>
                  <w:vAlign w:val="center"/>
                </w:tcPr>
                <w:p w14:paraId="1D007312">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continue"/>
                  <w:tcBorders>
                    <w:tl2br w:val="nil"/>
                    <w:tr2bl w:val="nil"/>
                  </w:tcBorders>
                  <w:vAlign w:val="center"/>
                </w:tcPr>
                <w:p w14:paraId="1EF6E101">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83" w:type="dxa"/>
                  <w:vMerge w:val="continue"/>
                  <w:tcBorders>
                    <w:tl2br w:val="nil"/>
                    <w:tr2bl w:val="nil"/>
                  </w:tcBorders>
                  <w:vAlign w:val="center"/>
                </w:tcPr>
                <w:p w14:paraId="277411FA">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17AE7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796DF30E">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5</w:t>
                  </w:r>
                </w:p>
              </w:tc>
              <w:tc>
                <w:tcPr>
                  <w:tcW w:w="1197" w:type="dxa"/>
                  <w:tcBorders>
                    <w:tl2br w:val="nil"/>
                    <w:tr2bl w:val="nil"/>
                  </w:tcBorders>
                  <w:shd w:val="clear" w:color="auto" w:fill="auto"/>
                  <w:vAlign w:val="center"/>
                </w:tcPr>
                <w:p w14:paraId="798B2696">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000000"/>
                      <w:kern w:val="0"/>
                      <w:sz w:val="21"/>
                      <w:szCs w:val="21"/>
                    </w:rPr>
                    <w:t>高速分切机</w:t>
                  </w:r>
                </w:p>
              </w:tc>
              <w:tc>
                <w:tcPr>
                  <w:tcW w:w="449" w:type="dxa"/>
                  <w:tcBorders>
                    <w:tl2br w:val="nil"/>
                    <w:tr2bl w:val="nil"/>
                  </w:tcBorders>
                  <w:vAlign w:val="center"/>
                </w:tcPr>
                <w:p w14:paraId="7342B006">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bCs/>
                      <w:color w:val="000000"/>
                      <w:sz w:val="21"/>
                      <w:szCs w:val="21"/>
                    </w:rPr>
                    <w:t>4</w:t>
                  </w:r>
                </w:p>
              </w:tc>
              <w:tc>
                <w:tcPr>
                  <w:tcW w:w="1057" w:type="dxa"/>
                  <w:tcBorders>
                    <w:tl2br w:val="nil"/>
                    <w:tr2bl w:val="nil"/>
                  </w:tcBorders>
                  <w:vAlign w:val="center"/>
                </w:tcPr>
                <w:p w14:paraId="5BEE1307">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4" w:type="dxa"/>
                  <w:tcBorders>
                    <w:tl2br w:val="nil"/>
                    <w:tr2bl w:val="nil"/>
                  </w:tcBorders>
                  <w:vAlign w:val="center"/>
                </w:tcPr>
                <w:p w14:paraId="7FCFBD6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267A5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-8.0</w:t>
                  </w:r>
                </w:p>
              </w:tc>
              <w:tc>
                <w:tcPr>
                  <w:tcW w:w="663" w:type="dxa"/>
                  <w:tcBorders>
                    <w:tl2br w:val="nil"/>
                    <w:tr2bl w:val="nil"/>
                  </w:tcBorders>
                  <w:vAlign w:val="center"/>
                </w:tcPr>
                <w:p w14:paraId="406775F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39" w:type="dxa"/>
                  <w:tcBorders>
                    <w:tl2br w:val="nil"/>
                    <w:tr2bl w:val="nil"/>
                  </w:tcBorders>
                  <w:vAlign w:val="center"/>
                </w:tcPr>
                <w:p w14:paraId="475E0736">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continue"/>
                  <w:tcBorders>
                    <w:tl2br w:val="nil"/>
                    <w:tr2bl w:val="nil"/>
                  </w:tcBorders>
                  <w:vAlign w:val="center"/>
                </w:tcPr>
                <w:p w14:paraId="42959ED9">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83" w:type="dxa"/>
                  <w:vMerge w:val="continue"/>
                  <w:tcBorders>
                    <w:tl2br w:val="nil"/>
                    <w:tr2bl w:val="nil"/>
                  </w:tcBorders>
                  <w:vAlign w:val="center"/>
                </w:tcPr>
                <w:p w14:paraId="5FEE5158">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0C594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7755B71B">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6</w:t>
                  </w:r>
                </w:p>
              </w:tc>
              <w:tc>
                <w:tcPr>
                  <w:tcW w:w="1197" w:type="dxa"/>
                  <w:tcBorders>
                    <w:tl2br w:val="nil"/>
                    <w:tr2bl w:val="nil"/>
                  </w:tcBorders>
                  <w:shd w:val="clear" w:color="auto" w:fill="auto"/>
                  <w:vAlign w:val="center"/>
                </w:tcPr>
                <w:p w14:paraId="41D8FCA1">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000000"/>
                      <w:kern w:val="0"/>
                      <w:sz w:val="21"/>
                      <w:szCs w:val="21"/>
                    </w:rPr>
                    <w:t>检品机</w:t>
                  </w:r>
                </w:p>
              </w:tc>
              <w:tc>
                <w:tcPr>
                  <w:tcW w:w="449" w:type="dxa"/>
                  <w:tcBorders>
                    <w:tl2br w:val="nil"/>
                    <w:tr2bl w:val="nil"/>
                  </w:tcBorders>
                  <w:vAlign w:val="center"/>
                </w:tcPr>
                <w:p w14:paraId="1F1CB088">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bCs/>
                      <w:color w:val="000000"/>
                      <w:sz w:val="21"/>
                      <w:szCs w:val="21"/>
                    </w:rPr>
                    <w:t>2</w:t>
                  </w:r>
                </w:p>
              </w:tc>
              <w:tc>
                <w:tcPr>
                  <w:tcW w:w="1057" w:type="dxa"/>
                  <w:tcBorders>
                    <w:tl2br w:val="nil"/>
                    <w:tr2bl w:val="nil"/>
                  </w:tcBorders>
                  <w:vAlign w:val="center"/>
                </w:tcPr>
                <w:p w14:paraId="24AC4A69">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4" w:type="dxa"/>
                  <w:tcBorders>
                    <w:tl2br w:val="nil"/>
                    <w:tr2bl w:val="nil"/>
                  </w:tcBorders>
                  <w:vAlign w:val="center"/>
                </w:tcPr>
                <w:p w14:paraId="10052F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32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085BBF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63" w:type="dxa"/>
                  <w:tcBorders>
                    <w:tl2br w:val="nil"/>
                    <w:tr2bl w:val="nil"/>
                  </w:tcBorders>
                  <w:vAlign w:val="center"/>
                </w:tcPr>
                <w:p w14:paraId="5AB448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1.2</w:t>
                  </w:r>
                </w:p>
              </w:tc>
              <w:tc>
                <w:tcPr>
                  <w:tcW w:w="1239" w:type="dxa"/>
                  <w:tcBorders>
                    <w:tl2br w:val="nil"/>
                    <w:tr2bl w:val="nil"/>
                  </w:tcBorders>
                  <w:vAlign w:val="center"/>
                </w:tcPr>
                <w:p w14:paraId="1B7E42F7">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continue"/>
                  <w:tcBorders>
                    <w:tl2br w:val="nil"/>
                    <w:tr2bl w:val="nil"/>
                  </w:tcBorders>
                  <w:vAlign w:val="center"/>
                </w:tcPr>
                <w:p w14:paraId="289E74AE">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83" w:type="dxa"/>
                  <w:vMerge w:val="continue"/>
                  <w:tcBorders>
                    <w:tl2br w:val="nil"/>
                    <w:tr2bl w:val="nil"/>
                  </w:tcBorders>
                  <w:vAlign w:val="center"/>
                </w:tcPr>
                <w:p w14:paraId="2E41685B">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161CF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426" w:type="dxa"/>
                  <w:tcBorders>
                    <w:tl2br w:val="nil"/>
                    <w:tr2bl w:val="nil"/>
                  </w:tcBorders>
                  <w:vAlign w:val="center"/>
                </w:tcPr>
                <w:p w14:paraId="16ED203C">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7</w:t>
                  </w:r>
                </w:p>
              </w:tc>
              <w:tc>
                <w:tcPr>
                  <w:tcW w:w="1197" w:type="dxa"/>
                  <w:tcBorders>
                    <w:tl2br w:val="nil"/>
                    <w:tr2bl w:val="nil"/>
                  </w:tcBorders>
                  <w:shd w:val="clear" w:color="auto" w:fill="auto"/>
                  <w:vAlign w:val="center"/>
                </w:tcPr>
                <w:p w14:paraId="472E85E7">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000000"/>
                      <w:kern w:val="0"/>
                      <w:sz w:val="21"/>
                      <w:szCs w:val="21"/>
                    </w:rPr>
                    <w:t>三边封制袋机</w:t>
                  </w:r>
                </w:p>
              </w:tc>
              <w:tc>
                <w:tcPr>
                  <w:tcW w:w="449" w:type="dxa"/>
                  <w:tcBorders>
                    <w:tl2br w:val="nil"/>
                    <w:tr2bl w:val="nil"/>
                  </w:tcBorders>
                  <w:vAlign w:val="center"/>
                </w:tcPr>
                <w:p w14:paraId="3E76B2E0">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bCs/>
                      <w:color w:val="000000"/>
                      <w:sz w:val="21"/>
                      <w:szCs w:val="21"/>
                    </w:rPr>
                    <w:t>4</w:t>
                  </w:r>
                </w:p>
              </w:tc>
              <w:tc>
                <w:tcPr>
                  <w:tcW w:w="1057" w:type="dxa"/>
                  <w:tcBorders>
                    <w:tl2br w:val="nil"/>
                    <w:tr2bl w:val="nil"/>
                  </w:tcBorders>
                  <w:vAlign w:val="center"/>
                </w:tcPr>
                <w:p w14:paraId="16C6D91E">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4" w:type="dxa"/>
                  <w:tcBorders>
                    <w:tl2br w:val="nil"/>
                    <w:tr2bl w:val="nil"/>
                  </w:tcBorders>
                  <w:vAlign w:val="center"/>
                </w:tcPr>
                <w:p w14:paraId="6368E8D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56116AE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63" w:type="dxa"/>
                  <w:tcBorders>
                    <w:tl2br w:val="nil"/>
                    <w:tr2bl w:val="nil"/>
                  </w:tcBorders>
                  <w:vAlign w:val="center"/>
                </w:tcPr>
                <w:p w14:paraId="579F3FD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.6</w:t>
                  </w:r>
                </w:p>
              </w:tc>
              <w:tc>
                <w:tcPr>
                  <w:tcW w:w="1239" w:type="dxa"/>
                  <w:tcBorders>
                    <w:tl2br w:val="nil"/>
                    <w:tr2bl w:val="nil"/>
                  </w:tcBorders>
                  <w:vAlign w:val="center"/>
                </w:tcPr>
                <w:p w14:paraId="60FC5567">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continue"/>
                  <w:tcBorders>
                    <w:tl2br w:val="nil"/>
                    <w:tr2bl w:val="nil"/>
                  </w:tcBorders>
                  <w:vAlign w:val="center"/>
                </w:tcPr>
                <w:p w14:paraId="5CB521D6">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83" w:type="dxa"/>
                  <w:vMerge w:val="continue"/>
                  <w:tcBorders>
                    <w:tl2br w:val="nil"/>
                    <w:tr2bl w:val="nil"/>
                  </w:tcBorders>
                  <w:vAlign w:val="center"/>
                </w:tcPr>
                <w:p w14:paraId="759DD3EB">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6F19D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426" w:type="dxa"/>
                  <w:tcBorders>
                    <w:tl2br w:val="nil"/>
                    <w:tr2bl w:val="nil"/>
                  </w:tcBorders>
                  <w:vAlign w:val="center"/>
                </w:tcPr>
                <w:p w14:paraId="11461DE1">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8</w:t>
                  </w:r>
                </w:p>
              </w:tc>
              <w:tc>
                <w:tcPr>
                  <w:tcW w:w="1197" w:type="dxa"/>
                  <w:tcBorders>
                    <w:tl2br w:val="nil"/>
                    <w:tr2bl w:val="nil"/>
                  </w:tcBorders>
                  <w:shd w:val="clear" w:color="auto" w:fill="auto"/>
                  <w:vAlign w:val="center"/>
                </w:tcPr>
                <w:p w14:paraId="5A0B899F">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000000"/>
                      <w:kern w:val="0"/>
                      <w:sz w:val="21"/>
                      <w:szCs w:val="21"/>
                    </w:rPr>
                    <w:t>多功能边封机</w:t>
                  </w:r>
                </w:p>
              </w:tc>
              <w:tc>
                <w:tcPr>
                  <w:tcW w:w="449" w:type="dxa"/>
                  <w:tcBorders>
                    <w:tl2br w:val="nil"/>
                    <w:tr2bl w:val="nil"/>
                  </w:tcBorders>
                  <w:vAlign w:val="center"/>
                </w:tcPr>
                <w:p w14:paraId="0614A4AB">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bCs/>
                      <w:color w:val="000000"/>
                      <w:sz w:val="21"/>
                      <w:szCs w:val="21"/>
                    </w:rPr>
                    <w:t>1</w:t>
                  </w:r>
                  <w:r>
                    <w:rPr>
                      <w:rFonts w:ascii="Times New Roman" w:hAnsi="Times New Roman" w:eastAsia="宋体"/>
                      <w:bCs/>
                      <w:color w:val="000000"/>
                      <w:sz w:val="21"/>
                      <w:szCs w:val="21"/>
                    </w:rPr>
                    <w:t>6</w:t>
                  </w:r>
                </w:p>
              </w:tc>
              <w:tc>
                <w:tcPr>
                  <w:tcW w:w="1057" w:type="dxa"/>
                  <w:tcBorders>
                    <w:tl2br w:val="nil"/>
                    <w:tr2bl w:val="nil"/>
                  </w:tcBorders>
                  <w:vAlign w:val="center"/>
                </w:tcPr>
                <w:p w14:paraId="5CB13FFF">
                  <w:pPr>
                    <w:pStyle w:val="6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4" w:type="dxa"/>
                  <w:tcBorders>
                    <w:tl2br w:val="nil"/>
                    <w:tr2bl w:val="nil"/>
                  </w:tcBorders>
                  <w:vAlign w:val="center"/>
                </w:tcPr>
                <w:p w14:paraId="6D14E2F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-2.6</w:t>
                  </w:r>
                </w:p>
              </w:tc>
              <w:tc>
                <w:tcPr>
                  <w:tcW w:w="654" w:type="dxa"/>
                  <w:tcBorders>
                    <w:tl2br w:val="nil"/>
                    <w:tr2bl w:val="nil"/>
                  </w:tcBorders>
                  <w:vAlign w:val="center"/>
                </w:tcPr>
                <w:p w14:paraId="6794DC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63" w:type="dxa"/>
                  <w:tcBorders>
                    <w:tl2br w:val="nil"/>
                    <w:tr2bl w:val="nil"/>
                  </w:tcBorders>
                  <w:vAlign w:val="center"/>
                </w:tcPr>
                <w:p w14:paraId="1E25A1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39" w:type="dxa"/>
                  <w:tcBorders>
                    <w:tl2br w:val="nil"/>
                    <w:tr2bl w:val="nil"/>
                  </w:tcBorders>
                  <w:vAlign w:val="center"/>
                </w:tcPr>
                <w:p w14:paraId="58BD2778">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1056" w:type="dxa"/>
                  <w:vMerge w:val="continue"/>
                  <w:tcBorders>
                    <w:tl2br w:val="nil"/>
                    <w:tr2bl w:val="nil"/>
                  </w:tcBorders>
                  <w:vAlign w:val="center"/>
                </w:tcPr>
                <w:p w14:paraId="16989E6B">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83" w:type="dxa"/>
                  <w:vMerge w:val="continue"/>
                  <w:tcBorders>
                    <w:tl2br w:val="nil"/>
                    <w:tr2bl w:val="nil"/>
                  </w:tcBorders>
                  <w:vAlign w:val="center"/>
                </w:tcPr>
                <w:p w14:paraId="0DD4CE33">
                  <w:pPr>
                    <w:pStyle w:val="65"/>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bl>
          <w:p w14:paraId="5E4C3D0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GB" w:eastAsia="zh-CN"/>
              </w:rPr>
            </w:pPr>
            <w:bookmarkStart w:id="100" w:name="_Toc29557"/>
            <w:r>
              <w:rPr>
                <w:rFonts w:hint="default"/>
                <w:b/>
                <w:color w:val="262626"/>
                <w:kern w:val="0"/>
                <w:sz w:val="24"/>
                <w:lang w:val="en-US" w:eastAsia="zh-CN"/>
              </w:rPr>
              <w:t>4.3.2声环境影响分析</w:t>
            </w:r>
            <w:bookmarkEnd w:id="100"/>
          </w:p>
          <w:p w14:paraId="4A20D922">
            <w:pPr>
              <w:pStyle w:val="37"/>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108A27DD">
            <w:pPr>
              <w:pStyle w:val="37"/>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45F3D48">
            <w:pPr>
              <w:pStyle w:val="37"/>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313A14F8">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r:link="rId16"/>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57C3F45">
            <w:pPr>
              <w:pStyle w:val="37"/>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AC0E511">
            <w:pPr>
              <w:pStyle w:val="37"/>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341A7540">
            <w:pPr>
              <w:pStyle w:val="37"/>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26793876">
            <w:pPr>
              <w:pStyle w:val="37"/>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46225D9D">
            <w:pPr>
              <w:pStyle w:val="37"/>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58A3A9A6">
            <w:pPr>
              <w:pStyle w:val="37"/>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4486FC3E">
            <w:pPr>
              <w:pStyle w:val="37"/>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50655258">
            <w:pPr>
              <w:pStyle w:val="37"/>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28051C95">
            <w:pPr>
              <w:pStyle w:val="37"/>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38D8C1F8">
            <w:pPr>
              <w:pStyle w:val="37"/>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223B9F1E">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r:link="rId18"/>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0116673">
            <w:pPr>
              <w:pStyle w:val="37"/>
              <w:spacing w:line="360" w:lineRule="auto"/>
              <w:ind w:firstLine="480"/>
              <w:rPr>
                <w:rFonts w:cs="Times New Roman"/>
                <w:color w:val="auto"/>
                <w:sz w:val="24"/>
                <w:szCs w:val="24"/>
                <w:highlight w:val="none"/>
              </w:rPr>
            </w:pPr>
            <w:r>
              <w:rPr>
                <w:rFonts w:cs="Times New Roman"/>
                <w:color w:val="auto"/>
                <w:sz w:val="24"/>
                <w:szCs w:val="24"/>
                <w:highlight w:val="none"/>
              </w:rPr>
              <w:t>预测点的A声级LA</w:t>
            </w:r>
            <w:r>
              <w:rPr>
                <w:rFonts w:hint="eastAsia" w:cs="Times New Roman"/>
                <w:color w:val="auto"/>
                <w:sz w:val="24"/>
                <w:szCs w:val="24"/>
                <w:highlight w:val="none"/>
                <w:lang w:eastAsia="zh-CN"/>
              </w:rPr>
              <w:t>（</w:t>
            </w:r>
            <w:r>
              <w:rPr>
                <w:rFonts w:cs="Times New Roman"/>
                <w:color w:val="auto"/>
                <w:sz w:val="24"/>
                <w:szCs w:val="24"/>
                <w:highlight w:val="none"/>
              </w:rPr>
              <w:t>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08E539DF">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r:link="rId20"/>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DDF6508">
            <w:pPr>
              <w:pStyle w:val="37"/>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1AA6A4F">
            <w:pPr>
              <w:pStyle w:val="37"/>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31C6E333">
            <w:pPr>
              <w:pStyle w:val="37"/>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6FF7936B">
            <w:pPr>
              <w:pStyle w:val="37"/>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107B60D7">
            <w:pPr>
              <w:pStyle w:val="37"/>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3359F2B8">
            <w:pPr>
              <w:pStyle w:val="62"/>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1" r:link="rId22"/>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51A8128">
            <w:pPr>
              <w:pStyle w:val="37"/>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35B3E85">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3" r:link="rId24"/>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89CE4D8">
            <w:pPr>
              <w:pStyle w:val="37"/>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1075ADA3">
            <w:pPr>
              <w:pStyle w:val="62"/>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5" r:link="rId26"/>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6D60CE8">
            <w:pPr>
              <w:pStyle w:val="37"/>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8B92376">
            <w:pPr>
              <w:pStyle w:val="37"/>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1721D21C">
            <w:pPr>
              <w:pStyle w:val="37"/>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323EB429">
            <w:pPr>
              <w:pStyle w:val="37"/>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2F2EEEC">
            <w:pPr>
              <w:pStyle w:val="37"/>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7E1F4087">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7" r:link="rId28"/>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3D32BD5">
            <w:pPr>
              <w:pStyle w:val="37"/>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21A67D3D">
            <w:pPr>
              <w:pStyle w:val="37"/>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187B30F3">
            <w:pPr>
              <w:pStyle w:val="37"/>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cs="Times New Roman"/>
                <w:color w:val="auto"/>
                <w:sz w:val="24"/>
                <w:szCs w:val="24"/>
                <w:highlight w:val="none"/>
                <w:shd w:val="clear" w:color="auto" w:fill="FFFFFF"/>
              </w:rPr>
              <w:t>-</w:t>
            </w:r>
            <w:r>
              <w:rPr>
                <w:rFonts w:cs="Times New Roman"/>
                <w:color w:val="auto"/>
                <w:sz w:val="24"/>
                <w:szCs w:val="24"/>
                <w:highlight w:val="none"/>
              </w:rPr>
              <w:t>室内j声源i倍频带的声压级，dB；</w:t>
            </w:r>
          </w:p>
          <w:p w14:paraId="498FE0DE">
            <w:pPr>
              <w:pStyle w:val="37"/>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室内声源总数。</w:t>
            </w:r>
          </w:p>
          <w:p w14:paraId="13AFA386">
            <w:pPr>
              <w:pStyle w:val="37"/>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1D43A604">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r:link="rId30"/>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BC073D6">
            <w:pPr>
              <w:pStyle w:val="37"/>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62BF0332">
            <w:pPr>
              <w:pStyle w:val="37"/>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FF34CD0">
            <w:pPr>
              <w:pStyle w:val="37"/>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1EEBD802">
            <w:pPr>
              <w:pStyle w:val="37"/>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7C9919C4">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426720"/>
                  <wp:effectExtent l="0" t="0" r="11430" b="1143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1" r:link="rId32"/>
                          <a:stretch>
                            <a:fillRect/>
                          </a:stretch>
                        </pic:blipFill>
                        <pic:spPr>
                          <a:xfrm>
                            <a:off x="0" y="0"/>
                            <a:ext cx="1798320" cy="4267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1991F36">
            <w:pPr>
              <w:pStyle w:val="37"/>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1A20190C">
            <w:pPr>
              <w:pStyle w:val="37"/>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54C6DA39">
            <w:pPr>
              <w:pStyle w:val="37"/>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3FA5407A">
            <w:pPr>
              <w:pStyle w:val="37"/>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4DDF0F4B">
            <w:pPr>
              <w:pStyle w:val="62"/>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579120"/>
                  <wp:effectExtent l="0" t="0" r="7620" b="1143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33" r:link="rId34"/>
                          <a:stretch>
                            <a:fillRect/>
                          </a:stretch>
                        </pic:blipFill>
                        <pic:spPr>
                          <a:xfrm>
                            <a:off x="0" y="0"/>
                            <a:ext cx="3268980" cy="5791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202FB14">
            <w:pPr>
              <w:pStyle w:val="37"/>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121B1113">
            <w:pPr>
              <w:pStyle w:val="37"/>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3A84E724">
            <w:pPr>
              <w:pStyle w:val="37"/>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0A10A270">
            <w:pPr>
              <w:pStyle w:val="37"/>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C4A3195">
            <w:pPr>
              <w:pStyle w:val="37"/>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室外声源个数；</w:t>
            </w:r>
          </w:p>
          <w:p w14:paraId="7E3FD9A6">
            <w:pPr>
              <w:pStyle w:val="37"/>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cs="Times New Roman"/>
                <w:color w:val="auto"/>
                <w:sz w:val="24"/>
                <w:szCs w:val="24"/>
                <w:highlight w:val="none"/>
                <w:shd w:val="clear" w:color="auto" w:fill="FFFFFF"/>
              </w:rPr>
              <w:t>-</w:t>
            </w:r>
            <w:r>
              <w:rPr>
                <w:rFonts w:cs="Times New Roman"/>
                <w:color w:val="auto"/>
                <w:sz w:val="24"/>
                <w:szCs w:val="24"/>
                <w:highlight w:val="none"/>
              </w:rPr>
              <w:t>室内声源个数。</w:t>
            </w:r>
          </w:p>
          <w:p w14:paraId="28F63621">
            <w:pPr>
              <w:pStyle w:val="37"/>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42641D3D">
            <w:pPr>
              <w:pStyle w:val="37"/>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49D257D3">
            <w:pPr>
              <w:pStyle w:val="62"/>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502920"/>
                  <wp:effectExtent l="0" t="0" r="7620" b="1143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5" r:link="rId36"/>
                          <a:stretch>
                            <a:fillRect/>
                          </a:stretch>
                        </pic:blipFill>
                        <pic:spPr>
                          <a:xfrm>
                            <a:off x="0" y="0"/>
                            <a:ext cx="2354580" cy="5029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C7561B2">
            <w:pPr>
              <w:pStyle w:val="37"/>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4AFE53E5">
            <w:pPr>
              <w:pStyle w:val="37"/>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64191FC4">
            <w:pPr>
              <w:pStyle w:val="37"/>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BB1C732">
            <w:pPr>
              <w:pStyle w:val="37"/>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项目主要噪声设备大多设置于各建构筑物内，设备噪声经减震、隔声后，可削减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5190D171">
            <w:pPr>
              <w:pStyle w:val="37"/>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0A505BE5">
            <w:pPr>
              <w:spacing w:line="360" w:lineRule="auto"/>
              <w:ind w:firstLine="480" w:firstLineChars="200"/>
              <w:jc w:val="left"/>
              <w:rPr>
                <w:b/>
                <w:bCs/>
                <w:sz w:val="24"/>
              </w:rPr>
            </w:pPr>
            <w:r>
              <w:rPr>
                <w:sz w:val="24"/>
                <w:lang w:val="zh-CN"/>
              </w:rPr>
              <w:t>利用上述模式计算本项目噪声源同时工作时，预测到厂界的噪声最大值及位置，具体预测结果见表</w:t>
            </w:r>
            <w:r>
              <w:rPr>
                <w:rFonts w:hint="eastAsia"/>
                <w:sz w:val="24"/>
              </w:rPr>
              <w:t>4.3-2</w:t>
            </w:r>
            <w:r>
              <w:rPr>
                <w:sz w:val="24"/>
                <w:lang w:val="zh-CN"/>
              </w:rPr>
              <w:t>所示。</w:t>
            </w:r>
          </w:p>
          <w:p w14:paraId="2B0AC95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 厂界噪声预测结果 单位：dB(A)</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0"/>
              <w:gridCol w:w="1733"/>
              <w:gridCol w:w="1375"/>
              <w:gridCol w:w="954"/>
              <w:gridCol w:w="956"/>
              <w:gridCol w:w="1137"/>
              <w:gridCol w:w="1101"/>
              <w:gridCol w:w="943"/>
            </w:tblGrid>
            <w:tr w14:paraId="1B3D5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restart"/>
                  <w:noWrap w:val="0"/>
                  <w:vAlign w:val="center"/>
                </w:tcPr>
                <w:p w14:paraId="51E4937F">
                  <w:pPr>
                    <w:pStyle w:val="63"/>
                    <w:spacing w:before="24" w:after="24" w:line="340" w:lineRule="exact"/>
                    <w:rPr>
                      <w:rFonts w:ascii="Times New Roman"/>
                      <w:color w:val="auto"/>
                      <w:kern w:val="2"/>
                      <w:szCs w:val="21"/>
                    </w:rPr>
                  </w:pPr>
                  <w:r>
                    <w:rPr>
                      <w:rFonts w:ascii="Times New Roman"/>
                      <w:color w:val="auto"/>
                      <w:kern w:val="2"/>
                      <w:szCs w:val="21"/>
                    </w:rPr>
                    <w:t>编号</w:t>
                  </w:r>
                </w:p>
              </w:tc>
              <w:tc>
                <w:tcPr>
                  <w:tcW w:w="984" w:type="pct"/>
                  <w:vMerge w:val="restart"/>
                  <w:noWrap w:val="0"/>
                  <w:vAlign w:val="center"/>
                </w:tcPr>
                <w:p w14:paraId="726C72BB">
                  <w:pPr>
                    <w:pStyle w:val="63"/>
                    <w:spacing w:before="24" w:after="24" w:line="340" w:lineRule="exact"/>
                    <w:rPr>
                      <w:rFonts w:ascii="Times New Roman"/>
                      <w:color w:val="auto"/>
                      <w:kern w:val="2"/>
                      <w:szCs w:val="21"/>
                    </w:rPr>
                  </w:pPr>
                  <w:r>
                    <w:rPr>
                      <w:rFonts w:ascii="Times New Roman"/>
                      <w:color w:val="auto"/>
                      <w:kern w:val="2"/>
                      <w:szCs w:val="21"/>
                    </w:rPr>
                    <w:t>测点位置</w:t>
                  </w:r>
                </w:p>
              </w:tc>
              <w:tc>
                <w:tcPr>
                  <w:tcW w:w="781" w:type="pct"/>
                  <w:vMerge w:val="restart"/>
                  <w:noWrap w:val="0"/>
                  <w:vAlign w:val="center"/>
                </w:tcPr>
                <w:p w14:paraId="0AC04451">
                  <w:pPr>
                    <w:pStyle w:val="63"/>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085" w:type="pct"/>
                  <w:gridSpan w:val="2"/>
                  <w:noWrap w:val="0"/>
                  <w:vAlign w:val="center"/>
                </w:tcPr>
                <w:p w14:paraId="610BD175">
                  <w:pPr>
                    <w:pStyle w:val="63"/>
                    <w:spacing w:before="24" w:after="24" w:line="340" w:lineRule="exact"/>
                    <w:rPr>
                      <w:rFonts w:ascii="Times New Roman"/>
                      <w:color w:val="auto"/>
                      <w:kern w:val="2"/>
                      <w:szCs w:val="21"/>
                    </w:rPr>
                  </w:pPr>
                  <w:r>
                    <w:rPr>
                      <w:rFonts w:ascii="Times New Roman"/>
                      <w:color w:val="auto"/>
                      <w:kern w:val="2"/>
                      <w:szCs w:val="21"/>
                    </w:rPr>
                    <w:t>影响贡献值</w:t>
                  </w:r>
                </w:p>
              </w:tc>
              <w:tc>
                <w:tcPr>
                  <w:tcW w:w="1271" w:type="pct"/>
                  <w:gridSpan w:val="2"/>
                  <w:noWrap w:val="0"/>
                  <w:vAlign w:val="center"/>
                </w:tcPr>
                <w:p w14:paraId="433E95B1">
                  <w:pPr>
                    <w:pStyle w:val="63"/>
                    <w:spacing w:before="24" w:after="24" w:line="340" w:lineRule="exact"/>
                    <w:rPr>
                      <w:rFonts w:ascii="Times New Roman"/>
                      <w:color w:val="auto"/>
                      <w:kern w:val="2"/>
                      <w:szCs w:val="21"/>
                    </w:rPr>
                  </w:pPr>
                  <w:r>
                    <w:rPr>
                      <w:rFonts w:ascii="Times New Roman"/>
                      <w:color w:val="auto"/>
                      <w:kern w:val="2"/>
                      <w:szCs w:val="21"/>
                    </w:rPr>
                    <w:t>标准值</w:t>
                  </w:r>
                </w:p>
              </w:tc>
              <w:tc>
                <w:tcPr>
                  <w:tcW w:w="535" w:type="pct"/>
                  <w:vMerge w:val="restart"/>
                  <w:noWrap w:val="0"/>
                  <w:vAlign w:val="center"/>
                </w:tcPr>
                <w:p w14:paraId="041AF7D6">
                  <w:pPr>
                    <w:pStyle w:val="63"/>
                    <w:spacing w:before="24" w:after="24" w:line="340" w:lineRule="exact"/>
                    <w:rPr>
                      <w:rFonts w:ascii="Times New Roman"/>
                      <w:color w:val="auto"/>
                      <w:kern w:val="2"/>
                      <w:szCs w:val="21"/>
                    </w:rPr>
                  </w:pPr>
                  <w:r>
                    <w:rPr>
                      <w:rFonts w:ascii="Times New Roman"/>
                      <w:color w:val="auto"/>
                      <w:kern w:val="2"/>
                      <w:szCs w:val="21"/>
                    </w:rPr>
                    <w:t>达标情况</w:t>
                  </w:r>
                </w:p>
              </w:tc>
            </w:tr>
            <w:tr w14:paraId="09621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continue"/>
                  <w:noWrap w:val="0"/>
                  <w:vAlign w:val="center"/>
                </w:tcPr>
                <w:p w14:paraId="42EDB8BD">
                  <w:pPr>
                    <w:pStyle w:val="63"/>
                    <w:spacing w:before="24" w:after="24" w:line="340" w:lineRule="exact"/>
                    <w:rPr>
                      <w:rFonts w:ascii="Times New Roman"/>
                      <w:color w:val="auto"/>
                      <w:kern w:val="2"/>
                      <w:szCs w:val="21"/>
                    </w:rPr>
                  </w:pPr>
                </w:p>
              </w:tc>
              <w:tc>
                <w:tcPr>
                  <w:tcW w:w="984" w:type="pct"/>
                  <w:vMerge w:val="continue"/>
                  <w:noWrap w:val="0"/>
                  <w:vAlign w:val="center"/>
                </w:tcPr>
                <w:p w14:paraId="3ECA2225">
                  <w:pPr>
                    <w:pStyle w:val="63"/>
                    <w:spacing w:before="24" w:after="24" w:line="340" w:lineRule="exact"/>
                    <w:rPr>
                      <w:rFonts w:ascii="Times New Roman"/>
                      <w:color w:val="auto"/>
                      <w:kern w:val="2"/>
                      <w:szCs w:val="21"/>
                    </w:rPr>
                  </w:pPr>
                </w:p>
              </w:tc>
              <w:tc>
                <w:tcPr>
                  <w:tcW w:w="781" w:type="pct"/>
                  <w:vMerge w:val="continue"/>
                  <w:noWrap w:val="0"/>
                  <w:vAlign w:val="center"/>
                </w:tcPr>
                <w:p w14:paraId="21FBF07F">
                  <w:pPr>
                    <w:pStyle w:val="63"/>
                    <w:spacing w:before="24" w:after="24" w:line="340" w:lineRule="exact"/>
                    <w:rPr>
                      <w:rFonts w:hint="eastAsia" w:ascii="Times New Roman"/>
                      <w:color w:val="auto"/>
                      <w:kern w:val="2"/>
                      <w:szCs w:val="21"/>
                    </w:rPr>
                  </w:pPr>
                </w:p>
              </w:tc>
              <w:tc>
                <w:tcPr>
                  <w:tcW w:w="542" w:type="pct"/>
                  <w:noWrap w:val="0"/>
                  <w:vAlign w:val="center"/>
                </w:tcPr>
                <w:p w14:paraId="1F252958">
                  <w:pPr>
                    <w:pStyle w:val="63"/>
                    <w:spacing w:before="24" w:after="24" w:line="340" w:lineRule="exact"/>
                    <w:rPr>
                      <w:rFonts w:hint="eastAsia" w:ascii="Times New Roman"/>
                      <w:color w:val="auto"/>
                      <w:kern w:val="2"/>
                      <w:szCs w:val="21"/>
                    </w:rPr>
                  </w:pPr>
                  <w:r>
                    <w:rPr>
                      <w:rFonts w:hint="eastAsia" w:ascii="Times New Roman"/>
                      <w:color w:val="auto"/>
                      <w:kern w:val="2"/>
                      <w:szCs w:val="21"/>
                    </w:rPr>
                    <w:t>昼间</w:t>
                  </w:r>
                </w:p>
              </w:tc>
              <w:tc>
                <w:tcPr>
                  <w:tcW w:w="542" w:type="pct"/>
                  <w:noWrap w:val="0"/>
                  <w:vAlign w:val="center"/>
                </w:tcPr>
                <w:p w14:paraId="03906C64">
                  <w:pPr>
                    <w:pStyle w:val="63"/>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646" w:type="pct"/>
                  <w:noWrap w:val="0"/>
                  <w:vAlign w:val="center"/>
                </w:tcPr>
                <w:p w14:paraId="08B0D3E5">
                  <w:pPr>
                    <w:pStyle w:val="63"/>
                    <w:spacing w:before="24" w:after="24" w:line="340" w:lineRule="exact"/>
                    <w:rPr>
                      <w:rFonts w:hint="eastAsia" w:ascii="Times New Roman"/>
                      <w:color w:val="auto"/>
                      <w:kern w:val="2"/>
                      <w:szCs w:val="21"/>
                    </w:rPr>
                  </w:pPr>
                  <w:r>
                    <w:rPr>
                      <w:rFonts w:ascii="Times New Roman"/>
                      <w:color w:val="auto"/>
                      <w:kern w:val="2"/>
                      <w:szCs w:val="21"/>
                    </w:rPr>
                    <w:t>昼间</w:t>
                  </w:r>
                </w:p>
              </w:tc>
              <w:tc>
                <w:tcPr>
                  <w:tcW w:w="625" w:type="pct"/>
                  <w:noWrap w:val="0"/>
                  <w:vAlign w:val="center"/>
                </w:tcPr>
                <w:p w14:paraId="3E15A43C">
                  <w:pPr>
                    <w:pStyle w:val="63"/>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535" w:type="pct"/>
                  <w:vMerge w:val="continue"/>
                  <w:noWrap w:val="0"/>
                  <w:vAlign w:val="center"/>
                </w:tcPr>
                <w:p w14:paraId="06318CAE">
                  <w:pPr>
                    <w:pStyle w:val="63"/>
                    <w:spacing w:before="24" w:after="24" w:line="340" w:lineRule="exact"/>
                    <w:rPr>
                      <w:rFonts w:ascii="Times New Roman"/>
                      <w:color w:val="auto"/>
                      <w:kern w:val="2"/>
                      <w:szCs w:val="21"/>
                    </w:rPr>
                  </w:pPr>
                </w:p>
              </w:tc>
            </w:tr>
            <w:tr w14:paraId="3F02D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FE8B509">
                  <w:pPr>
                    <w:pStyle w:val="63"/>
                    <w:spacing w:before="24" w:after="24" w:line="340" w:lineRule="exact"/>
                    <w:rPr>
                      <w:rFonts w:ascii="Times New Roman"/>
                      <w:color w:val="auto"/>
                      <w:kern w:val="2"/>
                      <w:szCs w:val="21"/>
                    </w:rPr>
                  </w:pPr>
                  <w:r>
                    <w:rPr>
                      <w:rFonts w:ascii="Times New Roman"/>
                      <w:color w:val="auto"/>
                      <w:kern w:val="2"/>
                      <w:szCs w:val="21"/>
                    </w:rPr>
                    <w:t>1</w:t>
                  </w:r>
                </w:p>
              </w:tc>
              <w:tc>
                <w:tcPr>
                  <w:tcW w:w="984" w:type="pct"/>
                  <w:noWrap w:val="0"/>
                  <w:vAlign w:val="center"/>
                </w:tcPr>
                <w:p w14:paraId="25AA700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781" w:type="pct"/>
                  <w:vMerge w:val="restart"/>
                  <w:noWrap w:val="0"/>
                  <w:vAlign w:val="center"/>
                </w:tcPr>
                <w:p w14:paraId="44F39C27">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542" w:type="pct"/>
                  <w:noWrap w:val="0"/>
                  <w:vAlign w:val="center"/>
                </w:tcPr>
                <w:p w14:paraId="35817312">
                  <w:pPr>
                    <w:spacing w:line="340" w:lineRule="exact"/>
                    <w:jc w:val="center"/>
                    <w:rPr>
                      <w:rFonts w:hint="default" w:eastAsia="宋体"/>
                      <w:color w:val="auto"/>
                      <w:szCs w:val="21"/>
                      <w:lang w:val="en-US" w:eastAsia="zh-CN"/>
                    </w:rPr>
                  </w:pPr>
                  <w:r>
                    <w:rPr>
                      <w:rFonts w:hint="eastAsia"/>
                      <w:color w:val="auto"/>
                      <w:szCs w:val="21"/>
                      <w:lang w:val="en-US" w:eastAsia="zh-CN"/>
                    </w:rPr>
                    <w:t>58.1</w:t>
                  </w:r>
                </w:p>
              </w:tc>
              <w:tc>
                <w:tcPr>
                  <w:tcW w:w="542" w:type="pct"/>
                  <w:shd w:val="clear" w:color="auto" w:fill="auto"/>
                  <w:noWrap w:val="0"/>
                  <w:vAlign w:val="center"/>
                </w:tcPr>
                <w:p w14:paraId="0F3B4A2E">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49.2</w:t>
                  </w:r>
                </w:p>
              </w:tc>
              <w:tc>
                <w:tcPr>
                  <w:tcW w:w="646" w:type="pct"/>
                  <w:vMerge w:val="restart"/>
                  <w:noWrap w:val="0"/>
                  <w:vAlign w:val="center"/>
                </w:tcPr>
                <w:p w14:paraId="67A13477">
                  <w:pPr>
                    <w:widowControl/>
                    <w:spacing w:line="340" w:lineRule="exact"/>
                    <w:jc w:val="center"/>
                    <w:rPr>
                      <w:color w:val="auto"/>
                      <w:szCs w:val="21"/>
                    </w:rPr>
                  </w:pPr>
                  <w:r>
                    <w:rPr>
                      <w:color w:val="auto"/>
                      <w:szCs w:val="21"/>
                    </w:rPr>
                    <w:t>65</w:t>
                  </w:r>
                </w:p>
              </w:tc>
              <w:tc>
                <w:tcPr>
                  <w:tcW w:w="625" w:type="pct"/>
                  <w:vMerge w:val="restart"/>
                  <w:noWrap w:val="0"/>
                  <w:vAlign w:val="center"/>
                </w:tcPr>
                <w:p w14:paraId="3B64C7EC">
                  <w:pPr>
                    <w:widowControl/>
                    <w:spacing w:line="340" w:lineRule="exact"/>
                    <w:jc w:val="center"/>
                    <w:rPr>
                      <w:rFonts w:hint="default" w:eastAsia="宋体"/>
                      <w:color w:val="auto"/>
                      <w:szCs w:val="21"/>
                      <w:lang w:val="en-US" w:eastAsia="zh-CN"/>
                    </w:rPr>
                  </w:pPr>
                  <w:r>
                    <w:rPr>
                      <w:rFonts w:hint="eastAsia"/>
                      <w:color w:val="auto"/>
                      <w:szCs w:val="21"/>
                      <w:lang w:val="en-US" w:eastAsia="zh-CN"/>
                    </w:rPr>
                    <w:t>55</w:t>
                  </w:r>
                </w:p>
              </w:tc>
              <w:tc>
                <w:tcPr>
                  <w:tcW w:w="535" w:type="pct"/>
                  <w:vMerge w:val="restart"/>
                  <w:noWrap w:val="0"/>
                  <w:vAlign w:val="center"/>
                </w:tcPr>
                <w:p w14:paraId="77387246">
                  <w:pPr>
                    <w:widowControl/>
                    <w:spacing w:line="340" w:lineRule="exact"/>
                    <w:jc w:val="center"/>
                    <w:rPr>
                      <w:color w:val="auto"/>
                      <w:szCs w:val="21"/>
                    </w:rPr>
                  </w:pPr>
                  <w:r>
                    <w:rPr>
                      <w:color w:val="auto"/>
                      <w:szCs w:val="21"/>
                    </w:rPr>
                    <w:t>达标</w:t>
                  </w:r>
                </w:p>
              </w:tc>
            </w:tr>
            <w:tr w14:paraId="4FC41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34E7EFE">
                  <w:pPr>
                    <w:pStyle w:val="63"/>
                    <w:spacing w:before="24" w:after="24" w:line="340" w:lineRule="exact"/>
                    <w:rPr>
                      <w:rFonts w:ascii="Times New Roman"/>
                      <w:color w:val="auto"/>
                      <w:kern w:val="2"/>
                      <w:szCs w:val="21"/>
                    </w:rPr>
                  </w:pPr>
                  <w:r>
                    <w:rPr>
                      <w:rFonts w:hint="eastAsia" w:ascii="Times New Roman"/>
                      <w:color w:val="auto"/>
                      <w:kern w:val="2"/>
                      <w:szCs w:val="21"/>
                    </w:rPr>
                    <w:t>2</w:t>
                  </w:r>
                </w:p>
              </w:tc>
              <w:tc>
                <w:tcPr>
                  <w:tcW w:w="984" w:type="pct"/>
                  <w:noWrap w:val="0"/>
                  <w:vAlign w:val="center"/>
                </w:tcPr>
                <w:p w14:paraId="3F737808">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781" w:type="pct"/>
                  <w:vMerge w:val="continue"/>
                  <w:noWrap w:val="0"/>
                  <w:vAlign w:val="center"/>
                </w:tcPr>
                <w:p w14:paraId="7840E840">
                  <w:pPr>
                    <w:adjustRightInd w:val="0"/>
                    <w:spacing w:line="340" w:lineRule="exact"/>
                    <w:jc w:val="center"/>
                    <w:rPr>
                      <w:rFonts w:hint="eastAsia"/>
                      <w:snapToGrid w:val="0"/>
                      <w:color w:val="auto"/>
                      <w:szCs w:val="21"/>
                    </w:rPr>
                  </w:pPr>
                </w:p>
              </w:tc>
              <w:tc>
                <w:tcPr>
                  <w:tcW w:w="542" w:type="pct"/>
                  <w:noWrap w:val="0"/>
                  <w:vAlign w:val="center"/>
                </w:tcPr>
                <w:p w14:paraId="1463B52E">
                  <w:pPr>
                    <w:spacing w:line="340" w:lineRule="exact"/>
                    <w:jc w:val="center"/>
                    <w:rPr>
                      <w:rFonts w:hint="default" w:eastAsia="宋体"/>
                      <w:color w:val="auto"/>
                      <w:szCs w:val="21"/>
                      <w:lang w:val="en-US" w:eastAsia="zh-CN"/>
                    </w:rPr>
                  </w:pPr>
                  <w:r>
                    <w:rPr>
                      <w:rFonts w:hint="eastAsia"/>
                      <w:color w:val="auto"/>
                      <w:szCs w:val="21"/>
                      <w:lang w:val="en-US" w:eastAsia="zh-CN"/>
                    </w:rPr>
                    <w:t>59.3</w:t>
                  </w:r>
                </w:p>
              </w:tc>
              <w:tc>
                <w:tcPr>
                  <w:tcW w:w="542" w:type="pct"/>
                  <w:shd w:val="clear" w:color="auto" w:fill="auto"/>
                  <w:noWrap w:val="0"/>
                  <w:vAlign w:val="center"/>
                </w:tcPr>
                <w:p w14:paraId="34F0F8BB">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52.5</w:t>
                  </w:r>
                </w:p>
              </w:tc>
              <w:tc>
                <w:tcPr>
                  <w:tcW w:w="646" w:type="pct"/>
                  <w:vMerge w:val="continue"/>
                  <w:noWrap w:val="0"/>
                  <w:vAlign w:val="center"/>
                </w:tcPr>
                <w:p w14:paraId="64F099C9">
                  <w:pPr>
                    <w:widowControl/>
                    <w:spacing w:line="340" w:lineRule="exact"/>
                    <w:jc w:val="center"/>
                    <w:rPr>
                      <w:rFonts w:hint="eastAsia"/>
                      <w:color w:val="auto"/>
                      <w:szCs w:val="21"/>
                    </w:rPr>
                  </w:pPr>
                </w:p>
              </w:tc>
              <w:tc>
                <w:tcPr>
                  <w:tcW w:w="625" w:type="pct"/>
                  <w:vMerge w:val="continue"/>
                  <w:noWrap w:val="0"/>
                  <w:vAlign w:val="center"/>
                </w:tcPr>
                <w:p w14:paraId="1B1833EA">
                  <w:pPr>
                    <w:widowControl/>
                    <w:spacing w:line="340" w:lineRule="exact"/>
                    <w:jc w:val="center"/>
                    <w:rPr>
                      <w:rFonts w:hint="eastAsia"/>
                      <w:color w:val="auto"/>
                      <w:szCs w:val="21"/>
                    </w:rPr>
                  </w:pPr>
                </w:p>
              </w:tc>
              <w:tc>
                <w:tcPr>
                  <w:tcW w:w="535" w:type="pct"/>
                  <w:vMerge w:val="continue"/>
                  <w:noWrap w:val="0"/>
                  <w:vAlign w:val="center"/>
                </w:tcPr>
                <w:p w14:paraId="7A281713">
                  <w:pPr>
                    <w:widowControl/>
                    <w:spacing w:line="340" w:lineRule="exact"/>
                    <w:jc w:val="center"/>
                    <w:rPr>
                      <w:color w:val="auto"/>
                      <w:szCs w:val="21"/>
                    </w:rPr>
                  </w:pPr>
                </w:p>
              </w:tc>
            </w:tr>
            <w:tr w14:paraId="2D419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581F3376">
                  <w:pPr>
                    <w:pStyle w:val="63"/>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984" w:type="pct"/>
                  <w:noWrap w:val="0"/>
                  <w:vAlign w:val="center"/>
                </w:tcPr>
                <w:p w14:paraId="6AC74C2B">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781" w:type="pct"/>
                  <w:vMerge w:val="continue"/>
                  <w:noWrap w:val="0"/>
                  <w:vAlign w:val="center"/>
                </w:tcPr>
                <w:p w14:paraId="0B503DE3">
                  <w:pPr>
                    <w:adjustRightInd w:val="0"/>
                    <w:spacing w:line="340" w:lineRule="exact"/>
                    <w:jc w:val="center"/>
                    <w:rPr>
                      <w:rFonts w:hint="eastAsia"/>
                      <w:snapToGrid w:val="0"/>
                      <w:color w:val="auto"/>
                      <w:szCs w:val="21"/>
                    </w:rPr>
                  </w:pPr>
                </w:p>
              </w:tc>
              <w:tc>
                <w:tcPr>
                  <w:tcW w:w="542" w:type="pct"/>
                  <w:noWrap w:val="0"/>
                  <w:vAlign w:val="center"/>
                </w:tcPr>
                <w:p w14:paraId="532C1E11">
                  <w:pPr>
                    <w:spacing w:line="340" w:lineRule="exact"/>
                    <w:jc w:val="center"/>
                    <w:rPr>
                      <w:rFonts w:hint="default" w:eastAsia="宋体"/>
                      <w:color w:val="auto"/>
                      <w:szCs w:val="21"/>
                      <w:lang w:val="en-US" w:eastAsia="zh-CN"/>
                    </w:rPr>
                  </w:pPr>
                  <w:r>
                    <w:rPr>
                      <w:rFonts w:hint="eastAsia"/>
                      <w:color w:val="auto"/>
                      <w:szCs w:val="21"/>
                      <w:lang w:val="en-US" w:eastAsia="zh-CN"/>
                    </w:rPr>
                    <w:t>58.6</w:t>
                  </w:r>
                </w:p>
              </w:tc>
              <w:tc>
                <w:tcPr>
                  <w:tcW w:w="542" w:type="pct"/>
                  <w:shd w:val="clear" w:color="auto" w:fill="auto"/>
                  <w:noWrap w:val="0"/>
                  <w:vAlign w:val="center"/>
                </w:tcPr>
                <w:p w14:paraId="6E28DCB9">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51.6</w:t>
                  </w:r>
                </w:p>
              </w:tc>
              <w:tc>
                <w:tcPr>
                  <w:tcW w:w="646" w:type="pct"/>
                  <w:vMerge w:val="continue"/>
                  <w:noWrap w:val="0"/>
                  <w:vAlign w:val="center"/>
                </w:tcPr>
                <w:p w14:paraId="5DC66EDB">
                  <w:pPr>
                    <w:widowControl/>
                    <w:spacing w:line="340" w:lineRule="exact"/>
                    <w:jc w:val="center"/>
                    <w:rPr>
                      <w:rFonts w:hint="eastAsia"/>
                      <w:color w:val="auto"/>
                      <w:szCs w:val="21"/>
                    </w:rPr>
                  </w:pPr>
                </w:p>
              </w:tc>
              <w:tc>
                <w:tcPr>
                  <w:tcW w:w="625" w:type="pct"/>
                  <w:vMerge w:val="continue"/>
                  <w:noWrap w:val="0"/>
                  <w:vAlign w:val="center"/>
                </w:tcPr>
                <w:p w14:paraId="4FEEA4F7">
                  <w:pPr>
                    <w:widowControl/>
                    <w:spacing w:line="340" w:lineRule="exact"/>
                    <w:jc w:val="center"/>
                    <w:rPr>
                      <w:rFonts w:hint="eastAsia"/>
                      <w:color w:val="auto"/>
                      <w:szCs w:val="21"/>
                    </w:rPr>
                  </w:pPr>
                </w:p>
              </w:tc>
              <w:tc>
                <w:tcPr>
                  <w:tcW w:w="535" w:type="pct"/>
                  <w:vMerge w:val="continue"/>
                  <w:noWrap w:val="0"/>
                  <w:vAlign w:val="center"/>
                </w:tcPr>
                <w:p w14:paraId="756D5511">
                  <w:pPr>
                    <w:widowControl/>
                    <w:spacing w:line="340" w:lineRule="exact"/>
                    <w:jc w:val="center"/>
                    <w:rPr>
                      <w:color w:val="auto"/>
                      <w:szCs w:val="21"/>
                    </w:rPr>
                  </w:pPr>
                </w:p>
              </w:tc>
            </w:tr>
            <w:tr w14:paraId="6FD98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70A81C1">
                  <w:pPr>
                    <w:pStyle w:val="63"/>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984" w:type="pct"/>
                  <w:noWrap w:val="0"/>
                  <w:vAlign w:val="center"/>
                </w:tcPr>
                <w:p w14:paraId="79B8CD19">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781" w:type="pct"/>
                  <w:vMerge w:val="continue"/>
                  <w:noWrap w:val="0"/>
                  <w:vAlign w:val="center"/>
                </w:tcPr>
                <w:p w14:paraId="6C1717CA">
                  <w:pPr>
                    <w:spacing w:line="340" w:lineRule="exact"/>
                    <w:jc w:val="center"/>
                    <w:rPr>
                      <w:rFonts w:hint="eastAsia"/>
                      <w:color w:val="auto"/>
                      <w:szCs w:val="21"/>
                    </w:rPr>
                  </w:pPr>
                </w:p>
              </w:tc>
              <w:tc>
                <w:tcPr>
                  <w:tcW w:w="542" w:type="pct"/>
                  <w:noWrap w:val="0"/>
                  <w:vAlign w:val="center"/>
                </w:tcPr>
                <w:p w14:paraId="417A966A">
                  <w:pPr>
                    <w:spacing w:line="340" w:lineRule="exact"/>
                    <w:jc w:val="center"/>
                    <w:rPr>
                      <w:rFonts w:hint="default" w:eastAsia="宋体"/>
                      <w:color w:val="auto"/>
                      <w:szCs w:val="21"/>
                      <w:lang w:val="en-US" w:eastAsia="zh-CN"/>
                    </w:rPr>
                  </w:pPr>
                  <w:r>
                    <w:rPr>
                      <w:rFonts w:hint="eastAsia"/>
                      <w:color w:val="auto"/>
                      <w:szCs w:val="21"/>
                      <w:lang w:val="en-US" w:eastAsia="zh-CN"/>
                    </w:rPr>
                    <w:t>57.2</w:t>
                  </w:r>
                </w:p>
              </w:tc>
              <w:tc>
                <w:tcPr>
                  <w:tcW w:w="542" w:type="pct"/>
                  <w:shd w:val="clear" w:color="auto" w:fill="auto"/>
                  <w:noWrap w:val="0"/>
                  <w:vAlign w:val="center"/>
                </w:tcPr>
                <w:p w14:paraId="3F025931">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52.4</w:t>
                  </w:r>
                </w:p>
              </w:tc>
              <w:tc>
                <w:tcPr>
                  <w:tcW w:w="646" w:type="pct"/>
                  <w:vMerge w:val="continue"/>
                  <w:noWrap w:val="0"/>
                  <w:vAlign w:val="center"/>
                </w:tcPr>
                <w:p w14:paraId="3CC88FCE">
                  <w:pPr>
                    <w:widowControl/>
                    <w:spacing w:line="340" w:lineRule="exact"/>
                    <w:jc w:val="center"/>
                    <w:rPr>
                      <w:color w:val="auto"/>
                      <w:szCs w:val="21"/>
                    </w:rPr>
                  </w:pPr>
                </w:p>
              </w:tc>
              <w:tc>
                <w:tcPr>
                  <w:tcW w:w="625" w:type="pct"/>
                  <w:vMerge w:val="continue"/>
                  <w:noWrap w:val="0"/>
                  <w:vAlign w:val="center"/>
                </w:tcPr>
                <w:p w14:paraId="6DB78FBC">
                  <w:pPr>
                    <w:widowControl/>
                    <w:spacing w:line="340" w:lineRule="exact"/>
                    <w:jc w:val="center"/>
                    <w:rPr>
                      <w:color w:val="auto"/>
                      <w:szCs w:val="21"/>
                    </w:rPr>
                  </w:pPr>
                </w:p>
              </w:tc>
              <w:tc>
                <w:tcPr>
                  <w:tcW w:w="535" w:type="pct"/>
                  <w:vMerge w:val="continue"/>
                  <w:noWrap w:val="0"/>
                  <w:vAlign w:val="center"/>
                </w:tcPr>
                <w:p w14:paraId="7F08D9EC">
                  <w:pPr>
                    <w:widowControl/>
                    <w:spacing w:line="340" w:lineRule="exact"/>
                    <w:jc w:val="center"/>
                    <w:rPr>
                      <w:color w:val="auto"/>
                      <w:szCs w:val="21"/>
                    </w:rPr>
                  </w:pPr>
                </w:p>
              </w:tc>
            </w:tr>
          </w:tbl>
          <w:p w14:paraId="71983FAA">
            <w:pPr>
              <w:pStyle w:val="60"/>
              <w:spacing w:line="360" w:lineRule="auto"/>
              <w:ind w:firstLine="480"/>
              <w:rPr>
                <w:rFonts w:ascii="Times New Roman" w:hAnsi="Times New Roman"/>
                <w:bCs w:val="0"/>
                <w:szCs w:val="24"/>
              </w:rPr>
            </w:pPr>
            <w:r>
              <w:rPr>
                <w:rFonts w:ascii="Times New Roman" w:hAnsi="Times New Roman"/>
                <w:bCs w:val="0"/>
                <w:szCs w:val="24"/>
                <w:lang w:val="zh-CN"/>
              </w:rPr>
              <w:t>根据表</w:t>
            </w:r>
            <w:r>
              <w:rPr>
                <w:rFonts w:ascii="Times New Roman" w:hAnsi="Times New Roman"/>
                <w:bCs w:val="0"/>
                <w:szCs w:val="24"/>
              </w:rPr>
              <w:t>4.3-2</w:t>
            </w:r>
            <w:r>
              <w:rPr>
                <w:rFonts w:ascii="Times New Roman" w:hAnsi="Times New Roman"/>
                <w:bCs w:val="0"/>
                <w:szCs w:val="24"/>
                <w:lang w:val="zh-CN"/>
              </w:rPr>
              <w:t>预测结果表明，项目主要噪声源在采取有效的降噪措施前提下，项目边界噪声均可满足《工业企业厂界环境噪声排放标准》</w:t>
            </w:r>
            <w:r>
              <w:rPr>
                <w:rFonts w:hint="eastAsia"/>
                <w:bCs w:val="0"/>
                <w:szCs w:val="24"/>
                <w:lang w:val="zh-CN"/>
              </w:rPr>
              <w:t>（</w:t>
            </w:r>
            <w:r>
              <w:rPr>
                <w:rFonts w:ascii="Times New Roman" w:hAnsi="Times New Roman"/>
                <w:bCs w:val="0"/>
                <w:szCs w:val="24"/>
                <w:lang w:val="zh-CN"/>
              </w:rPr>
              <w:t>GB12348-2008</w:t>
            </w:r>
            <w:r>
              <w:rPr>
                <w:rFonts w:hint="eastAsia"/>
                <w:bCs w:val="0"/>
                <w:szCs w:val="24"/>
                <w:lang w:val="zh-CN"/>
              </w:rPr>
              <w:t>）</w:t>
            </w:r>
            <w:r>
              <w:rPr>
                <w:rFonts w:ascii="Times New Roman" w:hAnsi="Times New Roman"/>
                <w:bCs w:val="0"/>
                <w:szCs w:val="24"/>
                <w:lang w:val="zh-CN"/>
              </w:rPr>
              <w:t>中3类标准。</w:t>
            </w:r>
          </w:p>
          <w:p w14:paraId="715E3777">
            <w:pPr>
              <w:pStyle w:val="51"/>
              <w:ind w:firstLine="480"/>
              <w:rPr>
                <w:rFonts w:ascii="Times New Roman" w:hAnsi="Times New Roman"/>
                <w:sz w:val="24"/>
                <w:szCs w:val="24"/>
                <w:lang w:val="zh-CN"/>
              </w:rPr>
            </w:pPr>
            <w:r>
              <w:rPr>
                <w:rFonts w:hint="eastAsia" w:ascii="Times New Roman" w:hAnsi="Times New Roman"/>
                <w:sz w:val="24"/>
                <w:szCs w:val="24"/>
                <w:lang w:val="zh-CN"/>
              </w:rPr>
              <w:t>（</w:t>
            </w:r>
            <w:r>
              <w:rPr>
                <w:rFonts w:hint="eastAsia" w:ascii="Times New Roman" w:hAnsi="Times New Roman"/>
                <w:sz w:val="24"/>
                <w:szCs w:val="24"/>
                <w:lang w:val="en-US" w:eastAsia="zh-CN"/>
              </w:rPr>
              <w:t>7</w:t>
            </w:r>
            <w:r>
              <w:rPr>
                <w:rFonts w:hint="eastAsia" w:ascii="Times New Roman" w:hAnsi="Times New Roman"/>
                <w:sz w:val="24"/>
                <w:szCs w:val="24"/>
                <w:lang w:val="zh-CN"/>
              </w:rPr>
              <w:t>）</w:t>
            </w:r>
            <w:r>
              <w:rPr>
                <w:rFonts w:ascii="Times New Roman" w:hAnsi="Times New Roman"/>
                <w:sz w:val="24"/>
                <w:szCs w:val="24"/>
                <w:lang w:val="zh-CN"/>
              </w:rPr>
              <w:t>敏感点噪声预测结果分析</w:t>
            </w:r>
          </w:p>
          <w:p w14:paraId="7685D925">
            <w:pPr>
              <w:spacing w:line="360" w:lineRule="auto"/>
              <w:ind w:firstLine="480"/>
              <w:rPr>
                <w:sz w:val="24"/>
                <w:lang w:val="zh-CN"/>
              </w:rPr>
            </w:pPr>
            <w:r>
              <w:rPr>
                <w:rFonts w:hint="eastAsia"/>
                <w:sz w:val="24"/>
                <w:lang w:val="zh-CN"/>
              </w:rPr>
              <w:t>根据现场勘查，项目</w:t>
            </w:r>
            <w:r>
              <w:rPr>
                <w:sz w:val="24"/>
                <w:lang w:val="zh-CN"/>
              </w:rPr>
              <w:t>周边</w:t>
            </w:r>
            <w:r>
              <w:rPr>
                <w:rFonts w:hint="eastAsia"/>
                <w:sz w:val="24"/>
              </w:rPr>
              <w:t>5</w:t>
            </w:r>
            <w:r>
              <w:rPr>
                <w:sz w:val="24"/>
              </w:rPr>
              <w:t>0m范围内</w:t>
            </w:r>
            <w:r>
              <w:rPr>
                <w:rFonts w:hint="eastAsia"/>
                <w:sz w:val="24"/>
              </w:rPr>
              <w:t>无</w:t>
            </w:r>
            <w:r>
              <w:rPr>
                <w:sz w:val="24"/>
              </w:rPr>
              <w:t>声环境</w:t>
            </w:r>
            <w:r>
              <w:rPr>
                <w:rFonts w:hint="eastAsia"/>
                <w:sz w:val="24"/>
              </w:rPr>
              <w:t>保护目标</w:t>
            </w:r>
            <w:r>
              <w:rPr>
                <w:sz w:val="24"/>
                <w:lang w:val="zh-CN"/>
              </w:rPr>
              <w:t>。</w:t>
            </w:r>
          </w:p>
          <w:p w14:paraId="00547D2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01" w:name="_Toc31999"/>
            <w:bookmarkStart w:id="102" w:name="_Toc25273"/>
            <w:r>
              <w:rPr>
                <w:rFonts w:hint="default"/>
                <w:b/>
                <w:color w:val="262626"/>
                <w:kern w:val="0"/>
                <w:sz w:val="24"/>
                <w:lang w:val="en-US" w:eastAsia="zh-CN"/>
              </w:rPr>
              <w:t>4.3.3</w:t>
            </w:r>
            <w:r>
              <w:rPr>
                <w:rFonts w:hint="default"/>
                <w:b/>
                <w:color w:val="262626"/>
                <w:kern w:val="0"/>
                <w:sz w:val="24"/>
                <w:lang w:val="zh-CN" w:eastAsia="zh-CN"/>
              </w:rPr>
              <w:t>噪声污染控制措施</w:t>
            </w:r>
            <w:bookmarkEnd w:id="101"/>
            <w:bookmarkEnd w:id="102"/>
          </w:p>
          <w:p w14:paraId="0F9AC2CC">
            <w:pPr>
              <w:spacing w:line="360" w:lineRule="auto"/>
              <w:ind w:firstLine="480"/>
              <w:rPr>
                <w:rFonts w:hint="eastAsia" w:ascii="Times New Roman" w:hAnsi="Times New Roman" w:eastAsia="宋体" w:cs="Times New Roman"/>
                <w:bCs/>
                <w:color w:val="auto"/>
                <w:sz w:val="24"/>
                <w:lang w:val="en-US" w:eastAsia="zh-CN"/>
              </w:rPr>
            </w:pPr>
            <w:r>
              <w:rPr>
                <w:color w:val="000000"/>
                <w:sz w:val="24"/>
                <w:lang w:val="zh-CN"/>
              </w:rPr>
              <w:t>为了确保厂界噪声达到《工业企业厂界环境噪声排放标准》</w:t>
            </w:r>
            <w:r>
              <w:rPr>
                <w:rFonts w:hint="eastAsia"/>
                <w:color w:val="000000"/>
                <w:sz w:val="24"/>
                <w:lang w:val="zh-CN"/>
              </w:rPr>
              <w:t>（</w:t>
            </w:r>
            <w:r>
              <w:rPr>
                <w:color w:val="000000"/>
                <w:sz w:val="24"/>
                <w:lang w:val="zh-CN"/>
              </w:rPr>
              <w:t>GB 12348-2008</w:t>
            </w:r>
            <w:r>
              <w:rPr>
                <w:rFonts w:hint="eastAsia"/>
                <w:color w:val="000000"/>
                <w:sz w:val="24"/>
                <w:lang w:val="zh-CN"/>
              </w:rPr>
              <w:t>）</w:t>
            </w:r>
            <w:r>
              <w:rPr>
                <w:color w:val="000000"/>
                <w:sz w:val="24"/>
                <w:lang w:val="zh-CN"/>
              </w:rPr>
              <w:t>中3类标准，本报告建议采用以下降噪措施：</w:t>
            </w:r>
          </w:p>
          <w:p w14:paraId="72B76991">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E7F91E2">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061121AB">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52F83CE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37F85EF5">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2F3EFE28">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0691615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5C1776D9">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将高噪声设备设置专门设备隔间，对冷却塔、引风机采用设置隔声罩、</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348377CA">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78CB73F9">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3" w:name="_Toc19362"/>
            <w:r>
              <w:rPr>
                <w:rFonts w:hint="eastAsia" w:ascii="Times New Roman" w:hAnsi="Times New Roman" w:eastAsia="宋体" w:cs="Times New Roman"/>
                <w:color w:val="auto"/>
                <w:sz w:val="28"/>
                <w:szCs w:val="28"/>
                <w:u w:val="none"/>
                <w:lang w:val="en-US" w:eastAsia="zh-CN"/>
              </w:rPr>
              <w:t>4.4固体废物环境影响分析和污染防治措施</w:t>
            </w:r>
            <w:bookmarkEnd w:id="103"/>
          </w:p>
          <w:p w14:paraId="6797F14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04" w:name="_Toc26295"/>
            <w:r>
              <w:rPr>
                <w:rFonts w:hint="default"/>
                <w:b/>
                <w:color w:val="262626"/>
                <w:kern w:val="0"/>
                <w:sz w:val="24"/>
                <w:lang w:val="zh-CN" w:eastAsia="zh-CN"/>
              </w:rPr>
              <w:t>4.4.1 固体废物</w:t>
            </w:r>
            <w:r>
              <w:rPr>
                <w:rFonts w:hint="eastAsia"/>
                <w:b/>
                <w:color w:val="262626"/>
                <w:kern w:val="0"/>
                <w:sz w:val="24"/>
                <w:lang w:val="en-US" w:eastAsia="zh-CN"/>
              </w:rPr>
              <w:t>污染源</w:t>
            </w:r>
            <w:r>
              <w:rPr>
                <w:rFonts w:hint="default"/>
                <w:b/>
                <w:color w:val="262626"/>
                <w:kern w:val="0"/>
                <w:sz w:val="24"/>
                <w:lang w:val="zh-CN" w:eastAsia="zh-CN"/>
              </w:rPr>
              <w:t>分析</w:t>
            </w:r>
            <w:bookmarkEnd w:id="104"/>
          </w:p>
          <w:p w14:paraId="1E2B0F4E">
            <w:pPr>
              <w:spacing w:line="360" w:lineRule="auto"/>
              <w:ind w:firstLine="480" w:firstLineChars="200"/>
              <w:rPr>
                <w:color w:val="000000"/>
                <w:sz w:val="24"/>
              </w:rPr>
            </w:pPr>
            <w:r>
              <w:rPr>
                <w:color w:val="000000"/>
                <w:sz w:val="24"/>
              </w:rPr>
              <w:t>（</w:t>
            </w:r>
            <w:r>
              <w:rPr>
                <w:rFonts w:hint="eastAsia"/>
                <w:color w:val="000000"/>
                <w:sz w:val="24"/>
                <w:lang w:val="en-US" w:eastAsia="zh-CN"/>
              </w:rPr>
              <w:t>1</w:t>
            </w:r>
            <w:r>
              <w:rPr>
                <w:color w:val="000000"/>
                <w:sz w:val="24"/>
              </w:rPr>
              <w:t>）生活固废</w:t>
            </w:r>
          </w:p>
          <w:p w14:paraId="044850B0">
            <w:pPr>
              <w:spacing w:line="360" w:lineRule="auto"/>
              <w:ind w:firstLine="480"/>
              <w:rPr>
                <w:color w:val="000000"/>
                <w:sz w:val="24"/>
                <w:lang w:val="zh-CN"/>
              </w:rPr>
            </w:pPr>
            <w:r>
              <w:rPr>
                <w:rFonts w:hint="eastAsia"/>
                <w:color w:val="000000"/>
                <w:sz w:val="24"/>
              </w:rPr>
              <w:t>根据我国生活垃圾排放系数，不住厂职工生活垃圾排放系数取</w:t>
            </w:r>
            <w:r>
              <w:rPr>
                <w:color w:val="000000"/>
                <w:sz w:val="24"/>
              </w:rPr>
              <w:t>K=0.5kg/</w:t>
            </w:r>
            <w:r>
              <w:rPr>
                <w:rFonts w:hint="eastAsia"/>
                <w:color w:val="000000"/>
                <w:sz w:val="24"/>
              </w:rPr>
              <w:t>人</w:t>
            </w:r>
            <w:r>
              <w:rPr>
                <w:color w:val="000000"/>
                <w:sz w:val="24"/>
              </w:rPr>
              <w:t>•</w:t>
            </w:r>
            <w:r>
              <w:rPr>
                <w:rFonts w:hint="eastAsia"/>
                <w:color w:val="000000"/>
                <w:sz w:val="24"/>
              </w:rPr>
              <w:t>天，项目职工</w:t>
            </w:r>
            <w:r>
              <w:rPr>
                <w:rFonts w:hint="eastAsia"/>
                <w:color w:val="000000"/>
                <w:sz w:val="24"/>
                <w:lang w:val="en-US" w:eastAsia="zh-CN"/>
              </w:rPr>
              <w:t>60</w:t>
            </w:r>
            <w:r>
              <w:rPr>
                <w:rFonts w:hint="eastAsia"/>
                <w:color w:val="000000"/>
                <w:sz w:val="24"/>
              </w:rPr>
              <w:t>人，按</w:t>
            </w:r>
            <w:r>
              <w:rPr>
                <w:color w:val="000000"/>
                <w:sz w:val="24"/>
              </w:rPr>
              <w:t>300</w:t>
            </w:r>
            <w:r>
              <w:rPr>
                <w:rFonts w:hint="eastAsia"/>
                <w:color w:val="000000"/>
                <w:sz w:val="24"/>
              </w:rPr>
              <w:t>天</w:t>
            </w:r>
            <w:r>
              <w:rPr>
                <w:color w:val="000000"/>
                <w:sz w:val="24"/>
              </w:rPr>
              <w:t>/</w:t>
            </w:r>
            <w:r>
              <w:rPr>
                <w:rFonts w:hint="eastAsia"/>
                <w:color w:val="000000"/>
                <w:sz w:val="24"/>
              </w:rPr>
              <w:t>年计，则项目生活垃圾产生量为</w:t>
            </w:r>
            <w:r>
              <w:rPr>
                <w:rFonts w:hint="eastAsia"/>
                <w:color w:val="000000"/>
                <w:sz w:val="24"/>
                <w:lang w:val="en-US" w:eastAsia="zh-CN"/>
              </w:rPr>
              <w:t>9</w:t>
            </w:r>
            <w:r>
              <w:rPr>
                <w:color w:val="000000"/>
                <w:sz w:val="24"/>
              </w:rPr>
              <w:t>t/a</w:t>
            </w:r>
            <w:r>
              <w:rPr>
                <w:rFonts w:hint="eastAsia"/>
                <w:color w:val="000000"/>
                <w:sz w:val="24"/>
              </w:rPr>
              <w:t>。</w:t>
            </w:r>
            <w:r>
              <w:rPr>
                <w:color w:val="000000"/>
                <w:sz w:val="24"/>
              </w:rPr>
              <w:t>集中收集后委托环卫部门清运处理。</w:t>
            </w:r>
            <w:r>
              <w:rPr>
                <w:rFonts w:hint="eastAsia"/>
                <w:color w:val="000000"/>
                <w:sz w:val="24"/>
              </w:rPr>
              <w:t>对照《固体废物分类与代码目录》（公告2024年第4号），属于SW64，900-099-S64。</w:t>
            </w:r>
          </w:p>
          <w:p w14:paraId="52DC9C8F">
            <w:pPr>
              <w:adjustRightInd w:val="0"/>
              <w:snapToGrid w:val="0"/>
              <w:spacing w:line="360" w:lineRule="auto"/>
              <w:ind w:firstLine="480" w:firstLineChars="200"/>
              <w:rPr>
                <w:color w:val="000000"/>
                <w:sz w:val="24"/>
                <w:lang w:val="zh-CN"/>
              </w:rPr>
            </w:pPr>
            <w:r>
              <w:rPr>
                <w:color w:val="000000"/>
                <w:sz w:val="24"/>
                <w:lang w:val="zh-CN"/>
              </w:rPr>
              <w:t>（</w:t>
            </w:r>
            <w:r>
              <w:rPr>
                <w:rFonts w:hint="eastAsia"/>
                <w:color w:val="000000"/>
                <w:sz w:val="24"/>
                <w:lang w:val="en-US" w:eastAsia="zh-CN"/>
              </w:rPr>
              <w:t>2</w:t>
            </w:r>
            <w:r>
              <w:rPr>
                <w:color w:val="000000"/>
                <w:sz w:val="24"/>
              </w:rPr>
              <w:t>）</w:t>
            </w:r>
            <w:r>
              <w:rPr>
                <w:color w:val="000000"/>
                <w:sz w:val="24"/>
                <w:lang w:val="zh-CN"/>
              </w:rPr>
              <w:t>一般工业固废</w:t>
            </w:r>
          </w:p>
          <w:p w14:paraId="22F568EF">
            <w:pPr>
              <w:spacing w:line="360" w:lineRule="auto"/>
              <w:ind w:firstLine="480"/>
              <w:rPr>
                <w:rFonts w:hint="default" w:eastAsia="宋体"/>
                <w:color w:val="000000"/>
                <w:sz w:val="24"/>
                <w:lang w:val="en-US" w:eastAsia="zh-CN"/>
              </w:rPr>
            </w:pPr>
            <w:r>
              <w:rPr>
                <w:rFonts w:hint="eastAsia"/>
                <w:color w:val="000000"/>
                <w:sz w:val="24"/>
              </w:rPr>
              <w:t>①</w:t>
            </w:r>
            <w:r>
              <w:rPr>
                <w:rFonts w:hint="eastAsia"/>
                <w:color w:val="000000"/>
                <w:sz w:val="24"/>
                <w:lang w:val="en-US" w:eastAsia="zh-CN"/>
              </w:rPr>
              <w:t>塑料</w:t>
            </w:r>
            <w:r>
              <w:rPr>
                <w:rFonts w:hint="eastAsia"/>
                <w:color w:val="000000"/>
                <w:sz w:val="24"/>
              </w:rPr>
              <w:t>边角料</w:t>
            </w:r>
            <w:r>
              <w:rPr>
                <w:rFonts w:hint="eastAsia"/>
                <w:color w:val="000000"/>
                <w:sz w:val="24"/>
                <w:lang w:val="en-US" w:eastAsia="zh-CN"/>
              </w:rPr>
              <w:t>及不合格产品</w:t>
            </w:r>
          </w:p>
          <w:p w14:paraId="4BA88B6F">
            <w:pPr>
              <w:spacing w:line="360" w:lineRule="auto"/>
              <w:ind w:firstLine="480"/>
              <w:rPr>
                <w:rFonts w:hint="eastAsia"/>
                <w:color w:val="000000"/>
                <w:sz w:val="24"/>
              </w:rPr>
            </w:pPr>
            <w:r>
              <w:rPr>
                <w:rFonts w:hint="eastAsia"/>
                <w:color w:val="000000"/>
                <w:sz w:val="24"/>
              </w:rPr>
              <w:t>项目在</w:t>
            </w:r>
            <w:r>
              <w:rPr>
                <w:rFonts w:hint="eastAsia"/>
                <w:color w:val="000000"/>
                <w:sz w:val="24"/>
                <w:lang w:val="en-US" w:eastAsia="zh-CN"/>
              </w:rPr>
              <w:t>塑料包装膜和塑料包装袋生产</w:t>
            </w:r>
            <w:r>
              <w:rPr>
                <w:rFonts w:hint="eastAsia"/>
                <w:color w:val="000000"/>
                <w:sz w:val="24"/>
              </w:rPr>
              <w:t>过</w:t>
            </w:r>
            <w:r>
              <w:rPr>
                <w:rFonts w:hint="eastAsia"/>
                <w:color w:val="000000"/>
                <w:sz w:val="24"/>
                <w:lang w:eastAsia="zh-CN"/>
              </w:rPr>
              <w:t>程中</w:t>
            </w:r>
            <w:r>
              <w:rPr>
                <w:rFonts w:hint="eastAsia"/>
                <w:color w:val="000000"/>
                <w:sz w:val="24"/>
              </w:rPr>
              <w:t>会产生少许边角料</w:t>
            </w:r>
            <w:r>
              <w:rPr>
                <w:rFonts w:hint="eastAsia"/>
                <w:color w:val="000000"/>
                <w:sz w:val="24"/>
                <w:lang w:val="en-US" w:eastAsia="zh-CN"/>
              </w:rPr>
              <w:t>及不合格产品</w:t>
            </w:r>
            <w:r>
              <w:rPr>
                <w:rFonts w:hint="eastAsia"/>
                <w:color w:val="000000"/>
                <w:sz w:val="24"/>
              </w:rPr>
              <w:t>，</w:t>
            </w:r>
            <w:r>
              <w:rPr>
                <w:color w:val="000000"/>
                <w:sz w:val="24"/>
              </w:rPr>
              <w:t>参考《排放源统计调查产排污核算方法和系数手册》中《292塑料制品行业系数手册》，一般工业固废产生量为2.5</w:t>
            </w:r>
            <w:r>
              <w:rPr>
                <w:rFonts w:hint="eastAsia"/>
                <w:color w:val="000000"/>
                <w:sz w:val="24"/>
                <w:lang w:val="en-US" w:eastAsia="zh-CN"/>
              </w:rPr>
              <w:t>kg</w:t>
            </w:r>
            <w:r>
              <w:rPr>
                <w:color w:val="000000"/>
                <w:sz w:val="24"/>
              </w:rPr>
              <w:t>/t-产品，</w:t>
            </w:r>
            <w:r>
              <w:rPr>
                <w:rFonts w:hint="eastAsia"/>
                <w:color w:val="000000"/>
                <w:sz w:val="24"/>
              </w:rPr>
              <w:t>则边角料</w:t>
            </w:r>
            <w:r>
              <w:rPr>
                <w:rFonts w:hint="eastAsia"/>
                <w:color w:val="000000"/>
                <w:sz w:val="24"/>
                <w:lang w:val="en-US" w:eastAsia="zh-CN"/>
              </w:rPr>
              <w:t>及次品的</w:t>
            </w:r>
            <w:r>
              <w:rPr>
                <w:rFonts w:hint="eastAsia"/>
                <w:color w:val="000000"/>
                <w:sz w:val="24"/>
              </w:rPr>
              <w:t>产生量为</w:t>
            </w:r>
            <w:r>
              <w:rPr>
                <w:rFonts w:hint="eastAsia"/>
                <w:color w:val="000000"/>
                <w:sz w:val="24"/>
                <w:lang w:val="en-US" w:eastAsia="zh-CN"/>
              </w:rPr>
              <w:t>14.5</w:t>
            </w:r>
            <w:r>
              <w:rPr>
                <w:color w:val="000000"/>
                <w:sz w:val="24"/>
              </w:rPr>
              <w:t>t/a</w:t>
            </w:r>
            <w:r>
              <w:rPr>
                <w:rFonts w:hint="eastAsia"/>
                <w:color w:val="000000"/>
                <w:sz w:val="24"/>
              </w:rPr>
              <w:t>，</w:t>
            </w:r>
            <w:r>
              <w:rPr>
                <w:rFonts w:hint="eastAsia"/>
                <w:color w:val="auto"/>
                <w:sz w:val="24"/>
              </w:rPr>
              <w:t>该部分固废</w:t>
            </w:r>
            <w:r>
              <w:rPr>
                <w:rFonts w:hint="eastAsia"/>
                <w:color w:val="auto"/>
                <w:sz w:val="24"/>
                <w:lang w:val="en-US" w:eastAsia="zh-CN"/>
              </w:rPr>
              <w:t>收集后经破碎后外售其他公司综合利用</w:t>
            </w:r>
            <w:r>
              <w:rPr>
                <w:rFonts w:hint="eastAsia"/>
                <w:color w:val="auto"/>
                <w:sz w:val="24"/>
              </w:rPr>
              <w:t>。对照《固体废物分类与代码目录》（公告</w:t>
            </w:r>
            <w:r>
              <w:rPr>
                <w:rFonts w:hint="eastAsia"/>
                <w:color w:val="000000"/>
                <w:sz w:val="24"/>
              </w:rPr>
              <w:t>2024年第4号），属于SW17，废物代码为900-003-S17。</w:t>
            </w:r>
          </w:p>
          <w:p w14:paraId="46736949">
            <w:pPr>
              <w:spacing w:line="360" w:lineRule="auto"/>
              <w:ind w:firstLine="480" w:firstLineChars="200"/>
              <w:rPr>
                <w:color w:val="000000"/>
                <w:sz w:val="24"/>
              </w:rPr>
            </w:pPr>
            <w:r>
              <w:rPr>
                <w:rFonts w:hint="eastAsia"/>
                <w:color w:val="000000"/>
                <w:sz w:val="24"/>
              </w:rPr>
              <w:t>②废包装材料</w:t>
            </w:r>
          </w:p>
          <w:p w14:paraId="715B8528">
            <w:pPr>
              <w:adjustRightInd w:val="0"/>
              <w:snapToGrid w:val="0"/>
              <w:spacing w:line="360" w:lineRule="auto"/>
              <w:ind w:firstLine="480" w:firstLineChars="200"/>
              <w:rPr>
                <w:rFonts w:hint="eastAsia"/>
                <w:color w:val="000000"/>
                <w:sz w:val="24"/>
              </w:rPr>
            </w:pPr>
            <w:r>
              <w:rPr>
                <w:rFonts w:hint="eastAsia"/>
                <w:color w:val="000000"/>
                <w:sz w:val="24"/>
              </w:rPr>
              <w:t>项目</w:t>
            </w:r>
            <w:r>
              <w:rPr>
                <w:rFonts w:hint="eastAsia"/>
                <w:color w:val="000000"/>
                <w:sz w:val="24"/>
                <w:lang w:val="en-US" w:eastAsia="zh-CN"/>
              </w:rPr>
              <w:t>塑料</w:t>
            </w:r>
            <w:r>
              <w:rPr>
                <w:rFonts w:hint="eastAsia"/>
                <w:color w:val="000000"/>
                <w:sz w:val="24"/>
              </w:rPr>
              <w:t>颗粒使用后会有废包装袋，项目使用颗粒为</w:t>
            </w:r>
            <w:r>
              <w:rPr>
                <w:color w:val="000000"/>
                <w:sz w:val="24"/>
              </w:rPr>
              <w:t>25kg/</w:t>
            </w:r>
            <w:r>
              <w:rPr>
                <w:rFonts w:hint="eastAsia"/>
                <w:color w:val="000000"/>
                <w:sz w:val="24"/>
              </w:rPr>
              <w:t>袋，包装袋重约</w:t>
            </w:r>
            <w:r>
              <w:rPr>
                <w:rFonts w:hint="eastAsia"/>
                <w:color w:val="000000"/>
                <w:sz w:val="24"/>
                <w:lang w:val="en-US" w:eastAsia="zh-CN"/>
              </w:rPr>
              <w:t>15</w:t>
            </w:r>
            <w:r>
              <w:rPr>
                <w:color w:val="000000"/>
                <w:sz w:val="24"/>
              </w:rPr>
              <w:t>g/</w:t>
            </w:r>
            <w:r>
              <w:rPr>
                <w:rFonts w:hint="eastAsia"/>
                <w:color w:val="000000"/>
                <w:sz w:val="24"/>
              </w:rPr>
              <w:t>个，则共计产生废包装袋</w:t>
            </w:r>
            <w:r>
              <w:rPr>
                <w:rFonts w:hint="eastAsia"/>
                <w:color w:val="000000"/>
                <w:sz w:val="24"/>
                <w:lang w:val="en-US" w:eastAsia="zh-CN"/>
              </w:rPr>
              <w:t>0.6</w:t>
            </w:r>
            <w:r>
              <w:rPr>
                <w:color w:val="000000"/>
                <w:sz w:val="24"/>
              </w:rPr>
              <w:t>t/a</w:t>
            </w:r>
            <w:r>
              <w:rPr>
                <w:rFonts w:hint="eastAsia"/>
                <w:color w:val="000000"/>
                <w:sz w:val="24"/>
              </w:rPr>
              <w:t>，该部分固废收集后暂存一般固废</w:t>
            </w:r>
            <w:r>
              <w:rPr>
                <w:rFonts w:hint="eastAsia"/>
                <w:color w:val="000000"/>
                <w:sz w:val="24"/>
                <w:lang w:val="en-US" w:eastAsia="zh-CN"/>
              </w:rPr>
              <w:t>区</w:t>
            </w:r>
            <w:r>
              <w:rPr>
                <w:rFonts w:hint="eastAsia"/>
                <w:color w:val="000000"/>
                <w:sz w:val="24"/>
              </w:rPr>
              <w:t>，外售综合利用。对照《固体废物分类与代码目录》（公告2024年第4号），属于SW17，废物代码为900-00</w:t>
            </w:r>
            <w:r>
              <w:rPr>
                <w:rFonts w:hint="eastAsia"/>
                <w:color w:val="000000"/>
                <w:sz w:val="24"/>
                <w:lang w:val="en-US" w:eastAsia="zh-CN"/>
              </w:rPr>
              <w:t>3</w:t>
            </w:r>
            <w:r>
              <w:rPr>
                <w:rFonts w:hint="eastAsia"/>
                <w:color w:val="000000"/>
                <w:sz w:val="24"/>
              </w:rPr>
              <w:t>-S17。</w:t>
            </w:r>
          </w:p>
          <w:p w14:paraId="10C8648C">
            <w:pPr>
              <w:adjustRightInd w:val="0"/>
              <w:snapToGrid w:val="0"/>
              <w:spacing w:line="360" w:lineRule="auto"/>
              <w:ind w:firstLine="480" w:firstLineChars="200"/>
              <w:rPr>
                <w:rFonts w:hint="eastAsia" w:ascii="Times New Roman" w:hAnsi="Times New Roman" w:eastAsia="宋体" w:cs="Times New Roman"/>
                <w:strike w:val="0"/>
                <w:dstrike w:val="0"/>
                <w:color w:val="auto"/>
                <w:sz w:val="24"/>
              </w:rPr>
            </w:pPr>
            <w:r>
              <w:rPr>
                <w:rFonts w:hint="eastAsia" w:ascii="Times New Roman" w:hAnsi="Times New Roman" w:eastAsia="宋体" w:cs="Times New Roman"/>
                <w:color w:val="000000"/>
                <w:sz w:val="24"/>
                <w:lang w:val="en-US" w:eastAsia="zh-CN"/>
              </w:rPr>
              <w:t>（3）危险废物</w:t>
            </w:r>
            <w:bookmarkEnd w:id="94"/>
            <w:bookmarkEnd w:id="95"/>
            <w:bookmarkEnd w:id="96"/>
          </w:p>
          <w:p w14:paraId="3388FF92">
            <w:pPr>
              <w:widowControl/>
              <w:spacing w:line="360" w:lineRule="auto"/>
              <w:ind w:firstLine="480" w:firstLineChars="200"/>
              <w:jc w:val="left"/>
              <w:rPr>
                <w:rFonts w:hint="default" w:ascii="Times New Roman" w:hAnsi="Times New Roman" w:eastAsia="宋体" w:cs="Times New Roman"/>
                <w:strike w:val="0"/>
                <w:dstrike w:val="0"/>
                <w:color w:val="auto"/>
                <w:sz w:val="24"/>
              </w:rPr>
            </w:pPr>
            <w:r>
              <w:rPr>
                <w:rFonts w:hint="eastAsia" w:ascii="Times New Roman" w:hAnsi="Times New Roman" w:eastAsia="宋体" w:cs="Times New Roman"/>
                <w:strike w:val="0"/>
                <w:dstrike w:val="0"/>
                <w:color w:val="auto"/>
                <w:sz w:val="24"/>
              </w:rPr>
              <w:t>①</w:t>
            </w:r>
            <w:r>
              <w:rPr>
                <w:rFonts w:hint="default" w:ascii="Times New Roman" w:hAnsi="Times New Roman" w:eastAsia="宋体" w:cs="Times New Roman"/>
                <w:strike w:val="0"/>
                <w:dstrike w:val="0"/>
                <w:color w:val="auto"/>
                <w:sz w:val="24"/>
              </w:rPr>
              <w:t>废活性炭</w:t>
            </w:r>
          </w:p>
          <w:p w14:paraId="60070472">
            <w:pPr>
              <w:widowControl/>
              <w:spacing w:line="360" w:lineRule="auto"/>
              <w:ind w:firstLine="480" w:firstLineChars="200"/>
              <w:jc w:val="both"/>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strike w:val="0"/>
                <w:dstrike w:val="0"/>
                <w:color w:val="auto"/>
                <w:sz w:val="24"/>
                <w:lang w:val="en-US" w:eastAsia="zh-CN"/>
              </w:rPr>
              <w:t>根据中国建筑出版社</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1997</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出版的《简明通风设计手册》第十章中关于活性吸附处理治理废气的方法中提供的数据：每1.0kg活性炭吸附有机废气的平衡量为0.43kg～0.61kg，本项目按1t活性炭吸附</w:t>
            </w:r>
            <w:r>
              <w:rPr>
                <w:rFonts w:hint="eastAsia" w:ascii="Times New Roman" w:hAnsi="Times New Roman" w:eastAsia="宋体" w:cs="Times New Roman"/>
                <w:strike w:val="0"/>
                <w:dstrike w:val="0"/>
                <w:color w:val="auto"/>
                <w:sz w:val="24"/>
                <w:lang w:val="en-US" w:eastAsia="zh-CN"/>
              </w:rPr>
              <w:t>0.3</w:t>
            </w:r>
            <w:r>
              <w:rPr>
                <w:rFonts w:hint="default" w:ascii="Times New Roman" w:hAnsi="Times New Roman" w:eastAsia="宋体" w:cs="Times New Roman"/>
                <w:strike w:val="0"/>
                <w:dstrike w:val="0"/>
                <w:color w:val="auto"/>
                <w:sz w:val="24"/>
                <w:lang w:val="en-US" w:eastAsia="zh-CN"/>
              </w:rPr>
              <w:t>t有机废气计算，</w:t>
            </w:r>
            <w:r>
              <w:rPr>
                <w:rFonts w:hint="default" w:ascii="Times New Roman" w:hAnsi="Times New Roman" w:eastAsia="宋体" w:cs="Times New Roman"/>
                <w:strike w:val="0"/>
                <w:dstrike w:val="0"/>
                <w:color w:val="auto"/>
                <w:sz w:val="24"/>
                <w:lang w:val="zh-CN" w:eastAsia="zh-CN"/>
              </w:rPr>
              <w:t>根据前文产排污分</w:t>
            </w:r>
            <w:r>
              <w:rPr>
                <w:rFonts w:hint="default" w:ascii="Times New Roman" w:hAnsi="Times New Roman" w:eastAsia="宋体" w:cs="Times New Roman"/>
                <w:bCs/>
                <w:color w:val="auto"/>
                <w:sz w:val="24"/>
                <w:highlight w:val="none"/>
                <w:lang w:val="zh-CN" w:eastAsia="zh-CN"/>
              </w:rPr>
              <w:t>析可知，项目有组织有机废气</w:t>
            </w:r>
            <w:r>
              <w:rPr>
                <w:rFonts w:hint="default" w:ascii="Times New Roman" w:hAnsi="Times New Roman" w:eastAsia="宋体" w:cs="Times New Roman"/>
                <w:bCs/>
                <w:color w:val="auto"/>
                <w:sz w:val="24"/>
                <w:highlight w:val="none"/>
                <w:lang w:val="en-US" w:eastAsia="zh-CN"/>
              </w:rPr>
              <w:t>净化了5.562‬</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zh-CN" w:eastAsia="zh-CN"/>
              </w:rPr>
              <w:t>，本项目有机废气采用</w:t>
            </w:r>
            <w:r>
              <w:rPr>
                <w:rFonts w:hint="eastAsia" w:cs="Times New Roman"/>
                <w:bCs/>
                <w:color w:val="auto"/>
                <w:sz w:val="24"/>
                <w:highlight w:val="none"/>
                <w:lang w:val="en-US" w:eastAsia="zh-CN"/>
              </w:rPr>
              <w:t>二级</w:t>
            </w:r>
            <w:r>
              <w:rPr>
                <w:rFonts w:hint="eastAsia" w:ascii="Times New Roman" w:hAnsi="Times New Roman" w:eastAsia="宋体" w:cs="Times New Roman"/>
                <w:bCs/>
                <w:color w:val="auto"/>
                <w:sz w:val="24"/>
                <w:highlight w:val="none"/>
                <w:lang w:val="en-US" w:eastAsia="zh-CN"/>
              </w:rPr>
              <w:t>活性炭吸附装置</w:t>
            </w:r>
            <w:r>
              <w:rPr>
                <w:rFonts w:hint="default" w:ascii="Times New Roman" w:hAnsi="Times New Roman" w:eastAsia="宋体" w:cs="Times New Roman"/>
                <w:bCs/>
                <w:color w:val="auto"/>
                <w:sz w:val="24"/>
                <w:highlight w:val="none"/>
                <w:lang w:val="en-US" w:eastAsia="zh-CN"/>
              </w:rPr>
              <w:t>净化处理，则预计项目年</w:t>
            </w:r>
            <w:r>
              <w:rPr>
                <w:rFonts w:hint="eastAsia" w:ascii="Times New Roman" w:hAnsi="Times New Roman" w:eastAsia="宋体" w:cs="Times New Roman"/>
                <w:bCs/>
                <w:color w:val="auto"/>
                <w:sz w:val="24"/>
                <w:highlight w:val="none"/>
                <w:lang w:val="en-US" w:eastAsia="zh-CN"/>
              </w:rPr>
              <w:t>废</w:t>
            </w:r>
            <w:r>
              <w:rPr>
                <w:rFonts w:hint="default" w:ascii="Times New Roman" w:hAnsi="Times New Roman" w:eastAsia="宋体" w:cs="Times New Roman"/>
                <w:bCs/>
                <w:color w:val="auto"/>
                <w:sz w:val="24"/>
                <w:highlight w:val="none"/>
                <w:lang w:val="en-US" w:eastAsia="zh-CN"/>
              </w:rPr>
              <w:t>活性炭</w:t>
            </w:r>
            <w:r>
              <w:rPr>
                <w:rFonts w:hint="eastAsia" w:ascii="Times New Roman" w:hAnsi="Times New Roman" w:eastAsia="宋体" w:cs="Times New Roman"/>
                <w:bCs/>
                <w:color w:val="auto"/>
                <w:sz w:val="24"/>
                <w:highlight w:val="none"/>
                <w:lang w:val="en-US" w:eastAsia="zh-CN"/>
              </w:rPr>
              <w:t>产生</w:t>
            </w:r>
            <w:r>
              <w:rPr>
                <w:rFonts w:hint="default" w:ascii="Times New Roman" w:hAnsi="Times New Roman" w:eastAsia="宋体" w:cs="Times New Roman"/>
                <w:bCs/>
                <w:color w:val="auto"/>
                <w:sz w:val="24"/>
                <w:highlight w:val="none"/>
                <w:lang w:val="en-US" w:eastAsia="zh-CN"/>
              </w:rPr>
              <w:t>量为5.562</w:t>
            </w:r>
            <w:r>
              <w:rPr>
                <w:rFonts w:hint="eastAsia" w:ascii="Times New Roman" w:hAnsi="Times New Roman" w:eastAsia="宋体" w:cs="Times New Roman"/>
                <w:bCs/>
                <w:color w:val="auto"/>
                <w:sz w:val="24"/>
                <w:highlight w:val="none"/>
                <w:lang w:val="en-US" w:eastAsia="zh-CN"/>
              </w:rPr>
              <w:t>t/a÷0.3</w:t>
            </w:r>
            <w:r>
              <w:rPr>
                <w:rFonts w:hint="eastAsia" w:ascii="Times New Roman" w:hAnsi="Times New Roman" w:cs="Times New Roman"/>
                <w:bCs/>
                <w:color w:val="auto"/>
                <w:sz w:val="24"/>
                <w:highlight w:val="none"/>
                <w:lang w:val="en-US" w:eastAsia="zh-CN"/>
              </w:rPr>
              <w:t>t</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5.562</w:t>
            </w:r>
            <w:r>
              <w:rPr>
                <w:rFonts w:hint="eastAsia"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24.102</w:t>
            </w:r>
            <w:r>
              <w:rPr>
                <w:rFonts w:hint="default" w:ascii="Times New Roman" w:hAnsi="Times New Roman" w:eastAsia="宋体" w:cs="Times New Roman"/>
                <w:bCs/>
                <w:color w:val="auto"/>
                <w:sz w:val="24"/>
                <w:highlight w:val="none"/>
                <w:lang w:val="en-US" w:eastAsia="zh-CN"/>
              </w:rPr>
              <w:t>t</w:t>
            </w:r>
            <w:r>
              <w:rPr>
                <w:rFonts w:hint="eastAsia"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活性炭的填充量为</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，项目计划</w:t>
            </w:r>
            <w:r>
              <w:rPr>
                <w:rFonts w:hint="eastAsia" w:ascii="Times New Roman" w:hAnsi="Times New Roman" w:eastAsia="宋体" w:cs="Times New Roman"/>
                <w:bCs/>
                <w:color w:val="auto"/>
                <w:sz w:val="24"/>
                <w:highlight w:val="none"/>
                <w:lang w:val="en-US" w:eastAsia="zh-CN"/>
              </w:rPr>
              <w:t>每</w:t>
            </w:r>
            <w:r>
              <w:rPr>
                <w:rFonts w:hint="default" w:ascii="Times New Roman" w:hAnsi="Times New Roman" w:eastAsia="宋体" w:cs="Times New Roman"/>
                <w:bCs/>
                <w:color w:val="auto"/>
                <w:sz w:val="24"/>
                <w:highlight w:val="none"/>
                <w:lang w:val="zh-CN" w:eastAsia="zh-CN"/>
              </w:rPr>
              <w:t>个月更换一次活性炭吸附填料，确保项目有机废气达标排放</w:t>
            </w:r>
            <w:r>
              <w:rPr>
                <w:rFonts w:hint="eastAsia"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根据《国家危险废物名录》</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，废活性炭属于危险废物，废物类别为HW49其他废物，废物代码900-039-49</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highlight w:val="none"/>
              </w:rPr>
              <w:t>暂存于危险废物</w:t>
            </w:r>
            <w:r>
              <w:rPr>
                <w:rFonts w:hint="eastAsia" w:ascii="Times New Roman" w:hAnsi="Times New Roman" w:eastAsia="宋体" w:cs="Times New Roman"/>
                <w:bCs/>
                <w:color w:val="auto"/>
                <w:sz w:val="24"/>
                <w:highlight w:val="none"/>
                <w:lang w:val="en-US" w:eastAsia="zh-CN"/>
              </w:rPr>
              <w:t>贮存库，定期委托有资质单位处置。</w:t>
            </w:r>
          </w:p>
          <w:p w14:paraId="04B91181">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②废机油</w:t>
            </w:r>
          </w:p>
          <w:p w14:paraId="111D105D">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本项目在设备检修维护过程会产生少量废机油，参考同类企业，废机油产生量为</w:t>
            </w:r>
            <w:r>
              <w:rPr>
                <w:rFonts w:hint="default" w:ascii="Times New Roman" w:hAnsi="Times New Roman" w:eastAsia="宋体" w:cs="Times New Roman"/>
                <w:bCs/>
                <w:color w:val="auto"/>
                <w:sz w:val="24"/>
                <w:highlight w:val="none"/>
                <w:lang w:val="en-US" w:eastAsia="zh-CN"/>
              </w:rPr>
              <w:t>0.</w:t>
            </w:r>
            <w:r>
              <w:rPr>
                <w:rFonts w:hint="eastAsia" w:ascii="Times New Roman" w:hAnsi="Times New Roman" w:eastAsia="宋体" w:cs="Times New Roman"/>
                <w:bCs/>
                <w:color w:val="auto"/>
                <w:sz w:val="24"/>
                <w:highlight w:val="none"/>
                <w:lang w:val="en-US" w:eastAsia="zh-CN"/>
              </w:rPr>
              <w:t>12</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。废润滑油属于《国家危险废物名录》（</w:t>
            </w:r>
            <w:r>
              <w:rPr>
                <w:rFonts w:hint="default" w:ascii="Times New Roman" w:hAnsi="Times New Roman" w:eastAsia="宋体" w:cs="Times New Roman"/>
                <w:bCs/>
                <w:color w:val="auto"/>
                <w:sz w:val="24"/>
                <w:highlight w:val="none"/>
                <w:lang w:val="en-US" w:eastAsia="zh-CN"/>
              </w:rPr>
              <w:t>2025</w:t>
            </w:r>
            <w:r>
              <w:rPr>
                <w:rFonts w:hint="eastAsia" w:ascii="Times New Roman" w:hAnsi="Times New Roman" w:eastAsia="宋体" w:cs="Times New Roman"/>
                <w:bCs/>
                <w:color w:val="auto"/>
                <w:sz w:val="24"/>
                <w:highlight w:val="none"/>
                <w:lang w:val="en-US" w:eastAsia="zh-CN"/>
              </w:rPr>
              <w:t>年版）中的</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类危废（</w:t>
            </w:r>
            <w:r>
              <w:rPr>
                <w:rFonts w:hint="default" w:ascii="Times New Roman" w:hAnsi="Times New Roman" w:eastAsia="宋体" w:cs="Times New Roman"/>
                <w:bCs/>
                <w:color w:val="auto"/>
                <w:sz w:val="24"/>
                <w:highlight w:val="none"/>
                <w:lang w:val="en-US" w:eastAsia="zh-CN"/>
              </w:rPr>
              <w:t>900-217-08</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废矿物油与含矿物油废物：</w:t>
            </w:r>
            <w:r>
              <w:rPr>
                <w:rFonts w:hint="default" w:ascii="Times New Roman" w:hAnsi="Times New Roman" w:eastAsia="宋体" w:cs="Times New Roman"/>
                <w:bCs/>
                <w:color w:val="auto"/>
                <w:sz w:val="24"/>
                <w:highlight w:val="none"/>
                <w:lang w:val="en-US" w:eastAsia="zh-CN"/>
              </w:rPr>
              <w:t>900-21</w:t>
            </w:r>
            <w:r>
              <w:rPr>
                <w:rFonts w:hint="eastAsia"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-08</w:t>
            </w:r>
            <w:r>
              <w:rPr>
                <w:rFonts w:hint="eastAsia" w:ascii="Times New Roman" w:hAnsi="Times New Roman" w:eastAsia="宋体" w:cs="Times New Roman"/>
                <w:bCs/>
                <w:color w:val="auto"/>
                <w:sz w:val="24"/>
                <w:highlight w:val="none"/>
                <w:lang w:val="en-US" w:eastAsia="zh-CN"/>
              </w:rPr>
              <w:t>车辆、轮船及其它机械维修过程中产生的废发动机油、制动器油、自动变速器油、齿轮油等废润滑油”。废机油统一收集后暂存于危险废物贮存库，后交由有资质单位进行处置。</w:t>
            </w:r>
          </w:p>
          <w:p w14:paraId="40535BBB">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default" w:ascii="Times New Roman" w:hAnsi="Times New Roman" w:eastAsia="宋体" w:cs="Times New Roman"/>
                <w:strike w:val="0"/>
                <w:dstrike w:val="0"/>
                <w:color w:val="auto"/>
                <w:sz w:val="24"/>
                <w:lang w:val="en-US" w:eastAsia="zh-CN"/>
              </w:rPr>
              <w:t>③沾染油墨的抹布</w:t>
            </w:r>
          </w:p>
          <w:p w14:paraId="438CB75C">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default" w:ascii="Times New Roman" w:hAnsi="Times New Roman" w:eastAsia="宋体" w:cs="Times New Roman"/>
                <w:strike w:val="0"/>
                <w:dstrike w:val="0"/>
                <w:color w:val="auto"/>
                <w:sz w:val="24"/>
                <w:lang w:val="en-US" w:eastAsia="zh-CN"/>
              </w:rPr>
              <w:t>项目一般使用干净抹布蘸取稀释剂来清洁印刷机的印版，清洁过程中会产生沾染油墨的抹布，产生量约为0.6t/a。对照《国家危险废物名录》（202</w:t>
            </w:r>
            <w:r>
              <w:rPr>
                <w:rFonts w:hint="eastAsia" w:cs="Times New Roman"/>
                <w:strike w:val="0"/>
                <w:dstrike w:val="0"/>
                <w:color w:val="auto"/>
                <w:sz w:val="24"/>
                <w:lang w:val="en-US" w:eastAsia="zh-CN"/>
              </w:rPr>
              <w:t>5</w:t>
            </w:r>
            <w:r>
              <w:rPr>
                <w:rFonts w:hint="default" w:ascii="Times New Roman" w:hAnsi="Times New Roman" w:eastAsia="宋体" w:cs="Times New Roman"/>
                <w:strike w:val="0"/>
                <w:dstrike w:val="0"/>
                <w:color w:val="auto"/>
                <w:sz w:val="24"/>
                <w:lang w:val="en-US" w:eastAsia="zh-CN"/>
              </w:rPr>
              <w:t>版）中所列的危险固废，沾染油墨的抹布属于HW49“其他废物”中的“900-041-49”，应用专门容器收集后临时储存于危险废物暂存间，委托有资质的单位处理处置。</w:t>
            </w:r>
          </w:p>
          <w:p w14:paraId="01387678">
            <w:pPr>
              <w:pStyle w:val="3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trike w:val="0"/>
                <w:dstrike w:val="0"/>
                <w:color w:val="auto"/>
                <w:kern w:val="2"/>
                <w:sz w:val="24"/>
                <w:szCs w:val="24"/>
                <w:lang w:val="en-US" w:eastAsia="zh-CN" w:bidi="ar-SA"/>
              </w:rPr>
            </w:pPr>
            <w:r>
              <w:rPr>
                <w:rFonts w:hint="eastAsia" w:ascii="Times New Roman" w:hAnsi="Times New Roman" w:eastAsia="宋体" w:cs="Times New Roman"/>
                <w:strike w:val="0"/>
                <w:dstrike w:val="0"/>
                <w:color w:val="auto"/>
                <w:kern w:val="2"/>
                <w:sz w:val="24"/>
                <w:szCs w:val="24"/>
                <w:lang w:val="en-US" w:eastAsia="zh-CN" w:bidi="ar-SA"/>
              </w:rPr>
              <w:t>④油墨空桶、稀释剂空桶、胶水空桶等</w:t>
            </w:r>
          </w:p>
          <w:p w14:paraId="60341C40">
            <w:pPr>
              <w:pStyle w:val="3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trike w:val="0"/>
                <w:dstrike w:val="0"/>
                <w:color w:val="auto"/>
                <w:kern w:val="2"/>
                <w:sz w:val="24"/>
                <w:szCs w:val="24"/>
                <w:lang w:val="en-US" w:eastAsia="zh-CN" w:bidi="ar-SA"/>
              </w:rPr>
            </w:pPr>
            <w:r>
              <w:rPr>
                <w:rFonts w:hint="eastAsia" w:ascii="Times New Roman" w:hAnsi="Times New Roman" w:eastAsia="宋体" w:cs="Times New Roman"/>
                <w:strike w:val="0"/>
                <w:dstrike w:val="0"/>
                <w:color w:val="auto"/>
                <w:kern w:val="2"/>
                <w:sz w:val="24"/>
                <w:szCs w:val="24"/>
                <w:lang w:val="en-US" w:eastAsia="zh-CN" w:bidi="ar-SA"/>
              </w:rPr>
              <w:t>项目原料使用凹印油墨、稀释剂及胶水等，根据建设单位提供的资料，使用油墨、稀释剂及胶水产生的空桶量约为0.5t/a。对照《国家危险废物名录》（202</w:t>
            </w:r>
            <w:r>
              <w:rPr>
                <w:rFonts w:hint="eastAsia" w:ascii="Times New Roman" w:hAnsi="Times New Roman" w:cs="Times New Roman"/>
                <w:strike w:val="0"/>
                <w:dstrike w:val="0"/>
                <w:color w:val="auto"/>
                <w:kern w:val="2"/>
                <w:sz w:val="24"/>
                <w:szCs w:val="24"/>
                <w:lang w:val="en-US" w:eastAsia="zh-CN" w:bidi="ar-SA"/>
              </w:rPr>
              <w:t>5</w:t>
            </w:r>
            <w:r>
              <w:rPr>
                <w:rFonts w:hint="eastAsia" w:ascii="Times New Roman" w:hAnsi="Times New Roman" w:eastAsia="宋体" w:cs="Times New Roman"/>
                <w:strike w:val="0"/>
                <w:dstrike w:val="0"/>
                <w:color w:val="auto"/>
                <w:kern w:val="2"/>
                <w:sz w:val="24"/>
                <w:szCs w:val="24"/>
                <w:lang w:val="en-US" w:eastAsia="zh-CN" w:bidi="ar-SA"/>
              </w:rPr>
              <w:t>版）中所列的危险固废，油墨空桶、稀释剂空桶、胶水空桶等属于HW49“其他废物”中的“900-041-49”，应用专门容器收集后临时储存于危险废物暂存间，委托有资质的单位处理处置。</w:t>
            </w:r>
          </w:p>
          <w:p w14:paraId="57DCA33C">
            <w:pPr>
              <w:keepNext w:val="0"/>
              <w:pageBreakBefore w:val="0"/>
              <w:kinsoku/>
              <w:wordWrap/>
              <w:overflowPunct/>
              <w:topLinePunct w:val="0"/>
              <w:bidi w:val="0"/>
              <w:adjustRightInd w:val="0"/>
              <w:snapToGrid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综上分析，项目运营期各类固体废物产生及处置情况详见表</w:t>
            </w:r>
            <w:r>
              <w:rPr>
                <w:rFonts w:hint="eastAsia" w:ascii="Times New Roman" w:hAnsi="Times New Roman" w:eastAsia="宋体" w:cs="Times New Roman"/>
                <w:bCs/>
                <w:color w:val="auto"/>
                <w:sz w:val="24"/>
                <w:highlight w:val="none"/>
                <w:lang w:val="en-US" w:eastAsia="zh-CN"/>
              </w:rPr>
              <w:t>4.</w:t>
            </w:r>
            <w:r>
              <w:rPr>
                <w:rFonts w:hint="eastAsia"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lang w:val="en-US" w:eastAsia="zh-CN"/>
              </w:rPr>
              <w:t>-1</w:t>
            </w:r>
            <w:r>
              <w:rPr>
                <w:rFonts w:ascii="Times New Roman" w:hAnsi="Times New Roman" w:eastAsia="宋体" w:cs="Times New Roman"/>
                <w:bCs/>
                <w:color w:val="auto"/>
                <w:sz w:val="24"/>
                <w:highlight w:val="none"/>
              </w:rPr>
              <w:t>。</w:t>
            </w:r>
          </w:p>
          <w:p w14:paraId="56A050A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Times New Roman" w:cs="Times New Roman"/>
                <w:b/>
                <w:bCs/>
                <w:color w:val="auto"/>
                <w:sz w:val="24"/>
                <w:highlight w:val="none"/>
                <w:lang w:val="zh-CN"/>
              </w:rPr>
              <w:t>表</w:t>
            </w:r>
            <w:r>
              <w:rPr>
                <w:rFonts w:hint="eastAsia"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lang w:val="en-US" w:eastAsia="zh-CN"/>
              </w:rPr>
              <w:t xml:space="preserve"> 项目</w:t>
            </w:r>
            <w:r>
              <w:rPr>
                <w:rFonts w:hint="default" w:ascii="Times New Roman" w:hAnsi="Times New Roman" w:cs="Times New Roman"/>
                <w:b/>
                <w:bCs/>
                <w:color w:val="auto"/>
                <w:sz w:val="24"/>
                <w:highlight w:val="none"/>
                <w:lang w:val="en-US" w:eastAsia="zh-CN"/>
              </w:rPr>
              <w:t>固废产生及处置</w:t>
            </w:r>
            <w:r>
              <w:rPr>
                <w:rFonts w:hint="default" w:ascii="Times New Roman" w:hAnsi="Times New Roman" w:eastAsia="宋体" w:cs="Times New Roman"/>
                <w:b/>
                <w:bCs/>
                <w:color w:val="auto"/>
                <w:sz w:val="24"/>
                <w:highlight w:val="none"/>
                <w:lang w:val="en-US" w:eastAsia="zh-CN"/>
              </w:rPr>
              <w:t>情况汇总表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509"/>
              <w:gridCol w:w="784"/>
              <w:gridCol w:w="962"/>
              <w:gridCol w:w="1313"/>
              <w:gridCol w:w="1013"/>
              <w:gridCol w:w="703"/>
              <w:gridCol w:w="459"/>
              <w:gridCol w:w="719"/>
              <w:gridCol w:w="719"/>
              <w:gridCol w:w="1182"/>
            </w:tblGrid>
            <w:tr w14:paraId="0428B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440" w:type="dxa"/>
                  <w:tcBorders>
                    <w:tl2br w:val="nil"/>
                    <w:tr2bl w:val="nil"/>
                  </w:tcBorders>
                  <w:noWrap w:val="0"/>
                  <w:vAlign w:val="center"/>
                </w:tcPr>
                <w:p w14:paraId="1B23CB8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509" w:type="dxa"/>
                  <w:tcBorders>
                    <w:tl2br w:val="nil"/>
                    <w:tr2bl w:val="nil"/>
                  </w:tcBorders>
                  <w:noWrap w:val="0"/>
                  <w:vAlign w:val="center"/>
                </w:tcPr>
                <w:p w14:paraId="0462FE1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784" w:type="dxa"/>
                  <w:tcBorders>
                    <w:tl2br w:val="nil"/>
                    <w:tr2bl w:val="nil"/>
                  </w:tcBorders>
                  <w:noWrap w:val="0"/>
                  <w:vAlign w:val="center"/>
                </w:tcPr>
                <w:p w14:paraId="5376D5E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固废名称</w:t>
                  </w:r>
                </w:p>
              </w:tc>
              <w:tc>
                <w:tcPr>
                  <w:tcW w:w="962" w:type="dxa"/>
                  <w:tcBorders>
                    <w:tl2br w:val="nil"/>
                    <w:tr2bl w:val="nil"/>
                  </w:tcBorders>
                  <w:noWrap w:val="0"/>
                  <w:vAlign w:val="center"/>
                </w:tcPr>
                <w:p w14:paraId="710F232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类别</w:t>
                  </w:r>
                </w:p>
              </w:tc>
              <w:tc>
                <w:tcPr>
                  <w:tcW w:w="1313" w:type="dxa"/>
                  <w:tcBorders>
                    <w:tl2br w:val="nil"/>
                    <w:tr2bl w:val="nil"/>
                  </w:tcBorders>
                  <w:noWrap w:val="0"/>
                  <w:vAlign w:val="center"/>
                </w:tcPr>
                <w:p w14:paraId="739388F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废物代码</w:t>
                  </w:r>
                </w:p>
              </w:tc>
              <w:tc>
                <w:tcPr>
                  <w:tcW w:w="1013" w:type="dxa"/>
                  <w:tcBorders>
                    <w:tl2br w:val="nil"/>
                    <w:tr2bl w:val="nil"/>
                  </w:tcBorders>
                  <w:noWrap w:val="0"/>
                  <w:vAlign w:val="center"/>
                </w:tcPr>
                <w:p w14:paraId="73797B0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产生量t/a</w:t>
                  </w:r>
                </w:p>
              </w:tc>
              <w:tc>
                <w:tcPr>
                  <w:tcW w:w="703" w:type="dxa"/>
                  <w:tcBorders>
                    <w:tl2br w:val="nil"/>
                    <w:tr2bl w:val="nil"/>
                  </w:tcBorders>
                  <w:noWrap w:val="0"/>
                  <w:vAlign w:val="center"/>
                </w:tcPr>
                <w:p w14:paraId="0DEC63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产生环节</w:t>
                  </w:r>
                </w:p>
              </w:tc>
              <w:tc>
                <w:tcPr>
                  <w:tcW w:w="459" w:type="dxa"/>
                  <w:tcBorders>
                    <w:tl2br w:val="nil"/>
                    <w:tr2bl w:val="nil"/>
                  </w:tcBorders>
                  <w:noWrap w:val="0"/>
                  <w:vAlign w:val="center"/>
                </w:tcPr>
                <w:p w14:paraId="7F4D9A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形态</w:t>
                  </w:r>
                </w:p>
              </w:tc>
              <w:tc>
                <w:tcPr>
                  <w:tcW w:w="719" w:type="dxa"/>
                  <w:tcBorders>
                    <w:tl2br w:val="nil"/>
                    <w:tr2bl w:val="nil"/>
                  </w:tcBorders>
                  <w:noWrap w:val="0"/>
                  <w:vAlign w:val="center"/>
                </w:tcPr>
                <w:p w14:paraId="2505040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主要成分</w:t>
                  </w:r>
                </w:p>
              </w:tc>
              <w:tc>
                <w:tcPr>
                  <w:tcW w:w="719" w:type="dxa"/>
                  <w:tcBorders>
                    <w:tl2br w:val="nil"/>
                    <w:tr2bl w:val="nil"/>
                  </w:tcBorders>
                  <w:noWrap w:val="0"/>
                  <w:vAlign w:val="center"/>
                </w:tcPr>
                <w:p w14:paraId="5E8D3A4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有害成分</w:t>
                  </w:r>
                </w:p>
              </w:tc>
              <w:tc>
                <w:tcPr>
                  <w:tcW w:w="1182" w:type="dxa"/>
                  <w:tcBorders>
                    <w:tl2br w:val="nil"/>
                    <w:tr2bl w:val="nil"/>
                  </w:tcBorders>
                  <w:noWrap w:val="0"/>
                  <w:vAlign w:val="center"/>
                </w:tcPr>
                <w:p w14:paraId="19CF13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处置方式</w:t>
                  </w:r>
                </w:p>
              </w:tc>
            </w:tr>
            <w:tr w14:paraId="1783C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440" w:type="dxa"/>
                  <w:tcBorders>
                    <w:tl2br w:val="nil"/>
                    <w:tr2bl w:val="nil"/>
                  </w:tcBorders>
                  <w:shd w:val="clear" w:color="auto" w:fill="auto"/>
                  <w:noWrap w:val="0"/>
                  <w:vAlign w:val="center"/>
                </w:tcPr>
                <w:p w14:paraId="58FB55B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509" w:type="dxa"/>
                  <w:tcBorders>
                    <w:tl2br w:val="nil"/>
                    <w:tr2bl w:val="nil"/>
                  </w:tcBorders>
                  <w:shd w:val="clear" w:color="auto" w:fill="auto"/>
                  <w:noWrap w:val="0"/>
                  <w:vAlign w:val="center"/>
                </w:tcPr>
                <w:p w14:paraId="58EA358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784" w:type="dxa"/>
                  <w:tcBorders>
                    <w:tl2br w:val="nil"/>
                    <w:tr2bl w:val="nil"/>
                  </w:tcBorders>
                  <w:shd w:val="clear" w:color="auto" w:fill="auto"/>
                  <w:noWrap w:val="0"/>
                  <w:vAlign w:val="center"/>
                </w:tcPr>
                <w:p w14:paraId="59BDA49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办公、生活等</w:t>
                  </w:r>
                </w:p>
              </w:tc>
              <w:tc>
                <w:tcPr>
                  <w:tcW w:w="962" w:type="dxa"/>
                  <w:tcBorders>
                    <w:tl2br w:val="nil"/>
                    <w:tr2bl w:val="nil"/>
                  </w:tcBorders>
                  <w:shd w:val="clear" w:color="auto" w:fill="auto"/>
                  <w:noWrap w:val="0"/>
                  <w:vAlign w:val="center"/>
                </w:tcPr>
                <w:p w14:paraId="0A9E7A7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SW64其他垃圾</w:t>
                  </w:r>
                </w:p>
              </w:tc>
              <w:tc>
                <w:tcPr>
                  <w:tcW w:w="1313" w:type="dxa"/>
                  <w:tcBorders>
                    <w:tl2br w:val="nil"/>
                    <w:tr2bl w:val="nil"/>
                  </w:tcBorders>
                  <w:shd w:val="clear" w:color="auto" w:fill="auto"/>
                  <w:noWrap w:val="0"/>
                  <w:vAlign w:val="center"/>
                </w:tcPr>
                <w:p w14:paraId="7F92A26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900-099-S64</w:t>
                  </w:r>
                </w:p>
              </w:tc>
              <w:tc>
                <w:tcPr>
                  <w:tcW w:w="1013" w:type="dxa"/>
                  <w:tcBorders>
                    <w:tl2br w:val="nil"/>
                    <w:tr2bl w:val="nil"/>
                  </w:tcBorders>
                  <w:shd w:val="clear" w:color="auto" w:fill="auto"/>
                  <w:noWrap w:val="0"/>
                  <w:vAlign w:val="center"/>
                </w:tcPr>
                <w:p w14:paraId="7E5A05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703" w:type="dxa"/>
                  <w:tcBorders>
                    <w:tl2br w:val="nil"/>
                    <w:tr2bl w:val="nil"/>
                  </w:tcBorders>
                  <w:shd w:val="clear" w:color="auto" w:fill="auto"/>
                  <w:noWrap w:val="0"/>
                  <w:vAlign w:val="center"/>
                </w:tcPr>
                <w:p w14:paraId="62C1BF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职工日常生活</w:t>
                  </w:r>
                </w:p>
              </w:tc>
              <w:tc>
                <w:tcPr>
                  <w:tcW w:w="459" w:type="dxa"/>
                  <w:tcBorders>
                    <w:tl2br w:val="nil"/>
                    <w:tr2bl w:val="nil"/>
                  </w:tcBorders>
                  <w:shd w:val="clear" w:color="auto" w:fill="auto"/>
                  <w:noWrap w:val="0"/>
                  <w:vAlign w:val="center"/>
                </w:tcPr>
                <w:p w14:paraId="728F21B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dxa"/>
                  <w:tcBorders>
                    <w:tl2br w:val="nil"/>
                    <w:tr2bl w:val="nil"/>
                  </w:tcBorders>
                  <w:shd w:val="clear" w:color="auto" w:fill="auto"/>
                  <w:noWrap w:val="0"/>
                  <w:vAlign w:val="center"/>
                </w:tcPr>
                <w:p w14:paraId="1873824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dxa"/>
                  <w:tcBorders>
                    <w:tl2br w:val="nil"/>
                    <w:tr2bl w:val="nil"/>
                  </w:tcBorders>
                  <w:shd w:val="clear" w:color="auto" w:fill="auto"/>
                  <w:noWrap w:val="0"/>
                  <w:vAlign w:val="center"/>
                </w:tcPr>
                <w:p w14:paraId="74BD79C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82" w:type="dxa"/>
                  <w:tcBorders>
                    <w:tl2br w:val="nil"/>
                    <w:tr2bl w:val="nil"/>
                  </w:tcBorders>
                  <w:shd w:val="clear" w:color="auto" w:fill="auto"/>
                  <w:noWrap w:val="0"/>
                  <w:vAlign w:val="center"/>
                </w:tcPr>
                <w:p w14:paraId="77784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分类</w:t>
                  </w:r>
                  <w:r>
                    <w:rPr>
                      <w:rFonts w:hint="default" w:ascii="Times New Roman" w:hAnsi="Times New Roman" w:eastAsia="宋体" w:cs="Times New Roman"/>
                      <w:color w:val="auto"/>
                      <w:sz w:val="21"/>
                      <w:szCs w:val="21"/>
                      <w:highlight w:val="none"/>
                    </w:rPr>
                    <w:t>收集后交由环卫部门统一清运处置</w:t>
                  </w:r>
                </w:p>
              </w:tc>
            </w:tr>
            <w:tr w14:paraId="78F6E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40" w:type="dxa"/>
                  <w:vMerge w:val="restart"/>
                  <w:tcBorders>
                    <w:tl2br w:val="nil"/>
                    <w:tr2bl w:val="nil"/>
                  </w:tcBorders>
                  <w:noWrap w:val="0"/>
                  <w:vAlign w:val="center"/>
                </w:tcPr>
                <w:p w14:paraId="2C2945A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09" w:type="dxa"/>
                  <w:vMerge w:val="restart"/>
                  <w:tcBorders>
                    <w:tl2br w:val="nil"/>
                    <w:tr2bl w:val="nil"/>
                  </w:tcBorders>
                  <w:noWrap w:val="0"/>
                  <w:vAlign w:val="center"/>
                </w:tcPr>
                <w:p w14:paraId="7C424C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784" w:type="dxa"/>
                  <w:tcBorders>
                    <w:tl2br w:val="nil"/>
                    <w:tr2bl w:val="nil"/>
                  </w:tcBorders>
                  <w:noWrap w:val="0"/>
                  <w:vAlign w:val="center"/>
                </w:tcPr>
                <w:p w14:paraId="0A8A25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sz w:val="21"/>
                      <w:szCs w:val="21"/>
                      <w:lang w:val="en-US" w:eastAsia="zh-CN"/>
                    </w:rPr>
                    <w:t>塑料</w:t>
                  </w:r>
                  <w:r>
                    <w:rPr>
                      <w:rFonts w:hint="default" w:ascii="Times New Roman" w:hAnsi="Times New Roman" w:eastAsia="宋体" w:cs="Times New Roman"/>
                      <w:color w:val="000000"/>
                      <w:sz w:val="21"/>
                      <w:szCs w:val="21"/>
                    </w:rPr>
                    <w:t>边角料</w:t>
                  </w:r>
                  <w:r>
                    <w:rPr>
                      <w:rFonts w:hint="default" w:ascii="Times New Roman" w:hAnsi="Times New Roman" w:eastAsia="宋体" w:cs="Times New Roman"/>
                      <w:color w:val="000000"/>
                      <w:sz w:val="21"/>
                      <w:szCs w:val="21"/>
                      <w:lang w:val="en-US" w:eastAsia="zh-CN"/>
                    </w:rPr>
                    <w:t>及</w:t>
                  </w:r>
                  <w:r>
                    <w:rPr>
                      <w:rFonts w:hint="eastAsia" w:ascii="Times New Roman" w:hAnsi="Times New Roman" w:eastAsia="宋体" w:cs="Times New Roman"/>
                      <w:color w:val="000000"/>
                      <w:sz w:val="21"/>
                      <w:szCs w:val="21"/>
                      <w:lang w:val="en-US" w:eastAsia="zh-CN"/>
                    </w:rPr>
                    <w:t>不合格产品</w:t>
                  </w:r>
                </w:p>
              </w:tc>
              <w:tc>
                <w:tcPr>
                  <w:tcW w:w="962" w:type="dxa"/>
                  <w:tcBorders>
                    <w:tl2br w:val="nil"/>
                    <w:tr2bl w:val="nil"/>
                  </w:tcBorders>
                  <w:noWrap w:val="0"/>
                  <w:vAlign w:val="center"/>
                </w:tcPr>
                <w:p w14:paraId="384E17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SW17可再生类废物</w:t>
                  </w:r>
                </w:p>
              </w:tc>
              <w:tc>
                <w:tcPr>
                  <w:tcW w:w="1313" w:type="dxa"/>
                  <w:tcBorders>
                    <w:tl2br w:val="nil"/>
                    <w:tr2bl w:val="nil"/>
                  </w:tcBorders>
                  <w:noWrap w:val="0"/>
                  <w:vAlign w:val="center"/>
                </w:tcPr>
                <w:p w14:paraId="57C252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900-003-S17</w:t>
                  </w:r>
                </w:p>
              </w:tc>
              <w:tc>
                <w:tcPr>
                  <w:tcW w:w="1013" w:type="dxa"/>
                  <w:tcBorders>
                    <w:tl2br w:val="nil"/>
                    <w:tr2bl w:val="nil"/>
                  </w:tcBorders>
                  <w:noWrap w:val="0"/>
                  <w:vAlign w:val="center"/>
                </w:tcPr>
                <w:p w14:paraId="6CE246D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14.5</w:t>
                  </w:r>
                </w:p>
              </w:tc>
              <w:tc>
                <w:tcPr>
                  <w:tcW w:w="703" w:type="dxa"/>
                  <w:tcBorders>
                    <w:tl2br w:val="nil"/>
                    <w:tr2bl w:val="nil"/>
                  </w:tcBorders>
                  <w:noWrap w:val="0"/>
                  <w:vAlign w:val="center"/>
                </w:tcPr>
                <w:p w14:paraId="222AE3B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检验、修剪</w:t>
                  </w:r>
                </w:p>
              </w:tc>
              <w:tc>
                <w:tcPr>
                  <w:tcW w:w="459" w:type="dxa"/>
                  <w:tcBorders>
                    <w:tl2br w:val="nil"/>
                    <w:tr2bl w:val="nil"/>
                  </w:tcBorders>
                  <w:noWrap w:val="0"/>
                  <w:vAlign w:val="center"/>
                </w:tcPr>
                <w:p w14:paraId="4116D39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19" w:type="dxa"/>
                  <w:tcBorders>
                    <w:tl2br w:val="nil"/>
                    <w:tr2bl w:val="nil"/>
                  </w:tcBorders>
                  <w:noWrap w:val="0"/>
                  <w:vAlign w:val="center"/>
                </w:tcPr>
                <w:p w14:paraId="6F57522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废塑料</w:t>
                  </w:r>
                </w:p>
              </w:tc>
              <w:tc>
                <w:tcPr>
                  <w:tcW w:w="719" w:type="dxa"/>
                  <w:tcBorders>
                    <w:tl2br w:val="nil"/>
                    <w:tr2bl w:val="nil"/>
                  </w:tcBorders>
                  <w:noWrap w:val="0"/>
                  <w:vAlign w:val="center"/>
                </w:tcPr>
                <w:p w14:paraId="4BB72D2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82" w:type="dxa"/>
                  <w:tcBorders>
                    <w:tl2br w:val="nil"/>
                    <w:tr2bl w:val="nil"/>
                  </w:tcBorders>
                  <w:noWrap w:val="0"/>
                  <w:vAlign w:val="center"/>
                </w:tcPr>
                <w:p w14:paraId="4D15C50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收集后经破碎处理回用于生产</w:t>
                  </w:r>
                </w:p>
              </w:tc>
            </w:tr>
            <w:tr w14:paraId="5300E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16" w:hRule="atLeast"/>
              </w:trPr>
              <w:tc>
                <w:tcPr>
                  <w:tcW w:w="440" w:type="dxa"/>
                  <w:vMerge w:val="continue"/>
                  <w:tcBorders>
                    <w:tl2br w:val="nil"/>
                    <w:tr2bl w:val="nil"/>
                  </w:tcBorders>
                  <w:noWrap w:val="0"/>
                  <w:vAlign w:val="center"/>
                </w:tcPr>
                <w:p w14:paraId="526D31A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09" w:type="dxa"/>
                  <w:vMerge w:val="continue"/>
                  <w:tcBorders>
                    <w:tl2br w:val="nil"/>
                    <w:tr2bl w:val="nil"/>
                  </w:tcBorders>
                  <w:noWrap w:val="0"/>
                  <w:vAlign w:val="center"/>
                </w:tcPr>
                <w:p w14:paraId="20DB26C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84" w:type="dxa"/>
                  <w:tcBorders>
                    <w:tl2br w:val="nil"/>
                    <w:tr2bl w:val="nil"/>
                  </w:tcBorders>
                  <w:noWrap w:val="0"/>
                  <w:vAlign w:val="center"/>
                </w:tcPr>
                <w:p w14:paraId="3315938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废包装纸箱、包装袋</w:t>
                  </w:r>
                </w:p>
              </w:tc>
              <w:tc>
                <w:tcPr>
                  <w:tcW w:w="962" w:type="dxa"/>
                  <w:tcBorders>
                    <w:tl2br w:val="nil"/>
                    <w:tr2bl w:val="nil"/>
                  </w:tcBorders>
                  <w:noWrap w:val="0"/>
                  <w:vAlign w:val="center"/>
                </w:tcPr>
                <w:p w14:paraId="7FA98A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SW17可再生类废物</w:t>
                  </w:r>
                </w:p>
              </w:tc>
              <w:tc>
                <w:tcPr>
                  <w:tcW w:w="1313" w:type="dxa"/>
                  <w:tcBorders>
                    <w:tl2br w:val="nil"/>
                    <w:tr2bl w:val="nil"/>
                  </w:tcBorders>
                  <w:noWrap w:val="0"/>
                  <w:vAlign w:val="center"/>
                </w:tcPr>
                <w:p w14:paraId="67811B9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900-003-S17</w:t>
                  </w:r>
                </w:p>
              </w:tc>
              <w:tc>
                <w:tcPr>
                  <w:tcW w:w="1013" w:type="dxa"/>
                  <w:tcBorders>
                    <w:tl2br w:val="nil"/>
                    <w:tr2bl w:val="nil"/>
                  </w:tcBorders>
                  <w:noWrap w:val="0"/>
                  <w:vAlign w:val="center"/>
                </w:tcPr>
                <w:p w14:paraId="7EAE8A8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w:t>
                  </w:r>
                </w:p>
              </w:tc>
              <w:tc>
                <w:tcPr>
                  <w:tcW w:w="703" w:type="dxa"/>
                  <w:tcBorders>
                    <w:tl2br w:val="nil"/>
                    <w:tr2bl w:val="nil"/>
                  </w:tcBorders>
                  <w:noWrap w:val="0"/>
                  <w:vAlign w:val="center"/>
                </w:tcPr>
                <w:p w14:paraId="743868A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配料、包装</w:t>
                  </w:r>
                </w:p>
              </w:tc>
              <w:tc>
                <w:tcPr>
                  <w:tcW w:w="459" w:type="dxa"/>
                  <w:tcBorders>
                    <w:tl2br w:val="nil"/>
                    <w:tr2bl w:val="nil"/>
                  </w:tcBorders>
                  <w:noWrap w:val="0"/>
                  <w:vAlign w:val="center"/>
                </w:tcPr>
                <w:p w14:paraId="25509E6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19" w:type="dxa"/>
                  <w:tcBorders>
                    <w:tl2br w:val="nil"/>
                    <w:tr2bl w:val="nil"/>
                  </w:tcBorders>
                  <w:noWrap w:val="0"/>
                  <w:vAlign w:val="center"/>
                </w:tcPr>
                <w:p w14:paraId="5E02863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纸箱、塑料</w:t>
                  </w:r>
                </w:p>
              </w:tc>
              <w:tc>
                <w:tcPr>
                  <w:tcW w:w="719" w:type="dxa"/>
                  <w:tcBorders>
                    <w:tl2br w:val="nil"/>
                    <w:tr2bl w:val="nil"/>
                  </w:tcBorders>
                  <w:noWrap w:val="0"/>
                  <w:vAlign w:val="center"/>
                </w:tcPr>
                <w:p w14:paraId="6A7FE21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182" w:type="dxa"/>
                  <w:tcBorders>
                    <w:tl2br w:val="nil"/>
                    <w:tr2bl w:val="nil"/>
                  </w:tcBorders>
                  <w:noWrap w:val="0"/>
                  <w:vAlign w:val="center"/>
                </w:tcPr>
                <w:p w14:paraId="78644EB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经妥善分类收集后暂存于一般工业固废暂存间内，定期出售给回收企业综合利用</w:t>
                  </w:r>
                </w:p>
              </w:tc>
            </w:tr>
            <w:tr w14:paraId="23177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440" w:type="dxa"/>
                  <w:vMerge w:val="restart"/>
                  <w:tcBorders>
                    <w:tl2br w:val="nil"/>
                    <w:tr2bl w:val="nil"/>
                  </w:tcBorders>
                  <w:noWrap w:val="0"/>
                  <w:vAlign w:val="center"/>
                </w:tcPr>
                <w:p w14:paraId="46905F9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09" w:type="dxa"/>
                  <w:vMerge w:val="restart"/>
                  <w:tcBorders>
                    <w:tl2br w:val="nil"/>
                    <w:tr2bl w:val="nil"/>
                  </w:tcBorders>
                  <w:noWrap w:val="0"/>
                  <w:vAlign w:val="center"/>
                </w:tcPr>
                <w:p w14:paraId="621FFC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784" w:type="dxa"/>
                  <w:tcBorders>
                    <w:tl2br w:val="nil"/>
                    <w:tr2bl w:val="nil"/>
                  </w:tcBorders>
                  <w:noWrap w:val="0"/>
                  <w:vAlign w:val="center"/>
                </w:tcPr>
                <w:p w14:paraId="4786E36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962" w:type="dxa"/>
                  <w:tcBorders>
                    <w:tl2br w:val="nil"/>
                    <w:tr2bl w:val="nil"/>
                  </w:tcBorders>
                  <w:noWrap w:val="0"/>
                  <w:vAlign w:val="center"/>
                </w:tcPr>
                <w:p w14:paraId="6A61E0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1313" w:type="dxa"/>
                  <w:tcBorders>
                    <w:tl2br w:val="nil"/>
                    <w:tr2bl w:val="nil"/>
                  </w:tcBorders>
                  <w:noWrap w:val="0"/>
                  <w:vAlign w:val="center"/>
                </w:tcPr>
                <w:p w14:paraId="546FCD2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1013" w:type="dxa"/>
                  <w:tcBorders>
                    <w:tl2br w:val="nil"/>
                    <w:tr2bl w:val="nil"/>
                  </w:tcBorders>
                  <w:noWrap w:val="0"/>
                  <w:vAlign w:val="center"/>
                </w:tcPr>
                <w:p w14:paraId="5A365E8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24.102</w:t>
                  </w:r>
                </w:p>
              </w:tc>
              <w:tc>
                <w:tcPr>
                  <w:tcW w:w="703" w:type="dxa"/>
                  <w:tcBorders>
                    <w:tl2br w:val="nil"/>
                    <w:tr2bl w:val="nil"/>
                  </w:tcBorders>
                  <w:noWrap w:val="0"/>
                  <w:vAlign w:val="center"/>
                </w:tcPr>
                <w:p w14:paraId="321B9EB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459" w:type="dxa"/>
                  <w:tcBorders>
                    <w:tl2br w:val="nil"/>
                    <w:tr2bl w:val="nil"/>
                  </w:tcBorders>
                  <w:noWrap w:val="0"/>
                  <w:vAlign w:val="center"/>
                </w:tcPr>
                <w:p w14:paraId="719A44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19" w:type="dxa"/>
                  <w:tcBorders>
                    <w:tl2br w:val="nil"/>
                    <w:tr2bl w:val="nil"/>
                  </w:tcBorders>
                  <w:noWrap w:val="0"/>
                  <w:vAlign w:val="center"/>
                </w:tcPr>
                <w:p w14:paraId="3AE4E82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活性炭、有机物</w:t>
                  </w:r>
                </w:p>
              </w:tc>
              <w:tc>
                <w:tcPr>
                  <w:tcW w:w="719" w:type="dxa"/>
                  <w:tcBorders>
                    <w:tl2br w:val="nil"/>
                    <w:tr2bl w:val="nil"/>
                  </w:tcBorders>
                  <w:noWrap w:val="0"/>
                  <w:vAlign w:val="center"/>
                </w:tcPr>
                <w:p w14:paraId="5E0652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1182" w:type="dxa"/>
                  <w:vMerge w:val="restart"/>
                  <w:tcBorders>
                    <w:tl2br w:val="nil"/>
                    <w:tr2bl w:val="nil"/>
                  </w:tcBorders>
                  <w:noWrap w:val="0"/>
                  <w:vAlign w:val="center"/>
                </w:tcPr>
                <w:p w14:paraId="102AFC4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7AC26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0" w:type="dxa"/>
                  <w:vMerge w:val="continue"/>
                  <w:tcBorders>
                    <w:tl2br w:val="nil"/>
                    <w:tr2bl w:val="nil"/>
                  </w:tcBorders>
                  <w:noWrap w:val="0"/>
                  <w:vAlign w:val="center"/>
                </w:tcPr>
                <w:p w14:paraId="1042B66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09" w:type="dxa"/>
                  <w:vMerge w:val="continue"/>
                  <w:tcBorders>
                    <w:tl2br w:val="nil"/>
                    <w:tr2bl w:val="nil"/>
                  </w:tcBorders>
                  <w:noWrap w:val="0"/>
                  <w:vAlign w:val="center"/>
                </w:tcPr>
                <w:p w14:paraId="5A13BC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84" w:type="dxa"/>
                  <w:tcBorders>
                    <w:tl2br w:val="nil"/>
                    <w:tr2bl w:val="nil"/>
                  </w:tcBorders>
                  <w:noWrap w:val="0"/>
                  <w:vAlign w:val="center"/>
                </w:tcPr>
                <w:p w14:paraId="171A83F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962" w:type="dxa"/>
                  <w:tcBorders>
                    <w:tl2br w:val="nil"/>
                    <w:tr2bl w:val="nil"/>
                  </w:tcBorders>
                  <w:noWrap w:val="0"/>
                  <w:vAlign w:val="center"/>
                </w:tcPr>
                <w:p w14:paraId="49C6AA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1313" w:type="dxa"/>
                  <w:tcBorders>
                    <w:tl2br w:val="nil"/>
                    <w:tr2bl w:val="nil"/>
                  </w:tcBorders>
                  <w:noWrap w:val="0"/>
                  <w:vAlign w:val="center"/>
                </w:tcPr>
                <w:p w14:paraId="038DDD3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321A686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13" w:type="dxa"/>
                  <w:tcBorders>
                    <w:tl2br w:val="nil"/>
                    <w:tr2bl w:val="nil"/>
                  </w:tcBorders>
                  <w:noWrap w:val="0"/>
                  <w:vAlign w:val="center"/>
                </w:tcPr>
                <w:p w14:paraId="3553B42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0.12</w:t>
                  </w:r>
                </w:p>
              </w:tc>
              <w:tc>
                <w:tcPr>
                  <w:tcW w:w="703" w:type="dxa"/>
                  <w:tcBorders>
                    <w:tl2br w:val="nil"/>
                    <w:tr2bl w:val="nil"/>
                  </w:tcBorders>
                  <w:noWrap w:val="0"/>
                  <w:vAlign w:val="center"/>
                </w:tcPr>
                <w:p w14:paraId="3B563A8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459" w:type="dxa"/>
                  <w:tcBorders>
                    <w:tl2br w:val="nil"/>
                    <w:tr2bl w:val="nil"/>
                  </w:tcBorders>
                  <w:noWrap w:val="0"/>
                  <w:vAlign w:val="center"/>
                </w:tcPr>
                <w:p w14:paraId="264107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719" w:type="dxa"/>
                  <w:tcBorders>
                    <w:tl2br w:val="nil"/>
                    <w:tr2bl w:val="nil"/>
                  </w:tcBorders>
                  <w:noWrap w:val="0"/>
                  <w:vAlign w:val="center"/>
                </w:tcPr>
                <w:p w14:paraId="0CC53DC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w:t>
                  </w:r>
                </w:p>
              </w:tc>
              <w:tc>
                <w:tcPr>
                  <w:tcW w:w="719" w:type="dxa"/>
                  <w:tcBorders>
                    <w:tl2br w:val="nil"/>
                    <w:tr2bl w:val="nil"/>
                  </w:tcBorders>
                  <w:noWrap w:val="0"/>
                  <w:vAlign w:val="center"/>
                </w:tcPr>
                <w:p w14:paraId="014BA73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1182" w:type="dxa"/>
                  <w:vMerge w:val="continue"/>
                  <w:tcBorders>
                    <w:tl2br w:val="nil"/>
                    <w:tr2bl w:val="nil"/>
                  </w:tcBorders>
                  <w:noWrap w:val="0"/>
                  <w:vAlign w:val="center"/>
                </w:tcPr>
                <w:p w14:paraId="32D2513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2E9B6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0" w:type="dxa"/>
                  <w:vMerge w:val="continue"/>
                  <w:tcBorders>
                    <w:tl2br w:val="nil"/>
                    <w:tr2bl w:val="nil"/>
                  </w:tcBorders>
                  <w:noWrap w:val="0"/>
                  <w:vAlign w:val="center"/>
                </w:tcPr>
                <w:p w14:paraId="3CD3247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09" w:type="dxa"/>
                  <w:vMerge w:val="continue"/>
                  <w:tcBorders>
                    <w:tl2br w:val="nil"/>
                    <w:tr2bl w:val="nil"/>
                  </w:tcBorders>
                  <w:noWrap w:val="0"/>
                  <w:vAlign w:val="center"/>
                </w:tcPr>
                <w:p w14:paraId="0EB6A02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84" w:type="dxa"/>
                  <w:tcBorders>
                    <w:tl2br w:val="nil"/>
                    <w:tr2bl w:val="nil"/>
                  </w:tcBorders>
                  <w:noWrap w:val="0"/>
                  <w:vAlign w:val="center"/>
                </w:tcPr>
                <w:p w14:paraId="7E37DC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沾染油墨的抹布</w:t>
                  </w:r>
                </w:p>
              </w:tc>
              <w:tc>
                <w:tcPr>
                  <w:tcW w:w="962" w:type="dxa"/>
                  <w:tcBorders>
                    <w:tl2br w:val="nil"/>
                    <w:tr2bl w:val="nil"/>
                  </w:tcBorders>
                  <w:noWrap w:val="0"/>
                  <w:vAlign w:val="center"/>
                </w:tcPr>
                <w:p w14:paraId="53D1D2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1313" w:type="dxa"/>
                  <w:tcBorders>
                    <w:tl2br w:val="nil"/>
                    <w:tr2bl w:val="nil"/>
                  </w:tcBorders>
                  <w:noWrap w:val="0"/>
                  <w:vAlign w:val="center"/>
                </w:tcPr>
                <w:p w14:paraId="269F06A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1013" w:type="dxa"/>
                  <w:tcBorders>
                    <w:tl2br w:val="nil"/>
                    <w:tr2bl w:val="nil"/>
                  </w:tcBorders>
                  <w:noWrap w:val="0"/>
                  <w:vAlign w:val="center"/>
                </w:tcPr>
                <w:p w14:paraId="4544ECE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0.6</w:t>
                  </w:r>
                </w:p>
              </w:tc>
              <w:tc>
                <w:tcPr>
                  <w:tcW w:w="703" w:type="dxa"/>
                  <w:tcBorders>
                    <w:tl2br w:val="nil"/>
                    <w:tr2bl w:val="nil"/>
                  </w:tcBorders>
                  <w:noWrap w:val="0"/>
                  <w:vAlign w:val="center"/>
                </w:tcPr>
                <w:p w14:paraId="5B39A9D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设备擦拭</w:t>
                  </w:r>
                </w:p>
              </w:tc>
              <w:tc>
                <w:tcPr>
                  <w:tcW w:w="459" w:type="dxa"/>
                  <w:tcBorders>
                    <w:tl2br w:val="nil"/>
                    <w:tr2bl w:val="nil"/>
                  </w:tcBorders>
                  <w:noWrap w:val="0"/>
                  <w:vAlign w:val="center"/>
                </w:tcPr>
                <w:p w14:paraId="4F8356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19" w:type="dxa"/>
                  <w:tcBorders>
                    <w:tl2br w:val="nil"/>
                    <w:tr2bl w:val="nil"/>
                  </w:tcBorders>
                  <w:noWrap w:val="0"/>
                  <w:vAlign w:val="center"/>
                </w:tcPr>
                <w:p w14:paraId="6A47E49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719" w:type="dxa"/>
                  <w:tcBorders>
                    <w:tl2br w:val="nil"/>
                    <w:tr2bl w:val="nil"/>
                  </w:tcBorders>
                  <w:noWrap w:val="0"/>
                  <w:vAlign w:val="center"/>
                </w:tcPr>
                <w:p w14:paraId="04A024B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1182" w:type="dxa"/>
                  <w:vMerge w:val="continue"/>
                  <w:tcBorders>
                    <w:tl2br w:val="nil"/>
                    <w:tr2bl w:val="nil"/>
                  </w:tcBorders>
                  <w:noWrap w:val="0"/>
                  <w:vAlign w:val="center"/>
                </w:tcPr>
                <w:p w14:paraId="75E0E5E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5EC1D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0" w:type="dxa"/>
                  <w:vMerge w:val="continue"/>
                  <w:tcBorders>
                    <w:tl2br w:val="nil"/>
                    <w:tr2bl w:val="nil"/>
                  </w:tcBorders>
                  <w:noWrap w:val="0"/>
                  <w:vAlign w:val="center"/>
                </w:tcPr>
                <w:p w14:paraId="4CF051E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09" w:type="dxa"/>
                  <w:vMerge w:val="continue"/>
                  <w:tcBorders>
                    <w:tl2br w:val="nil"/>
                    <w:tr2bl w:val="nil"/>
                  </w:tcBorders>
                  <w:noWrap w:val="0"/>
                  <w:vAlign w:val="center"/>
                </w:tcPr>
                <w:p w14:paraId="0DAC7E2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84" w:type="dxa"/>
                  <w:tcBorders>
                    <w:tl2br w:val="nil"/>
                    <w:tr2bl w:val="nil"/>
                  </w:tcBorders>
                  <w:noWrap w:val="0"/>
                  <w:vAlign w:val="center"/>
                </w:tcPr>
                <w:p w14:paraId="2DB885B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油墨空桶、稀释剂空桶、胶水空桶等</w:t>
                  </w:r>
                </w:p>
              </w:tc>
              <w:tc>
                <w:tcPr>
                  <w:tcW w:w="962" w:type="dxa"/>
                  <w:tcBorders>
                    <w:tl2br w:val="nil"/>
                    <w:tr2bl w:val="nil"/>
                  </w:tcBorders>
                  <w:noWrap w:val="0"/>
                  <w:vAlign w:val="center"/>
                </w:tcPr>
                <w:p w14:paraId="62C82F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1313" w:type="dxa"/>
                  <w:tcBorders>
                    <w:tl2br w:val="nil"/>
                    <w:tr2bl w:val="nil"/>
                  </w:tcBorders>
                  <w:noWrap w:val="0"/>
                  <w:vAlign w:val="center"/>
                </w:tcPr>
                <w:p w14:paraId="238AE3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1013" w:type="dxa"/>
                  <w:tcBorders>
                    <w:tl2br w:val="nil"/>
                    <w:tr2bl w:val="nil"/>
                  </w:tcBorders>
                  <w:noWrap w:val="0"/>
                  <w:vAlign w:val="center"/>
                </w:tcPr>
                <w:p w14:paraId="7BCC626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w:t>
                  </w:r>
                </w:p>
              </w:tc>
              <w:tc>
                <w:tcPr>
                  <w:tcW w:w="703" w:type="dxa"/>
                  <w:tcBorders>
                    <w:tl2br w:val="nil"/>
                    <w:tr2bl w:val="nil"/>
                  </w:tcBorders>
                  <w:noWrap w:val="0"/>
                  <w:vAlign w:val="center"/>
                </w:tcPr>
                <w:p w14:paraId="47F21DC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原料包装</w:t>
                  </w:r>
                </w:p>
              </w:tc>
              <w:tc>
                <w:tcPr>
                  <w:tcW w:w="459" w:type="dxa"/>
                  <w:tcBorders>
                    <w:tl2br w:val="nil"/>
                    <w:tr2bl w:val="nil"/>
                  </w:tcBorders>
                  <w:noWrap w:val="0"/>
                  <w:vAlign w:val="center"/>
                </w:tcPr>
                <w:p w14:paraId="07C1417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19" w:type="dxa"/>
                  <w:tcBorders>
                    <w:tl2br w:val="nil"/>
                    <w:tr2bl w:val="nil"/>
                  </w:tcBorders>
                  <w:noWrap w:val="0"/>
                  <w:vAlign w:val="center"/>
                </w:tcPr>
                <w:p w14:paraId="7F12A3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719" w:type="dxa"/>
                  <w:tcBorders>
                    <w:tl2br w:val="nil"/>
                    <w:tr2bl w:val="nil"/>
                  </w:tcBorders>
                  <w:noWrap w:val="0"/>
                  <w:vAlign w:val="center"/>
                </w:tcPr>
                <w:p w14:paraId="0D7439C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1182" w:type="dxa"/>
                  <w:vMerge w:val="continue"/>
                  <w:tcBorders>
                    <w:tl2br w:val="nil"/>
                    <w:tr2bl w:val="nil"/>
                  </w:tcBorders>
                  <w:noWrap w:val="0"/>
                  <w:vAlign w:val="center"/>
                </w:tcPr>
                <w:p w14:paraId="6881B94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0C0D442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05" w:name="_Toc26172"/>
            <w:r>
              <w:rPr>
                <w:rFonts w:hint="eastAsia"/>
                <w:b/>
                <w:color w:val="262626"/>
                <w:kern w:val="0"/>
                <w:sz w:val="24"/>
                <w:lang w:val="zh-CN" w:eastAsia="zh-CN"/>
              </w:rPr>
              <w:t>4.4.2固废管理要求</w:t>
            </w:r>
            <w:bookmarkEnd w:id="105"/>
          </w:p>
          <w:p w14:paraId="0D55AEB2">
            <w:pPr>
              <w:spacing w:line="360" w:lineRule="auto"/>
              <w:ind w:firstLine="480" w:firstLineChars="200"/>
              <w:rPr>
                <w:color w:val="262626"/>
                <w:sz w:val="24"/>
              </w:rPr>
            </w:pPr>
            <w:r>
              <w:rPr>
                <w:rFonts w:hint="eastAsia"/>
                <w:color w:val="262626"/>
                <w:sz w:val="24"/>
              </w:rPr>
              <w:t>本项目在生产过程中产生的</w:t>
            </w:r>
            <w:r>
              <w:rPr>
                <w:rFonts w:hint="eastAsia"/>
                <w:color w:val="262626"/>
                <w:sz w:val="24"/>
                <w:lang w:val="en-US" w:eastAsia="zh-CN"/>
              </w:rPr>
              <w:t>塑料</w:t>
            </w:r>
            <w:r>
              <w:rPr>
                <w:rFonts w:hint="eastAsia"/>
                <w:color w:val="262626"/>
                <w:sz w:val="24"/>
              </w:rPr>
              <w:t>边角料</w:t>
            </w:r>
            <w:r>
              <w:rPr>
                <w:rFonts w:hint="eastAsia"/>
                <w:color w:val="262626"/>
                <w:sz w:val="24"/>
                <w:lang w:val="en-US" w:eastAsia="zh-CN"/>
              </w:rPr>
              <w:t>及次品</w:t>
            </w:r>
            <w:r>
              <w:rPr>
                <w:rFonts w:hint="eastAsia"/>
                <w:color w:val="262626"/>
                <w:sz w:val="24"/>
              </w:rPr>
              <w:t>、废包装材料</w:t>
            </w:r>
            <w:r>
              <w:rPr>
                <w:color w:val="262626"/>
                <w:sz w:val="24"/>
              </w:rPr>
              <w:t>等一般工业固废，经</w:t>
            </w:r>
            <w:r>
              <w:rPr>
                <w:rFonts w:hint="eastAsia"/>
                <w:color w:val="262626"/>
                <w:sz w:val="24"/>
              </w:rPr>
              <w:t>分类</w:t>
            </w:r>
            <w:r>
              <w:rPr>
                <w:color w:val="262626"/>
                <w:sz w:val="24"/>
              </w:rPr>
              <w:t>收集后出售给回收企业回收利用</w:t>
            </w:r>
            <w:r>
              <w:rPr>
                <w:rFonts w:hint="eastAsia"/>
                <w:color w:val="262626"/>
                <w:sz w:val="24"/>
              </w:rPr>
              <w:t>或自行综合利用</w:t>
            </w:r>
            <w:r>
              <w:rPr>
                <w:color w:val="262626"/>
                <w:sz w:val="24"/>
              </w:rPr>
              <w:t>，本评价要求项目产生的一般工业固废应按《一般工业固体废物贮存和填埋污染控制标准》</w:t>
            </w:r>
            <w:r>
              <w:rPr>
                <w:rFonts w:hint="eastAsia"/>
                <w:color w:val="262626"/>
                <w:sz w:val="24"/>
                <w:lang w:eastAsia="zh-CN"/>
              </w:rPr>
              <w:t>（</w:t>
            </w:r>
            <w:r>
              <w:rPr>
                <w:color w:val="262626"/>
                <w:sz w:val="24"/>
              </w:rPr>
              <w:t>GB 18599-2020</w:t>
            </w:r>
            <w:r>
              <w:rPr>
                <w:rFonts w:hint="eastAsia"/>
                <w:color w:val="262626"/>
                <w:sz w:val="24"/>
                <w:lang w:eastAsia="zh-CN"/>
              </w:rPr>
              <w:t>）</w:t>
            </w:r>
            <w:r>
              <w:rPr>
                <w:color w:val="262626"/>
                <w:sz w:val="24"/>
              </w:rPr>
              <w:t>要求进行规范化的</w:t>
            </w:r>
            <w:r>
              <w:rPr>
                <w:rFonts w:hint="eastAsia"/>
                <w:color w:val="262626"/>
                <w:sz w:val="24"/>
              </w:rPr>
              <w:t>暂存管理</w:t>
            </w:r>
            <w:r>
              <w:rPr>
                <w:color w:val="262626"/>
                <w:sz w:val="24"/>
              </w:rPr>
              <w:t>，并做好</w:t>
            </w:r>
            <w:r>
              <w:rPr>
                <w:rFonts w:hint="eastAsia"/>
                <w:color w:val="262626"/>
                <w:sz w:val="24"/>
              </w:rPr>
              <w:t>防雨、防漏、防渗</w:t>
            </w:r>
            <w:r>
              <w:rPr>
                <w:color w:val="262626"/>
                <w:sz w:val="24"/>
              </w:rPr>
              <w:t>等措施。</w:t>
            </w:r>
          </w:p>
          <w:p w14:paraId="027F582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06" w:name="_Toc16081"/>
            <w:r>
              <w:rPr>
                <w:rFonts w:hint="eastAsia"/>
                <w:b/>
                <w:color w:val="262626"/>
                <w:kern w:val="0"/>
                <w:sz w:val="24"/>
                <w:lang w:val="zh-CN" w:eastAsia="zh-CN"/>
              </w:rPr>
              <w:t>4.4.3危险废物管理要求</w:t>
            </w:r>
            <w:bookmarkEnd w:id="106"/>
          </w:p>
          <w:p w14:paraId="1309B6B8">
            <w:pPr>
              <w:pStyle w:val="37"/>
              <w:spacing w:line="360" w:lineRule="auto"/>
              <w:ind w:firstLine="480"/>
              <w:rPr>
                <w:rFonts w:ascii="Times New Roman" w:hAnsi="Times New Roman" w:eastAsia="宋体" w:cs="Times New Roman"/>
                <w:color w:val="262626"/>
                <w:kern w:val="2"/>
                <w:sz w:val="24"/>
                <w:szCs w:val="24"/>
                <w:lang w:val="en-US" w:eastAsia="zh-CN" w:bidi="ar-SA"/>
              </w:rPr>
            </w:pPr>
            <w:r>
              <w:rPr>
                <w:rFonts w:hint="eastAsia" w:ascii="Times New Roman" w:hAnsi="Times New Roman" w:eastAsia="宋体" w:cs="Times New Roman"/>
                <w:color w:val="262626"/>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5F5E1580">
            <w:pPr>
              <w:spacing w:line="360" w:lineRule="auto"/>
              <w:ind w:firstLine="480" w:firstLineChars="200"/>
              <w:rPr>
                <w:rFonts w:hint="eastAsia"/>
                <w:color w:val="262626"/>
                <w:sz w:val="24"/>
              </w:rPr>
            </w:pPr>
            <w:r>
              <w:rPr>
                <w:rFonts w:hint="eastAsia"/>
                <w:color w:val="262626"/>
                <w:sz w:val="24"/>
                <w:lang w:eastAsia="zh-CN"/>
              </w:rPr>
              <w:t>（</w:t>
            </w:r>
            <w:r>
              <w:rPr>
                <w:rFonts w:hint="eastAsia"/>
                <w:color w:val="262626"/>
                <w:sz w:val="24"/>
                <w:lang w:val="en-US" w:eastAsia="zh-CN"/>
              </w:rPr>
              <w:t>1）</w:t>
            </w:r>
            <w:r>
              <w:rPr>
                <w:rFonts w:hint="eastAsia"/>
                <w:color w:val="262626"/>
                <w:sz w:val="24"/>
              </w:rPr>
              <w:t>危险废物的收集包装</w:t>
            </w:r>
          </w:p>
          <w:p w14:paraId="0A5D088B">
            <w:pPr>
              <w:spacing w:line="360" w:lineRule="auto"/>
              <w:ind w:firstLine="480" w:firstLineChars="200"/>
              <w:rPr>
                <w:rFonts w:hint="eastAsia"/>
                <w:color w:val="262626"/>
                <w:sz w:val="24"/>
              </w:rPr>
            </w:pPr>
            <w:r>
              <w:rPr>
                <w:rFonts w:hint="eastAsia"/>
                <w:color w:val="262626"/>
                <w:sz w:val="24"/>
                <w:lang w:val="en-US" w:eastAsia="zh-CN"/>
              </w:rPr>
              <w:t>①</w:t>
            </w:r>
            <w:r>
              <w:rPr>
                <w:rFonts w:hint="eastAsia"/>
                <w:color w:val="262626"/>
                <w:sz w:val="24"/>
              </w:rPr>
              <w:t>有符合要求的包装容器、收集人员的个人防护设备；</w:t>
            </w:r>
          </w:p>
          <w:p w14:paraId="0755364A">
            <w:pPr>
              <w:spacing w:line="360" w:lineRule="auto"/>
              <w:ind w:firstLine="480" w:firstLineChars="200"/>
              <w:rPr>
                <w:rFonts w:hint="eastAsia"/>
                <w:color w:val="262626"/>
                <w:sz w:val="24"/>
              </w:rPr>
            </w:pPr>
            <w:r>
              <w:rPr>
                <w:rFonts w:hint="eastAsia"/>
                <w:color w:val="262626"/>
                <w:sz w:val="24"/>
                <w:lang w:val="en-US" w:eastAsia="zh-CN"/>
              </w:rPr>
              <w:t>②</w:t>
            </w:r>
            <w:r>
              <w:rPr>
                <w:rFonts w:hint="eastAsia"/>
                <w:color w:val="262626"/>
                <w:sz w:val="24"/>
              </w:rPr>
              <w:t>危险废物的收集容器应在醒目位置贴有危险废物标签，在收集场所醒目的地方设置危险废物警告标识。</w:t>
            </w:r>
          </w:p>
          <w:p w14:paraId="26368B7D">
            <w:pPr>
              <w:spacing w:line="360" w:lineRule="auto"/>
              <w:ind w:firstLine="480" w:firstLineChars="200"/>
              <w:rPr>
                <w:rFonts w:hint="eastAsia"/>
                <w:color w:val="262626"/>
                <w:sz w:val="24"/>
              </w:rPr>
            </w:pPr>
            <w:r>
              <w:rPr>
                <w:rFonts w:hint="eastAsia"/>
                <w:color w:val="262626"/>
                <w:sz w:val="24"/>
                <w:lang w:val="en-US" w:eastAsia="zh-CN"/>
              </w:rPr>
              <w:t>③</w:t>
            </w:r>
            <w:r>
              <w:rPr>
                <w:rFonts w:hint="eastAsia"/>
                <w:color w:val="262626"/>
                <w:sz w:val="24"/>
              </w:rPr>
              <w:t xml:space="preserve">危险废物标签应标明以下信息：主要化学成分或危险废物名称、数量、物理形态、危险类别、安全措施以及危险废物产生单位名称、地址、联系人及电话。 </w:t>
            </w:r>
          </w:p>
          <w:p w14:paraId="240F6C67">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2）</w:t>
            </w:r>
            <w:r>
              <w:rPr>
                <w:rFonts w:hint="eastAsia" w:ascii="Times New Roman" w:hAnsi="Times New Roman" w:eastAsia="宋体" w:cs="Times New Roman"/>
                <w:color w:val="262626"/>
                <w:sz w:val="24"/>
              </w:rPr>
              <w:t>危险废物的暂存要求</w:t>
            </w:r>
          </w:p>
          <w:p w14:paraId="3C77500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a.一般规定：</w:t>
            </w:r>
          </w:p>
          <w:p w14:paraId="62A579F3">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①应根据危险废物的形态、物理化学性质、包装形式和污染物迁移途径，采取必要的防风、防晒、防雨、防漏、防渗、防腐以及其他环境污染防治措施，不应露天堆放危险废物；</w:t>
            </w:r>
          </w:p>
          <w:p w14:paraId="48E007E2">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②应根据危险废物的类别、数量、形态、物理化学性质和污染防治等要求设置必要的贮存分区，避免不相容的危险废物接触、混合；</w:t>
            </w:r>
          </w:p>
          <w:p w14:paraId="42CB5B1E">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③地面、墙面</w:t>
            </w:r>
            <w:r>
              <w:rPr>
                <w:rFonts w:hint="eastAsia" w:cs="Times New Roman"/>
                <w:color w:val="262626"/>
                <w:sz w:val="24"/>
                <w:lang w:eastAsia="zh-CN"/>
              </w:rPr>
              <w:t>裙角</w:t>
            </w:r>
            <w:r>
              <w:rPr>
                <w:rFonts w:hint="eastAsia" w:ascii="Times New Roman" w:hAnsi="Times New Roman" w:eastAsia="宋体" w:cs="Times New Roman"/>
                <w:color w:val="262626"/>
                <w:sz w:val="24"/>
              </w:rPr>
              <w:t>、堵截泄漏的围堰、接触危险废物的隔板和墙体等应采用坚固的材料建造，表面无裂缝；</w:t>
            </w:r>
          </w:p>
          <w:p w14:paraId="145A4D1B">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④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262626"/>
                <w:sz w:val="24"/>
                <w:vertAlign w:val="superscript"/>
              </w:rPr>
              <w:t>-7</w:t>
            </w:r>
            <w:r>
              <w:rPr>
                <w:rFonts w:hint="eastAsia" w:ascii="Times New Roman" w:hAnsi="Times New Roman" w:eastAsia="宋体" w:cs="Times New Roman"/>
                <w:color w:val="262626"/>
                <w:sz w:val="24"/>
              </w:rPr>
              <w:t>cm/s），或至少2mm厚高密度聚乙烯膜等人工防渗材料（渗透系数不大于10</w:t>
            </w:r>
            <w:r>
              <w:rPr>
                <w:rFonts w:hint="eastAsia" w:ascii="Times New Roman" w:hAnsi="Times New Roman" w:eastAsia="宋体" w:cs="Times New Roman"/>
                <w:color w:val="262626"/>
                <w:sz w:val="24"/>
                <w:vertAlign w:val="superscript"/>
              </w:rPr>
              <w:t>-10</w:t>
            </w:r>
            <w:r>
              <w:rPr>
                <w:rFonts w:hint="eastAsia" w:ascii="Times New Roman" w:hAnsi="Times New Roman" w:eastAsia="宋体" w:cs="Times New Roman"/>
                <w:color w:val="262626"/>
                <w:sz w:val="24"/>
              </w:rPr>
              <w:t>cm/s），或其他防渗性能等效的材料；</w:t>
            </w:r>
          </w:p>
          <w:p w14:paraId="298F15A7">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⑤应采取技术和管理措施防止无关人员进入。</w:t>
            </w:r>
          </w:p>
          <w:p w14:paraId="61235497">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val="en-US" w:eastAsia="zh-CN"/>
              </w:rPr>
              <w:t>（3）</w:t>
            </w:r>
            <w:r>
              <w:rPr>
                <w:rFonts w:hint="eastAsia" w:ascii="Times New Roman" w:hAnsi="Times New Roman" w:eastAsia="宋体" w:cs="Times New Roman"/>
                <w:color w:val="262626"/>
                <w:sz w:val="24"/>
              </w:rPr>
              <w:t>危险废物转移要求</w:t>
            </w:r>
          </w:p>
          <w:p w14:paraId="1EFB77EF">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根据《危险废物转移管理办法》，危险废物转移过程应满足以下要求：</w:t>
            </w:r>
          </w:p>
          <w:p w14:paraId="02B3BF6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①危险废物转移联单应当根据危险废物管理计划中填报的危险废物转移等备案信息填写、运行。</w:t>
            </w:r>
          </w:p>
          <w:p w14:paraId="0CA52CB0">
            <w:pPr>
              <w:pStyle w:val="66"/>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03180508">
            <w:pPr>
              <w:pStyle w:val="66"/>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2DE1F508">
            <w:pPr>
              <w:pStyle w:val="66"/>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75D7B869">
            <w:pPr>
              <w:pStyle w:val="66"/>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19F1EB9B">
            <w:pPr>
              <w:pStyle w:val="66"/>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1CC10A97">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751D2C64">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w:t>
            </w:r>
            <w:r>
              <w:rPr>
                <w:rFonts w:hint="eastAsia" w:cs="Times New Roman"/>
                <w:color w:val="auto"/>
                <w:lang w:eastAsia="zh-CN"/>
              </w:rPr>
              <w:t>程中</w:t>
            </w:r>
            <w:r>
              <w:rPr>
                <w:rFonts w:hint="eastAsia" w:ascii="Times New Roman" w:hAnsi="Times New Roman" w:eastAsia="宋体" w:cs="Times New Roman"/>
                <w:color w:val="auto"/>
              </w:rPr>
              <w:t>需注意：</w:t>
            </w:r>
          </w:p>
          <w:p w14:paraId="4518086C">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1D2B0BA4">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316885BA">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5967CC8E">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35EEEE46">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7" w:name="_Toc4946"/>
            <w:r>
              <w:rPr>
                <w:rFonts w:hint="eastAsia" w:ascii="Times New Roman" w:hAnsi="Times New Roman" w:eastAsia="宋体" w:cs="Times New Roman"/>
                <w:color w:val="auto"/>
                <w:sz w:val="28"/>
                <w:szCs w:val="28"/>
                <w:u w:val="none"/>
                <w:lang w:val="en-US" w:eastAsia="zh-CN"/>
              </w:rPr>
              <w:t>4.5地下水、土壤环境影响和保护措施</w:t>
            </w:r>
            <w:bookmarkEnd w:id="107"/>
          </w:p>
          <w:p w14:paraId="7BAEA64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08" w:name="_Toc4094"/>
            <w:r>
              <w:rPr>
                <w:rFonts w:hint="eastAsia"/>
                <w:b/>
                <w:color w:val="262626"/>
                <w:kern w:val="0"/>
                <w:sz w:val="24"/>
                <w:lang w:val="zh-CN" w:eastAsia="zh-CN"/>
              </w:rPr>
              <w:t>4.5.1 地下水、土壤环境影响分析</w:t>
            </w:r>
            <w:bookmarkEnd w:id="108"/>
          </w:p>
          <w:p w14:paraId="50D9F3ED">
            <w:pPr>
              <w:pStyle w:val="60"/>
              <w:spacing w:line="360" w:lineRule="auto"/>
              <w:ind w:firstLine="480"/>
              <w:rPr>
                <w:rFonts w:hint="eastAsia" w:ascii="Times New Roman" w:hAnsi="Times New Roman"/>
                <w:bCs w:val="0"/>
                <w:color w:val="262626"/>
                <w:szCs w:val="24"/>
              </w:rPr>
            </w:pPr>
            <w:r>
              <w:rPr>
                <w:rFonts w:hint="eastAsia" w:ascii="Times New Roman" w:hAnsi="Times New Roman"/>
                <w:bCs w:val="0"/>
                <w:color w:val="262626"/>
                <w:szCs w:val="24"/>
              </w:rPr>
              <w:t>地下水环境：</w:t>
            </w:r>
            <w:r>
              <w:rPr>
                <w:rFonts w:ascii="Times New Roman" w:hAnsi="Times New Roman"/>
                <w:bCs w:val="0"/>
                <w:color w:val="262626"/>
                <w:szCs w:val="24"/>
              </w:rPr>
              <w:t>本项目生活用水全部采用自来水，不取用地下水，项目对区域地下水环境可能造成影响的污染源主要是化粪池、危废暂存间。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化粪池</w:t>
            </w:r>
            <w:r>
              <w:rPr>
                <w:rFonts w:hint="eastAsia" w:ascii="Times New Roman" w:hAnsi="Times New Roman"/>
                <w:bCs w:val="0"/>
                <w:color w:val="262626"/>
                <w:szCs w:val="24"/>
              </w:rPr>
              <w:t>、</w:t>
            </w:r>
            <w:r>
              <w:rPr>
                <w:rFonts w:ascii="Times New Roman" w:hAnsi="Times New Roman"/>
                <w:bCs w:val="0"/>
                <w:color w:val="262626"/>
                <w:szCs w:val="24"/>
              </w:rPr>
              <w:t>危废暂存间场地、污水管网系统堵塞、管道破裂破损情况下等污水下渗对地下水造成的污染</w:t>
            </w:r>
            <w:r>
              <w:rPr>
                <w:rFonts w:hint="eastAsia" w:ascii="Times New Roman" w:hAnsi="Times New Roman"/>
                <w:bCs w:val="0"/>
                <w:color w:val="262626"/>
                <w:szCs w:val="24"/>
              </w:rPr>
              <w:t>。</w:t>
            </w:r>
          </w:p>
          <w:p w14:paraId="009F5677">
            <w:pPr>
              <w:pStyle w:val="60"/>
              <w:spacing w:line="360" w:lineRule="auto"/>
              <w:ind w:firstLine="480"/>
              <w:rPr>
                <w:rFonts w:ascii="Times New Roman" w:hAnsi="Times New Roman"/>
                <w:bCs w:val="0"/>
                <w:color w:val="262626"/>
                <w:szCs w:val="24"/>
              </w:rPr>
            </w:pPr>
            <w:r>
              <w:rPr>
                <w:rFonts w:hint="eastAsia" w:ascii="Times New Roman" w:hAnsi="Times New Roman"/>
                <w:bCs w:val="0"/>
                <w:color w:val="262626"/>
                <w:szCs w:val="24"/>
              </w:rPr>
              <w:t>土壤环境：</w:t>
            </w:r>
            <w:r>
              <w:rPr>
                <w:rFonts w:ascii="Times New Roman" w:hAnsi="Times New Roman"/>
                <w:bCs w:val="0"/>
                <w:color w:val="262626"/>
                <w:szCs w:val="24"/>
              </w:rPr>
              <w:t>项目对区域</w:t>
            </w:r>
            <w:r>
              <w:rPr>
                <w:rFonts w:hint="eastAsia" w:ascii="Times New Roman" w:hAnsi="Times New Roman"/>
                <w:bCs w:val="0"/>
                <w:color w:val="262626"/>
                <w:szCs w:val="24"/>
              </w:rPr>
              <w:t>土壤</w:t>
            </w:r>
            <w:r>
              <w:rPr>
                <w:rFonts w:ascii="Times New Roman" w:hAnsi="Times New Roman"/>
                <w:bCs w:val="0"/>
                <w:color w:val="262626"/>
                <w:szCs w:val="24"/>
              </w:rPr>
              <w:t>环境可能造成影响的污染源主要是</w:t>
            </w:r>
            <w:r>
              <w:rPr>
                <w:rFonts w:hint="eastAsia" w:ascii="Times New Roman" w:hAnsi="Times New Roman"/>
                <w:bCs w:val="0"/>
                <w:color w:val="262626"/>
                <w:szCs w:val="24"/>
              </w:rPr>
              <w:t>生产产生的有机废气沉降、</w:t>
            </w:r>
            <w:r>
              <w:rPr>
                <w:rFonts w:ascii="Times New Roman" w:hAnsi="Times New Roman"/>
                <w:bCs w:val="0"/>
                <w:color w:val="262626"/>
                <w:szCs w:val="24"/>
              </w:rPr>
              <w:t>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262626"/>
                <w:szCs w:val="24"/>
              </w:rPr>
              <w:t>。</w:t>
            </w:r>
          </w:p>
          <w:p w14:paraId="49C919F8">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09" w:name="_Toc11422"/>
            <w:r>
              <w:rPr>
                <w:rFonts w:hint="eastAsia"/>
                <w:b/>
                <w:color w:val="262626"/>
                <w:kern w:val="0"/>
                <w:sz w:val="24"/>
                <w:lang w:val="zh-CN" w:eastAsia="zh-CN"/>
              </w:rPr>
              <w:t>4.5.2 地下水、土壤环境防控措施</w:t>
            </w:r>
            <w:bookmarkEnd w:id="109"/>
          </w:p>
          <w:p w14:paraId="451A2333">
            <w:pPr>
              <w:pStyle w:val="60"/>
              <w:spacing w:line="360" w:lineRule="auto"/>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1）重点污染区防渗措施为：</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的要求，重点防治区的防渗性能应等效黏土防渗层≥6.0m，渗透系数≤1.0×10</w:t>
            </w:r>
            <w:r>
              <w:rPr>
                <w:rFonts w:ascii="Times New Roman" w:hAnsi="Times New Roman"/>
                <w:color w:val="262626"/>
                <w:kern w:val="0"/>
                <w:vertAlign w:val="superscript"/>
              </w:rPr>
              <w:t>-7</w:t>
            </w:r>
            <w:r>
              <w:rPr>
                <w:rFonts w:ascii="Times New Roman" w:hAnsi="Times New Roman"/>
                <w:color w:val="262626"/>
                <w:kern w:val="0"/>
              </w:rPr>
              <w:t>cm/s。危险废物暂存场重点防渗区应按照《危险废物污染防治技术政策》及</w:t>
            </w:r>
            <w:r>
              <w:rPr>
                <w:rFonts w:ascii="Times New Roman" w:hAnsi="Times New Roman"/>
                <w:color w:val="262626"/>
              </w:rPr>
              <w:t>《危险废物贮存污染控制标准》</w:t>
            </w:r>
            <w:r>
              <w:rPr>
                <w:rFonts w:hint="eastAsia"/>
                <w:color w:val="262626"/>
                <w:lang w:eastAsia="zh-CN"/>
              </w:rPr>
              <w:t>（</w:t>
            </w:r>
            <w:r>
              <w:rPr>
                <w:rFonts w:ascii="Times New Roman" w:hAnsi="Times New Roman"/>
                <w:color w:val="262626"/>
              </w:rPr>
              <w:t>GB18597-2023</w:t>
            </w:r>
            <w:r>
              <w:rPr>
                <w:rFonts w:hint="eastAsia"/>
                <w:color w:val="262626"/>
                <w:lang w:eastAsia="zh-CN"/>
              </w:rPr>
              <w:t>）</w:t>
            </w:r>
            <w:r>
              <w:rPr>
                <w:rFonts w:ascii="Times New Roman" w:hAnsi="Times New Roman"/>
                <w:color w:val="262626"/>
                <w:kern w:val="0"/>
              </w:rPr>
              <w:t>等危险废物处理的相关标准、法律法规的要求</w:t>
            </w:r>
            <w:r>
              <w:rPr>
                <w:rFonts w:ascii="Times New Roman" w:hAnsi="Times New Roman"/>
                <w:szCs w:val="24"/>
              </w:rPr>
              <w:t>；</w:t>
            </w:r>
          </w:p>
          <w:p w14:paraId="74E6B574">
            <w:pPr>
              <w:pStyle w:val="60"/>
              <w:spacing w:line="360" w:lineRule="auto"/>
              <w:ind w:firstLine="480"/>
              <w:rPr>
                <w:color w:val="262626"/>
              </w:rPr>
            </w:pPr>
            <w:bookmarkStart w:id="110" w:name="_Toc15205"/>
            <w:bookmarkStart w:id="111" w:name="_Toc3195"/>
            <w:bookmarkStart w:id="112" w:name="_Toc9711"/>
            <w:bookmarkStart w:id="113" w:name="_Toc19130"/>
            <w:bookmarkStart w:id="114" w:name="_Toc12701"/>
            <w:r>
              <w:rPr>
                <w:rFonts w:ascii="Times New Roman" w:hAnsi="Times New Roman"/>
                <w:szCs w:val="24"/>
              </w:rPr>
              <w:t>（2）一般污染区防渗措施：</w:t>
            </w:r>
            <w:r>
              <w:rPr>
                <w:rFonts w:ascii="Times New Roman" w:hAnsi="Times New Roman"/>
                <w:color w:val="262626"/>
                <w:szCs w:val="24"/>
              </w:rPr>
              <w:t>一般工业固废间、项目生产车间、</w:t>
            </w:r>
            <w:r>
              <w:rPr>
                <w:rFonts w:ascii="Times New Roman" w:hAnsi="Times New Roman"/>
                <w:szCs w:val="24"/>
              </w:rPr>
              <w:t>化粪池地面采取防渗水泥固化。</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，一般防渗区的防渗性能等效黏土防渗层≥1.5m，渗透系数≤1.0×10</w:t>
            </w:r>
            <w:r>
              <w:rPr>
                <w:rFonts w:ascii="Times New Roman" w:hAnsi="Times New Roman"/>
                <w:color w:val="262626"/>
                <w:kern w:val="0"/>
                <w:vertAlign w:val="superscript"/>
              </w:rPr>
              <w:t>-7</w:t>
            </w:r>
            <w:r>
              <w:rPr>
                <w:rFonts w:ascii="Times New Roman" w:hAnsi="Times New Roman"/>
                <w:color w:val="262626"/>
                <w:kern w:val="0"/>
              </w:rPr>
              <w:t>cm/s。一般工业固体废物暂存场一般防渗区应按照</w:t>
            </w:r>
            <w:r>
              <w:rPr>
                <w:rFonts w:ascii="Times New Roman" w:hAnsi="Times New Roman"/>
                <w:color w:val="262626"/>
              </w:rPr>
              <w:t>《一般工业固体废物贮存和填埋污染控制标准》</w:t>
            </w:r>
            <w:r>
              <w:rPr>
                <w:rFonts w:hint="eastAsia"/>
                <w:color w:val="262626"/>
                <w:lang w:eastAsia="zh-CN"/>
              </w:rPr>
              <w:t>（</w:t>
            </w:r>
            <w:r>
              <w:rPr>
                <w:rFonts w:ascii="Times New Roman" w:hAnsi="Times New Roman"/>
                <w:color w:val="262626"/>
              </w:rPr>
              <w:t>GB 18599-2020</w:t>
            </w:r>
            <w:r>
              <w:rPr>
                <w:rFonts w:hint="eastAsia"/>
                <w:color w:val="262626"/>
                <w:lang w:eastAsia="zh-CN"/>
              </w:rPr>
              <w:t>）</w:t>
            </w:r>
            <w:r>
              <w:rPr>
                <w:rFonts w:ascii="Times New Roman" w:hAnsi="Times New Roman"/>
                <w:color w:val="262626"/>
              </w:rPr>
              <w:t>中要求</w:t>
            </w:r>
            <w:r>
              <w:rPr>
                <w:rFonts w:ascii="Times New Roman" w:hAnsi="Times New Roman"/>
                <w:color w:val="262626"/>
                <w:kern w:val="0"/>
              </w:rPr>
              <w:t>进行设计</w:t>
            </w:r>
            <w:r>
              <w:rPr>
                <w:rFonts w:hint="eastAsia"/>
                <w:color w:val="262626"/>
                <w:kern w:val="0"/>
                <w:lang w:eastAsia="zh-CN"/>
              </w:rPr>
              <w:t>且</w:t>
            </w:r>
            <w:r>
              <w:rPr>
                <w:rFonts w:ascii="Times New Roman" w:hAnsi="Times New Roman"/>
                <w:color w:val="262626"/>
              </w:rPr>
              <w:t>具有防雨、防渗、防</w:t>
            </w:r>
            <w:r>
              <w:rPr>
                <w:color w:val="262626"/>
              </w:rPr>
              <w:t>风、防日晒的功能。</w:t>
            </w:r>
          </w:p>
          <w:bookmarkEnd w:id="110"/>
          <w:bookmarkEnd w:id="111"/>
          <w:bookmarkEnd w:id="112"/>
          <w:bookmarkEnd w:id="113"/>
          <w:bookmarkEnd w:id="114"/>
          <w:p w14:paraId="4AA20194">
            <w:pPr>
              <w:pStyle w:val="60"/>
              <w:spacing w:line="360" w:lineRule="auto"/>
              <w:ind w:firstLine="480"/>
              <w:rPr>
                <w:rFonts w:hint="eastAsia" w:ascii="Times New Roman" w:hAnsi="Times New Roman"/>
                <w:szCs w:val="24"/>
              </w:rPr>
            </w:pPr>
            <w:r>
              <w:rPr>
                <w:rFonts w:ascii="Times New Roman" w:hAnsi="Times New Roman"/>
                <w:szCs w:val="24"/>
              </w:rPr>
              <w:t>（3）污水管网系统堵塞、管道破裂、破损情况</w:t>
            </w:r>
            <w:r>
              <w:rPr>
                <w:rFonts w:hint="eastAsia"/>
                <w:szCs w:val="24"/>
                <w:lang w:eastAsia="zh-CN"/>
              </w:rPr>
              <w:t>下</w:t>
            </w:r>
            <w:r>
              <w:rPr>
                <w:rFonts w:ascii="Times New Roman" w:hAnsi="Times New Roman"/>
                <w:szCs w:val="24"/>
              </w:rPr>
              <w:t>污水下渗可能会对地下水造成污染，但这种情况发生的</w:t>
            </w:r>
            <w:r>
              <w:rPr>
                <w:rFonts w:hint="eastAsia"/>
                <w:szCs w:val="24"/>
                <w:lang w:eastAsia="zh-CN"/>
              </w:rPr>
              <w:t>概率</w:t>
            </w:r>
            <w:r>
              <w:rPr>
                <w:rFonts w:ascii="Times New Roman" w:hAnsi="Times New Roman"/>
                <w:szCs w:val="24"/>
              </w:rPr>
              <w:t>很小，其避免措施是：在污水管道设计中，要选择适当的设计流速和充满度，防止污泥沉积；选择合适的防腐管材，注意其封闭性，防止污水</w:t>
            </w:r>
            <w:r>
              <w:rPr>
                <w:rFonts w:hint="eastAsia"/>
                <w:szCs w:val="24"/>
                <w:lang w:eastAsia="zh-CN"/>
              </w:rPr>
              <w:t>“</w:t>
            </w:r>
            <w:r>
              <w:rPr>
                <w:rFonts w:ascii="Times New Roman" w:hAnsi="Times New Roman"/>
                <w:szCs w:val="24"/>
              </w:rPr>
              <w:t>跑、冒、滴、漏</w:t>
            </w:r>
            <w:r>
              <w:rPr>
                <w:rFonts w:hint="eastAsia"/>
                <w:szCs w:val="24"/>
                <w:lang w:eastAsia="zh-CN"/>
              </w:rPr>
              <w:t>”</w:t>
            </w:r>
            <w:r>
              <w:rPr>
                <w:rFonts w:ascii="Times New Roman" w:hAnsi="Times New Roman"/>
                <w:szCs w:val="24"/>
              </w:rPr>
              <w:t>；制定严格的污水管网维修制度；建设单位应严禁固体废物排入下水管道，环保部门应与市政部门密切配合，强化监测与管理工作</w:t>
            </w:r>
            <w:r>
              <w:rPr>
                <w:rFonts w:hint="eastAsia" w:ascii="Times New Roman" w:hAnsi="Times New Roman"/>
                <w:szCs w:val="24"/>
              </w:rPr>
              <w:t>；</w:t>
            </w:r>
          </w:p>
          <w:p w14:paraId="07D3AB6C">
            <w:pPr>
              <w:pStyle w:val="60"/>
              <w:spacing w:line="360" w:lineRule="auto"/>
              <w:ind w:firstLine="480"/>
              <w:rPr>
                <w:rFonts w:hint="eastAsia" w:ascii="Times New Roman" w:hAnsi="Times New Roman"/>
                <w:szCs w:val="24"/>
              </w:rPr>
            </w:pPr>
            <w:r>
              <w:rPr>
                <w:rFonts w:hint="eastAsia" w:ascii="Times New Roman" w:hAnsi="Times New Roman"/>
                <w:szCs w:val="24"/>
              </w:rPr>
              <w:t>（4）</w:t>
            </w:r>
            <w:r>
              <w:rPr>
                <w:rFonts w:ascii="Times New Roman" w:hAnsi="Times New Roman"/>
                <w:szCs w:val="24"/>
              </w:rPr>
              <w:t>加强废气环保设施管理，保证废气达标排放</w:t>
            </w:r>
            <w:r>
              <w:rPr>
                <w:rFonts w:hint="eastAsia" w:ascii="Times New Roman" w:hAnsi="Times New Roman"/>
                <w:szCs w:val="24"/>
              </w:rPr>
              <w:t>，减少大气沉降对地面土壤的影响；</w:t>
            </w:r>
          </w:p>
          <w:p w14:paraId="3E055170">
            <w:pPr>
              <w:pStyle w:val="11"/>
              <w:spacing w:before="0" w:after="0" w:line="360" w:lineRule="auto"/>
              <w:ind w:firstLine="480" w:firstLineChars="200"/>
              <w:rPr>
                <w:rFonts w:hint="eastAsia"/>
                <w:sz w:val="24"/>
                <w:szCs w:val="24"/>
              </w:rPr>
            </w:pPr>
            <w:r>
              <w:rPr>
                <w:rFonts w:hint="eastAsia"/>
                <w:b w:val="0"/>
                <w:bCs/>
                <w:sz w:val="24"/>
                <w:szCs w:val="24"/>
              </w:rPr>
              <w:t>跟踪监测要求：项</w:t>
            </w:r>
            <w:r>
              <w:rPr>
                <w:rFonts w:hint="eastAsia"/>
                <w:sz w:val="24"/>
                <w:szCs w:val="24"/>
              </w:rPr>
              <w:t>目已按分区防控要求提出相应的防控措施，同时项目车间地面</w:t>
            </w:r>
            <w:r>
              <w:rPr>
                <w:rFonts w:hint="eastAsia"/>
                <w:sz w:val="24"/>
                <w:szCs w:val="24"/>
                <w:lang w:val="en-US" w:eastAsia="zh-CN"/>
              </w:rPr>
              <w:t>已全部</w:t>
            </w:r>
            <w:r>
              <w:rPr>
                <w:rFonts w:hint="eastAsia"/>
                <w:sz w:val="24"/>
                <w:szCs w:val="24"/>
              </w:rPr>
              <w:t>硬化，一般情况下不会对周边地下水、土壤环境造成影响，故可不需要进行跟踪监测。</w:t>
            </w:r>
          </w:p>
          <w:p w14:paraId="5EF3561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7"/>
                <w:rFonts w:ascii="Times New Roman" w:hAnsi="Times New Roman"/>
                <w:b/>
                <w:bCs/>
                <w:color w:val="262626"/>
                <w:kern w:val="0"/>
                <w:sz w:val="28"/>
                <w:szCs w:val="28"/>
              </w:rPr>
            </w:pPr>
            <w:bookmarkStart w:id="115" w:name="_Toc23362"/>
            <w:r>
              <w:rPr>
                <w:rStyle w:val="67"/>
                <w:rFonts w:ascii="Times New Roman" w:hAnsi="Times New Roman"/>
                <w:b/>
                <w:bCs/>
                <w:color w:val="262626"/>
                <w:kern w:val="0"/>
                <w:sz w:val="28"/>
                <w:szCs w:val="28"/>
              </w:rPr>
              <w:t>4.</w:t>
            </w:r>
            <w:r>
              <w:rPr>
                <w:rStyle w:val="67"/>
                <w:rFonts w:hint="eastAsia" w:ascii="Times New Roman" w:hAnsi="Times New Roman"/>
                <w:b/>
                <w:bCs/>
                <w:color w:val="262626"/>
                <w:kern w:val="0"/>
                <w:sz w:val="28"/>
                <w:szCs w:val="28"/>
              </w:rPr>
              <w:t>6</w:t>
            </w:r>
            <w:r>
              <w:rPr>
                <w:rStyle w:val="67"/>
                <w:rFonts w:ascii="Times New Roman" w:hAnsi="Times New Roman"/>
                <w:b/>
                <w:bCs/>
                <w:color w:val="262626"/>
                <w:kern w:val="0"/>
                <w:sz w:val="28"/>
                <w:szCs w:val="28"/>
              </w:rPr>
              <w:t>环境风险分析</w:t>
            </w:r>
            <w:bookmarkEnd w:id="115"/>
          </w:p>
          <w:p w14:paraId="7555F82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16" w:name="_Toc19581"/>
            <w:r>
              <w:rPr>
                <w:rFonts w:hint="eastAsia"/>
                <w:b/>
                <w:color w:val="262626"/>
                <w:kern w:val="0"/>
                <w:sz w:val="24"/>
                <w:lang w:val="en-US" w:eastAsia="zh-CN"/>
              </w:rPr>
              <w:t>4.6.1</w:t>
            </w:r>
            <w:r>
              <w:rPr>
                <w:rFonts w:hint="default"/>
                <w:b/>
                <w:color w:val="262626"/>
                <w:kern w:val="0"/>
                <w:sz w:val="24"/>
                <w:lang w:val="en-US" w:eastAsia="zh-CN"/>
              </w:rPr>
              <w:t>项目危险物质调查</w:t>
            </w:r>
            <w:bookmarkEnd w:id="116"/>
          </w:p>
          <w:p w14:paraId="1B718076">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危险物质</w:t>
            </w:r>
          </w:p>
          <w:p w14:paraId="1DE3829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rPr>
            </w:pPr>
            <w:r>
              <w:rPr>
                <w:color w:val="auto"/>
                <w:sz w:val="24"/>
              </w:rPr>
              <w:t>根据对各原料成分性质分析，对照《建设项目环境风险评价技术导则》</w:t>
            </w:r>
            <w:r>
              <w:rPr>
                <w:rFonts w:hint="eastAsia"/>
                <w:color w:val="auto"/>
                <w:sz w:val="24"/>
                <w:lang w:eastAsia="zh-CN"/>
              </w:rPr>
              <w:t>（</w:t>
            </w:r>
            <w:r>
              <w:rPr>
                <w:color w:val="auto"/>
                <w:sz w:val="24"/>
              </w:rPr>
              <w:t>HJ 169-2018</w:t>
            </w:r>
            <w:r>
              <w:rPr>
                <w:rFonts w:hint="eastAsia"/>
                <w:color w:val="auto"/>
                <w:sz w:val="24"/>
                <w:lang w:eastAsia="zh-CN"/>
              </w:rPr>
              <w:t>）</w:t>
            </w:r>
            <w:r>
              <w:rPr>
                <w:color w:val="auto"/>
                <w:sz w:val="24"/>
              </w:rPr>
              <w:t>附录B</w:t>
            </w:r>
            <w:r>
              <w:rPr>
                <w:rFonts w:hint="eastAsia"/>
                <w:color w:val="auto"/>
                <w:sz w:val="24"/>
              </w:rPr>
              <w:t>及《企业突发环境事件风险分级方法》</w:t>
            </w:r>
            <w:r>
              <w:rPr>
                <w:rFonts w:hint="eastAsia"/>
                <w:color w:val="auto"/>
                <w:sz w:val="24"/>
                <w:lang w:eastAsia="zh-CN"/>
              </w:rPr>
              <w:t>（</w:t>
            </w:r>
            <w:r>
              <w:rPr>
                <w:rFonts w:hint="eastAsia"/>
                <w:color w:val="auto"/>
                <w:sz w:val="24"/>
              </w:rPr>
              <w:t>HJ941-2018</w:t>
            </w:r>
            <w:r>
              <w:rPr>
                <w:rFonts w:hint="eastAsia"/>
                <w:color w:val="auto"/>
                <w:sz w:val="24"/>
                <w:lang w:eastAsia="zh-CN"/>
              </w:rPr>
              <w:t>）</w:t>
            </w:r>
            <w:r>
              <w:rPr>
                <w:rFonts w:hint="eastAsia"/>
                <w:color w:val="auto"/>
                <w:sz w:val="24"/>
              </w:rPr>
              <w:t>附录A可知</w:t>
            </w:r>
            <w:r>
              <w:rPr>
                <w:color w:val="auto"/>
                <w:sz w:val="24"/>
              </w:rPr>
              <w:t>，</w:t>
            </w:r>
            <w:r>
              <w:rPr>
                <w:rFonts w:hint="eastAsia"/>
                <w:color w:val="auto"/>
                <w:sz w:val="24"/>
              </w:rPr>
              <w:t>项目使用的原辅材料均不属于危险物质；但项目产生的</w:t>
            </w:r>
            <w:r>
              <w:rPr>
                <w:rFonts w:hint="eastAsia"/>
                <w:color w:val="auto"/>
                <w:sz w:val="24"/>
                <w:lang w:val="en-US" w:eastAsia="zh-CN"/>
              </w:rPr>
              <w:t>危险废物</w:t>
            </w:r>
            <w:r>
              <w:rPr>
                <w:rFonts w:hint="eastAsia"/>
                <w:color w:val="auto"/>
                <w:sz w:val="24"/>
              </w:rPr>
              <w:t>属于环境风险物质</w:t>
            </w:r>
            <w:r>
              <w:rPr>
                <w:rFonts w:hint="eastAsia"/>
                <w:color w:val="auto"/>
                <w:sz w:val="24"/>
                <w:lang w:eastAsia="zh-CN"/>
              </w:rPr>
              <w:t>，</w:t>
            </w:r>
            <w:r>
              <w:rPr>
                <w:rFonts w:hint="eastAsia"/>
                <w:color w:val="auto"/>
                <w:sz w:val="24"/>
                <w:lang w:val="en-US" w:eastAsia="zh-CN"/>
              </w:rPr>
              <w:t>详见表4.6-1。</w:t>
            </w:r>
          </w:p>
          <w:p w14:paraId="045FAC62">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 xml:space="preserve">-1  </w:t>
            </w:r>
            <w:r>
              <w:rPr>
                <w:rFonts w:hint="default" w:ascii="Times New Roman" w:hAnsi="Times New Roman" w:eastAsia="宋体" w:cs="Times New Roman"/>
                <w:b/>
                <w:bCs/>
                <w:color w:val="auto"/>
                <w:sz w:val="24"/>
              </w:rPr>
              <w:t>主要</w:t>
            </w:r>
            <w:r>
              <w:rPr>
                <w:rFonts w:hint="default" w:ascii="Times New Roman" w:hAnsi="Times New Roman" w:eastAsia="宋体" w:cs="Times New Roman"/>
                <w:b/>
                <w:bCs/>
                <w:color w:val="auto"/>
                <w:sz w:val="24"/>
                <w:lang w:eastAsia="zh-CN"/>
              </w:rPr>
              <w:t>危险废物数量</w:t>
            </w:r>
            <w:r>
              <w:rPr>
                <w:rFonts w:hint="default" w:ascii="Times New Roman" w:hAnsi="Times New Roman" w:eastAsia="宋体" w:cs="Times New Roman"/>
                <w:b/>
                <w:bCs/>
                <w:color w:val="auto"/>
                <w:sz w:val="24"/>
              </w:rPr>
              <w:t>、有害因素分布表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680"/>
              <w:gridCol w:w="1100"/>
              <w:gridCol w:w="1431"/>
              <w:gridCol w:w="1540"/>
              <w:gridCol w:w="1167"/>
              <w:gridCol w:w="748"/>
              <w:gridCol w:w="980"/>
            </w:tblGrid>
            <w:tr w14:paraId="0AD22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61C51640">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87" w:type="pct"/>
                  <w:tcBorders>
                    <w:tl2br w:val="nil"/>
                    <w:tr2bl w:val="nil"/>
                  </w:tcBorders>
                  <w:noWrap w:val="0"/>
                  <w:vAlign w:val="center"/>
                </w:tcPr>
                <w:p w14:paraId="096A8D01">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25" w:type="pct"/>
                  <w:tcBorders>
                    <w:tl2br w:val="nil"/>
                    <w:tr2bl w:val="nil"/>
                  </w:tcBorders>
                  <w:noWrap w:val="0"/>
                  <w:vAlign w:val="center"/>
                </w:tcPr>
                <w:p w14:paraId="4DECB76B">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年储存量（t）</w:t>
                  </w:r>
                </w:p>
              </w:tc>
              <w:tc>
                <w:tcPr>
                  <w:tcW w:w="813" w:type="pct"/>
                  <w:tcBorders>
                    <w:tl2br w:val="nil"/>
                    <w:tr2bl w:val="nil"/>
                  </w:tcBorders>
                  <w:noWrap w:val="0"/>
                  <w:vAlign w:val="center"/>
                </w:tcPr>
                <w:p w14:paraId="7DECF557">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最大储存量（t）</w:t>
                  </w:r>
                </w:p>
              </w:tc>
              <w:tc>
                <w:tcPr>
                  <w:tcW w:w="875" w:type="pct"/>
                  <w:tcBorders>
                    <w:tl2br w:val="nil"/>
                    <w:tr2bl w:val="nil"/>
                  </w:tcBorders>
                  <w:noWrap w:val="0"/>
                  <w:vAlign w:val="center"/>
                </w:tcPr>
                <w:p w14:paraId="7AA4BA72">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663" w:type="pct"/>
                  <w:tcBorders>
                    <w:tl2br w:val="nil"/>
                    <w:tr2bl w:val="nil"/>
                  </w:tcBorders>
                  <w:noWrap w:val="0"/>
                  <w:vAlign w:val="center"/>
                </w:tcPr>
                <w:p w14:paraId="5489A44D">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危险特性</w:t>
                  </w:r>
                </w:p>
              </w:tc>
              <w:tc>
                <w:tcPr>
                  <w:tcW w:w="425" w:type="pct"/>
                  <w:tcBorders>
                    <w:tl2br w:val="nil"/>
                    <w:tr2bl w:val="nil"/>
                  </w:tcBorders>
                  <w:noWrap w:val="0"/>
                  <w:vAlign w:val="center"/>
                </w:tcPr>
                <w:p w14:paraId="063FAFA4">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临界量（t）</w:t>
                  </w:r>
                </w:p>
              </w:tc>
              <w:tc>
                <w:tcPr>
                  <w:tcW w:w="554" w:type="pct"/>
                  <w:tcBorders>
                    <w:tl2br w:val="nil"/>
                    <w:tr2bl w:val="nil"/>
                  </w:tcBorders>
                  <w:noWrap w:val="0"/>
                  <w:vAlign w:val="center"/>
                </w:tcPr>
                <w:p w14:paraId="30F8CD49">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r>
            <w:tr w14:paraId="39F6E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118D6A32">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387" w:type="pct"/>
                  <w:tcBorders>
                    <w:tl2br w:val="nil"/>
                    <w:tr2bl w:val="nil"/>
                  </w:tcBorders>
                  <w:noWrap w:val="0"/>
                  <w:vAlign w:val="center"/>
                </w:tcPr>
                <w:p w14:paraId="2A9791AC">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shd w:val="clear" w:color="auto" w:fill="auto"/>
                  <w:noWrap w:val="0"/>
                  <w:vAlign w:val="center"/>
                </w:tcPr>
                <w:p w14:paraId="6653E22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24.102</w:t>
                  </w:r>
                </w:p>
              </w:tc>
              <w:tc>
                <w:tcPr>
                  <w:tcW w:w="813" w:type="pct"/>
                  <w:tcBorders>
                    <w:tl2br w:val="nil"/>
                    <w:tr2bl w:val="nil"/>
                  </w:tcBorders>
                  <w:noWrap w:val="0"/>
                  <w:vAlign w:val="center"/>
                </w:tcPr>
                <w:p w14:paraId="769254B2">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w:t>
                  </w:r>
                </w:p>
              </w:tc>
              <w:tc>
                <w:tcPr>
                  <w:tcW w:w="875" w:type="pct"/>
                  <w:tcBorders>
                    <w:tl2br w:val="nil"/>
                    <w:tr2bl w:val="nil"/>
                  </w:tcBorders>
                  <w:noWrap w:val="0"/>
                  <w:vAlign w:val="center"/>
                </w:tcPr>
                <w:p w14:paraId="19FCB66F">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663" w:type="pct"/>
                  <w:tcBorders>
                    <w:tl2br w:val="nil"/>
                    <w:tr2bl w:val="nil"/>
                  </w:tcBorders>
                  <w:noWrap w:val="0"/>
                  <w:vAlign w:val="center"/>
                </w:tcPr>
                <w:p w14:paraId="0085D2A2">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511F50AA">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4" w:type="pct"/>
                  <w:vMerge w:val="restart"/>
                  <w:tcBorders>
                    <w:tl2br w:val="nil"/>
                    <w:tr2bl w:val="nil"/>
                  </w:tcBorders>
                  <w:noWrap w:val="0"/>
                  <w:vAlign w:val="center"/>
                </w:tcPr>
                <w:p w14:paraId="6B341217">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eastAsia="宋体"/>
                      <w:color w:val="auto"/>
                      <w:sz w:val="21"/>
                      <w:szCs w:val="21"/>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危废暂存间</w:t>
                  </w:r>
                </w:p>
              </w:tc>
            </w:tr>
            <w:tr w14:paraId="6507A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250B51F8">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废机油</w:t>
                  </w:r>
                </w:p>
              </w:tc>
              <w:tc>
                <w:tcPr>
                  <w:tcW w:w="387" w:type="pct"/>
                  <w:tcBorders>
                    <w:tl2br w:val="nil"/>
                    <w:tr2bl w:val="nil"/>
                  </w:tcBorders>
                  <w:noWrap w:val="0"/>
                  <w:vAlign w:val="center"/>
                </w:tcPr>
                <w:p w14:paraId="095D9C06">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shd w:val="clear" w:color="auto" w:fill="auto"/>
                  <w:noWrap w:val="0"/>
                  <w:vAlign w:val="center"/>
                </w:tcPr>
                <w:p w14:paraId="5995E6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0.12</w:t>
                  </w:r>
                </w:p>
              </w:tc>
              <w:tc>
                <w:tcPr>
                  <w:tcW w:w="813" w:type="pct"/>
                  <w:tcBorders>
                    <w:tl2br w:val="nil"/>
                    <w:tr2bl w:val="nil"/>
                  </w:tcBorders>
                  <w:noWrap w:val="0"/>
                  <w:vAlign w:val="center"/>
                </w:tcPr>
                <w:p w14:paraId="297CF1F3">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w:t>
                  </w:r>
                </w:p>
              </w:tc>
              <w:tc>
                <w:tcPr>
                  <w:tcW w:w="875" w:type="pct"/>
                  <w:tcBorders>
                    <w:tl2br w:val="nil"/>
                    <w:tr2bl w:val="nil"/>
                  </w:tcBorders>
                  <w:noWrap w:val="0"/>
                  <w:vAlign w:val="center"/>
                </w:tcPr>
                <w:p w14:paraId="3B944033">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663" w:type="pct"/>
                  <w:tcBorders>
                    <w:tl2br w:val="nil"/>
                    <w:tr2bl w:val="nil"/>
                  </w:tcBorders>
                  <w:noWrap w:val="0"/>
                  <w:vAlign w:val="center"/>
                </w:tcPr>
                <w:p w14:paraId="7073A7D0">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425" w:type="pct"/>
                  <w:tcBorders>
                    <w:tl2br w:val="nil"/>
                    <w:tr2bl w:val="nil"/>
                  </w:tcBorders>
                  <w:noWrap w:val="0"/>
                  <w:vAlign w:val="center"/>
                </w:tcPr>
                <w:p w14:paraId="2C09EC8B">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54" w:type="pct"/>
                  <w:vMerge w:val="continue"/>
                  <w:tcBorders>
                    <w:tl2br w:val="nil"/>
                    <w:tr2bl w:val="nil"/>
                  </w:tcBorders>
                  <w:noWrap w:val="0"/>
                  <w:vAlign w:val="center"/>
                </w:tcPr>
                <w:p w14:paraId="6EC60396">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2308C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1D742289">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eastAsia="zh-CN"/>
                    </w:rPr>
                    <w:t>沾染油墨的抹布</w:t>
                  </w:r>
                </w:p>
              </w:tc>
              <w:tc>
                <w:tcPr>
                  <w:tcW w:w="387" w:type="pct"/>
                  <w:tcBorders>
                    <w:tl2br w:val="nil"/>
                    <w:tr2bl w:val="nil"/>
                  </w:tcBorders>
                  <w:noWrap w:val="0"/>
                  <w:vAlign w:val="center"/>
                </w:tcPr>
                <w:p w14:paraId="4E051470">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shd w:val="clear" w:color="auto" w:fill="auto"/>
                  <w:noWrap w:val="0"/>
                  <w:vAlign w:val="center"/>
                </w:tcPr>
                <w:p w14:paraId="067F4B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0.6</w:t>
                  </w:r>
                </w:p>
              </w:tc>
              <w:tc>
                <w:tcPr>
                  <w:tcW w:w="813" w:type="pct"/>
                  <w:tcBorders>
                    <w:tl2br w:val="nil"/>
                    <w:tr2bl w:val="nil"/>
                  </w:tcBorders>
                  <w:noWrap w:val="0"/>
                  <w:vAlign w:val="center"/>
                </w:tcPr>
                <w:p w14:paraId="18380A1A">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875" w:type="pct"/>
                  <w:tcBorders>
                    <w:tl2br w:val="nil"/>
                    <w:tr2bl w:val="nil"/>
                  </w:tcBorders>
                  <w:noWrap w:val="0"/>
                  <w:vAlign w:val="center"/>
                </w:tcPr>
                <w:p w14:paraId="0266520B">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矿物油、挥发性有机物</w:t>
                  </w:r>
                </w:p>
              </w:tc>
              <w:tc>
                <w:tcPr>
                  <w:tcW w:w="663" w:type="pct"/>
                  <w:tcBorders>
                    <w:tl2br w:val="nil"/>
                    <w:tr2bl w:val="nil"/>
                  </w:tcBorders>
                  <w:noWrap w:val="0"/>
                  <w:vAlign w:val="center"/>
                </w:tcPr>
                <w:p w14:paraId="15118DFA">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625B9560">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4" w:type="pct"/>
                  <w:vMerge w:val="continue"/>
                  <w:tcBorders>
                    <w:tl2br w:val="nil"/>
                    <w:tr2bl w:val="nil"/>
                  </w:tcBorders>
                  <w:noWrap w:val="0"/>
                  <w:vAlign w:val="center"/>
                </w:tcPr>
                <w:p w14:paraId="4E319839">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F0FB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55" w:type="pct"/>
                  <w:tcBorders>
                    <w:tl2br w:val="nil"/>
                    <w:tr2bl w:val="nil"/>
                  </w:tcBorders>
                  <w:noWrap w:val="0"/>
                  <w:vAlign w:val="center"/>
                </w:tcPr>
                <w:p w14:paraId="30509EF6">
                  <w:pPr>
                    <w:keepNext w:val="0"/>
                    <w:keepLines w:val="0"/>
                    <w:pageBreakBefore w:val="0"/>
                    <w:widowControl w:val="0"/>
                    <w:kinsoku/>
                    <w:wordWrap/>
                    <w:overflowPunct/>
                    <w:topLinePunct/>
                    <w:autoSpaceDE/>
                    <w:autoSpaceDN/>
                    <w:bidi w:val="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eastAsia="zh-CN"/>
                    </w:rPr>
                    <w:t>油墨空桶、稀释剂空桶、胶水空桶</w:t>
                  </w:r>
                </w:p>
              </w:tc>
              <w:tc>
                <w:tcPr>
                  <w:tcW w:w="387" w:type="pct"/>
                  <w:tcBorders>
                    <w:tl2br w:val="nil"/>
                    <w:tr2bl w:val="nil"/>
                  </w:tcBorders>
                  <w:noWrap w:val="0"/>
                  <w:vAlign w:val="center"/>
                </w:tcPr>
                <w:p w14:paraId="3D5D231E">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shd w:val="clear" w:color="auto" w:fill="auto"/>
                  <w:noWrap w:val="0"/>
                  <w:vAlign w:val="center"/>
                </w:tcPr>
                <w:p w14:paraId="5208E6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w:t>
                  </w:r>
                </w:p>
              </w:tc>
              <w:tc>
                <w:tcPr>
                  <w:tcW w:w="813" w:type="pct"/>
                  <w:tcBorders>
                    <w:tl2br w:val="nil"/>
                    <w:tr2bl w:val="nil"/>
                  </w:tcBorders>
                  <w:noWrap w:val="0"/>
                  <w:vAlign w:val="center"/>
                </w:tcPr>
                <w:p w14:paraId="2B170198">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875" w:type="pct"/>
                  <w:tcBorders>
                    <w:tl2br w:val="nil"/>
                    <w:tr2bl w:val="nil"/>
                  </w:tcBorders>
                  <w:noWrap w:val="0"/>
                  <w:vAlign w:val="center"/>
                </w:tcPr>
                <w:p w14:paraId="73A46B2C">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p>
              </w:tc>
              <w:tc>
                <w:tcPr>
                  <w:tcW w:w="663" w:type="pct"/>
                  <w:tcBorders>
                    <w:tl2br w:val="nil"/>
                    <w:tr2bl w:val="nil"/>
                  </w:tcBorders>
                  <w:noWrap w:val="0"/>
                  <w:vAlign w:val="center"/>
                </w:tcPr>
                <w:p w14:paraId="67D0A4DB">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5128D64F">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4" w:type="pct"/>
                  <w:vMerge w:val="continue"/>
                  <w:tcBorders>
                    <w:tl2br w:val="nil"/>
                    <w:tr2bl w:val="nil"/>
                  </w:tcBorders>
                  <w:noWrap w:val="0"/>
                  <w:vAlign w:val="center"/>
                </w:tcPr>
                <w:p w14:paraId="5446CF7C">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5AFDF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85" w:hRule="atLeast"/>
                <w:jc w:val="center"/>
              </w:trPr>
              <w:tc>
                <w:tcPr>
                  <w:tcW w:w="5000" w:type="pct"/>
                  <w:gridSpan w:val="8"/>
                  <w:tcBorders>
                    <w:tl2br w:val="nil"/>
                    <w:tr2bl w:val="nil"/>
                  </w:tcBorders>
                  <w:noWrap w:val="0"/>
                  <w:vAlign w:val="center"/>
                </w:tcPr>
                <w:p w14:paraId="2138D6D8">
                  <w:pPr>
                    <w:pStyle w:val="44"/>
                    <w:keepNext w:val="0"/>
                    <w:keepLines w:val="0"/>
                    <w:pageBreakBefore w:val="0"/>
                    <w:widowControl w:val="0"/>
                    <w:kinsoku/>
                    <w:wordWrap/>
                    <w:overflowPunct/>
                    <w:topLinePunct w:val="0"/>
                    <w:autoSpaceDE w:val="0"/>
                    <w:autoSpaceDN w:val="0"/>
                    <w:bidi w:val="0"/>
                    <w:adjustRightInd w:val="0"/>
                    <w:snapToGrid w:val="0"/>
                    <w:spacing w:before="0" w:after="0" w:line="320" w:lineRule="exact"/>
                    <w:ind w:left="0" w:leftChars="0" w:firstLine="0"/>
                    <w:jc w:val="both"/>
                    <w:textAlignment w:val="baseline"/>
                    <w:outlineLvl w:val="9"/>
                    <w:rPr>
                      <w:rFonts w:hint="eastAsia" w:eastAsia="宋体"/>
                      <w:color w:val="auto"/>
                      <w:sz w:val="21"/>
                      <w:szCs w:val="21"/>
                      <w:lang w:val="en-US" w:eastAsia="zh-CN"/>
                    </w:rPr>
                  </w:pPr>
                  <w:r>
                    <w:rPr>
                      <w:rFonts w:hint="default" w:ascii="Times New Roman" w:hAnsi="Times New Roman" w:eastAsia="宋体" w:cs="Times New Roman"/>
                      <w:color w:val="auto"/>
                      <w:kern w:val="0"/>
                      <w:sz w:val="18"/>
                      <w:szCs w:val="18"/>
                    </w:rPr>
                    <w:t>备注：</w:t>
                  </w:r>
                  <w:r>
                    <w:rPr>
                      <w:rFonts w:hint="eastAsia" w:ascii="Times New Roman" w:hAnsi="Times New Roman" w:eastAsia="宋体" w:cs="Times New Roman"/>
                      <w:color w:val="auto"/>
                      <w:kern w:val="0"/>
                      <w:sz w:val="18"/>
                      <w:szCs w:val="18"/>
                      <w:lang w:val="en-US" w:eastAsia="zh-CN" w:bidi="ar-SA"/>
                    </w:rPr>
                    <w:t>（1）</w:t>
                  </w:r>
                  <w:r>
                    <w:rPr>
                      <w:rFonts w:hint="default" w:ascii="Times New Roman" w:hAnsi="Times New Roman" w:eastAsia="宋体" w:cs="Times New Roman"/>
                      <w:color w:val="auto"/>
                      <w:kern w:val="2"/>
                      <w:sz w:val="18"/>
                      <w:szCs w:val="18"/>
                      <w:highlight w:val="none"/>
                      <w:lang w:val="en-US" w:eastAsia="zh-CN" w:bidi="ar-SA"/>
                    </w:rPr>
                    <w:t>因项目物质未直接列入《建设项目环境风险评价技术导则》</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HJ 169-2018</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附录B表B.1突发环境事件风险物质及临界量内，但</w:t>
                  </w:r>
                  <w:r>
                    <w:rPr>
                      <w:rFonts w:hint="eastAsia" w:ascii="Times New Roman" w:hAnsi="Times New Roman" w:eastAsia="宋体" w:cs="Times New Roman"/>
                      <w:color w:val="auto"/>
                      <w:kern w:val="2"/>
                      <w:sz w:val="18"/>
                      <w:szCs w:val="18"/>
                      <w:highlight w:val="none"/>
                      <w:lang w:val="en-US" w:eastAsia="zh-CN" w:bidi="ar-SA"/>
                    </w:rPr>
                    <w:t>其属于环境风险物质，</w:t>
                  </w:r>
                  <w:r>
                    <w:rPr>
                      <w:rFonts w:hint="eastAsia" w:ascii="宋体" w:hAnsi="宋体" w:eastAsia="宋体" w:cs="宋体"/>
                      <w:color w:val="auto"/>
                      <w:kern w:val="0"/>
                      <w:sz w:val="18"/>
                      <w:szCs w:val="18"/>
                      <w:lang w:val="en-US" w:eastAsia="zh-CN" w:bidi="ar"/>
                    </w:rPr>
                    <w:t>危险废物临界量参考《建设项目环境风险评价技术导则》（</w:t>
                  </w:r>
                  <w:r>
                    <w:rPr>
                      <w:rFonts w:hint="default" w:ascii="Times New Roman" w:hAnsi="Times New Roman" w:eastAsia="宋体" w:cs="Times New Roman"/>
                      <w:color w:val="auto"/>
                      <w:kern w:val="0"/>
                      <w:sz w:val="18"/>
                      <w:szCs w:val="18"/>
                      <w:lang w:val="en-US" w:eastAsia="zh-CN" w:bidi="ar"/>
                    </w:rPr>
                    <w:t>HJ 169-2018</w:t>
                  </w:r>
                  <w:r>
                    <w:rPr>
                      <w:rFonts w:hint="eastAsia" w:ascii="宋体" w:hAnsi="宋体" w:eastAsia="宋体" w:cs="宋体"/>
                      <w:color w:val="auto"/>
                      <w:kern w:val="0"/>
                      <w:sz w:val="18"/>
                      <w:szCs w:val="18"/>
                      <w:lang w:val="en-US" w:eastAsia="zh-CN" w:bidi="ar"/>
                    </w:rPr>
                    <w:t>）附录</w:t>
                  </w:r>
                  <w:r>
                    <w:rPr>
                      <w:rFonts w:hint="default" w:ascii="Times New Roman" w:hAnsi="Times New Roman" w:eastAsia="宋体" w:cs="Times New Roman"/>
                      <w:color w:val="auto"/>
                      <w:kern w:val="0"/>
                      <w:sz w:val="18"/>
                      <w:szCs w:val="18"/>
                      <w:lang w:val="en-US" w:eastAsia="zh-CN" w:bidi="ar"/>
                    </w:rPr>
                    <w:t>B</w:t>
                  </w:r>
                  <w:r>
                    <w:rPr>
                      <w:rFonts w:hint="eastAsia" w:ascii="宋体" w:hAnsi="宋体" w:eastAsia="宋体" w:cs="宋体"/>
                      <w:color w:val="auto"/>
                      <w:kern w:val="0"/>
                      <w:sz w:val="18"/>
                      <w:szCs w:val="18"/>
                      <w:lang w:val="en-US" w:eastAsia="zh-CN" w:bidi="ar"/>
                    </w:rPr>
                    <w:t>的表</w:t>
                  </w:r>
                  <w:r>
                    <w:rPr>
                      <w:rFonts w:hint="default" w:ascii="Times New Roman" w:hAnsi="Times New Roman" w:eastAsia="宋体" w:cs="Times New Roman"/>
                      <w:color w:val="auto"/>
                      <w:kern w:val="0"/>
                      <w:sz w:val="18"/>
                      <w:szCs w:val="18"/>
                      <w:lang w:val="en-US" w:eastAsia="zh-CN" w:bidi="ar"/>
                    </w:rPr>
                    <w:t>B.2</w:t>
                  </w:r>
                  <w:r>
                    <w:rPr>
                      <w:rFonts w:hint="eastAsia" w:ascii="宋体" w:hAnsi="宋体" w:eastAsia="宋体" w:cs="宋体"/>
                      <w:color w:val="auto"/>
                      <w:kern w:val="0"/>
                      <w:sz w:val="18"/>
                      <w:szCs w:val="18"/>
                      <w:lang w:val="en-US" w:eastAsia="zh-CN" w:bidi="ar"/>
                    </w:rPr>
                    <w:t>中健康危险急性毒性物质（类别</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，类别</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）的推荐临界量</w:t>
                  </w:r>
                  <w:r>
                    <w:rPr>
                      <w:rFonts w:hint="default" w:ascii="Times New Roman" w:hAnsi="Times New Roman" w:eastAsia="宋体" w:cs="Times New Roman"/>
                      <w:color w:val="auto"/>
                      <w:kern w:val="0"/>
                      <w:sz w:val="18"/>
                      <w:szCs w:val="18"/>
                      <w:lang w:val="en-US" w:eastAsia="zh-CN" w:bidi="ar"/>
                    </w:rPr>
                    <w:t>50t</w:t>
                  </w:r>
                </w:p>
              </w:tc>
            </w:tr>
          </w:tbl>
          <w:p w14:paraId="4135CEEB">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w:t>
            </w:r>
            <w:r>
              <w:rPr>
                <w:rFonts w:hint="eastAsia" w:cs="Times New Roman"/>
                <w:b w:val="0"/>
                <w:bCs w:val="0"/>
                <w:color w:val="auto"/>
                <w:sz w:val="24"/>
                <w:lang w:val="en-US" w:eastAsia="zh-CN"/>
              </w:rPr>
              <w:t>0.04802‬</w:t>
            </w:r>
            <w:r>
              <w:rPr>
                <w:rFonts w:hint="default" w:ascii="Times New Roman" w:hAnsi="Times New Roman" w:eastAsia="宋体" w:cs="Times New Roman"/>
                <w:b w:val="0"/>
                <w:bCs w:val="0"/>
                <w:color w:val="auto"/>
                <w:sz w:val="24"/>
                <w:lang w:val="en-US" w:eastAsia="zh-CN"/>
              </w:rPr>
              <w:t>＜1，根据《建设项目环境风险评价技术导则》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 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26C2399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117" w:name="_Toc8520"/>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 xml:space="preserve"> 环境风险识别</w:t>
            </w:r>
            <w:bookmarkEnd w:id="117"/>
          </w:p>
          <w:p w14:paraId="39FB972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39E8EC86">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7"/>
              <w:gridCol w:w="1836"/>
              <w:gridCol w:w="3457"/>
              <w:gridCol w:w="2246"/>
            </w:tblGrid>
            <w:tr w14:paraId="2ACFA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230CADE7">
                  <w:pPr>
                    <w:pStyle w:val="65"/>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118" w:name="_Toc215736207"/>
                  <w:r>
                    <w:rPr>
                      <w:rFonts w:hint="default" w:ascii="Times New Roman" w:hAnsi="Times New Roman" w:cs="Times New Roman"/>
                      <w:color w:val="auto"/>
                      <w:sz w:val="21"/>
                      <w:szCs w:val="21"/>
                      <w:highlight w:val="none"/>
                      <w:u w:val="none"/>
                    </w:rPr>
                    <w:t>潜在事故</w:t>
                  </w:r>
                </w:p>
                <w:p w14:paraId="229BDF36">
                  <w:pPr>
                    <w:pStyle w:val="65"/>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1043" w:type="pct"/>
                  <w:noWrap w:val="0"/>
                  <w:vAlign w:val="center"/>
                </w:tcPr>
                <w:p w14:paraId="797A5E00">
                  <w:pPr>
                    <w:pStyle w:val="65"/>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4" w:type="pct"/>
                  <w:noWrap w:val="0"/>
                  <w:vAlign w:val="center"/>
                </w:tcPr>
                <w:p w14:paraId="7EF3AF0F">
                  <w:pPr>
                    <w:pStyle w:val="65"/>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6981BF72">
                  <w:pPr>
                    <w:pStyle w:val="65"/>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291B5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14" w:type="pct"/>
                  <w:noWrap w:val="0"/>
                  <w:vAlign w:val="center"/>
                </w:tcPr>
                <w:p w14:paraId="45122645">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4694F92F">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1043" w:type="pct"/>
                  <w:noWrap w:val="0"/>
                  <w:vAlign w:val="center"/>
                </w:tcPr>
                <w:p w14:paraId="3B831FB6">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56921724">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4" w:type="pct"/>
                  <w:noWrap w:val="0"/>
                  <w:vAlign w:val="center"/>
                </w:tcPr>
                <w:p w14:paraId="5F910E11">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3123A20D">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5A96D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714" w:type="pct"/>
                  <w:vMerge w:val="restart"/>
                  <w:noWrap w:val="0"/>
                  <w:vAlign w:val="center"/>
                </w:tcPr>
                <w:p w14:paraId="22003812">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6E2CC811">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1043" w:type="pct"/>
                  <w:noWrap w:val="0"/>
                  <w:vAlign w:val="center"/>
                </w:tcPr>
                <w:p w14:paraId="39958E92">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4" w:type="pct"/>
                  <w:noWrap w:val="0"/>
                  <w:vAlign w:val="center"/>
                </w:tcPr>
                <w:p w14:paraId="79EF8EA3">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4C5BB368">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264DB1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continue"/>
                  <w:noWrap w:val="0"/>
                  <w:vAlign w:val="center"/>
                </w:tcPr>
                <w:p w14:paraId="6F2FE0A8">
                  <w:pPr>
                    <w:pStyle w:val="65"/>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1043" w:type="pct"/>
                  <w:noWrap w:val="0"/>
                  <w:vAlign w:val="center"/>
                </w:tcPr>
                <w:p w14:paraId="69AA0778">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4" w:type="pct"/>
                  <w:noWrap w:val="0"/>
                  <w:vAlign w:val="center"/>
                </w:tcPr>
                <w:p w14:paraId="23C7F8D9">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49EB2C3E">
                  <w:pPr>
                    <w:pStyle w:val="65"/>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17703C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45E96E7D">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1043" w:type="pct"/>
                  <w:noWrap w:val="0"/>
                  <w:vAlign w:val="center"/>
                </w:tcPr>
                <w:p w14:paraId="69006D36">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4" w:type="pct"/>
                  <w:noWrap w:val="0"/>
                  <w:vAlign w:val="center"/>
                </w:tcPr>
                <w:p w14:paraId="250A77B1">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7BDA957A">
                  <w:pPr>
                    <w:pStyle w:val="4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62D3BA9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119" w:name="_Toc2471"/>
            <w:r>
              <w:rPr>
                <w:rFonts w:hint="eastAsia" w:cs="Times New Roman"/>
                <w:b/>
                <w:bCs/>
                <w:color w:val="auto"/>
                <w:sz w:val="24"/>
                <w:highlight w:val="none"/>
                <w:lang w:val="en-US" w:eastAsia="zh-CN"/>
              </w:rPr>
              <w:t xml:space="preserve">4.6.3 </w:t>
            </w:r>
            <w:r>
              <w:rPr>
                <w:rFonts w:hint="default" w:ascii="Times New Roman" w:hAnsi="Times New Roman" w:eastAsia="宋体" w:cs="Times New Roman"/>
                <w:b/>
                <w:bCs/>
                <w:color w:val="auto"/>
                <w:sz w:val="24"/>
                <w:highlight w:val="none"/>
                <w:lang w:val="en-US" w:eastAsia="zh-CN"/>
              </w:rPr>
              <w:t>环境风险防范措施</w:t>
            </w:r>
            <w:bookmarkEnd w:id="119"/>
          </w:p>
          <w:p w14:paraId="4EB484DB">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（1）</w:t>
            </w:r>
            <w:r>
              <w:rPr>
                <w:rFonts w:hint="eastAsia"/>
                <w:color w:val="auto"/>
                <w:kern w:val="0"/>
                <w:sz w:val="24"/>
              </w:rPr>
              <w:t>废气事故排放</w:t>
            </w:r>
            <w:r>
              <w:rPr>
                <w:color w:val="auto"/>
                <w:kern w:val="0"/>
                <w:sz w:val="24"/>
              </w:rPr>
              <w:t>风险防范措施</w:t>
            </w:r>
          </w:p>
          <w:p w14:paraId="30C761EC">
            <w:pPr>
              <w:autoSpaceDE w:val="0"/>
              <w:autoSpaceDN w:val="0"/>
              <w:adjustRightInd w:val="0"/>
              <w:snapToGrid w:val="0"/>
              <w:spacing w:line="360" w:lineRule="auto"/>
              <w:ind w:firstLine="480" w:firstLineChars="200"/>
              <w:jc w:val="left"/>
              <w:rPr>
                <w:rFonts w:hint="eastAsia"/>
                <w:color w:val="auto"/>
                <w:kern w:val="0"/>
                <w:sz w:val="24"/>
              </w:rPr>
            </w:pPr>
            <w:r>
              <w:rPr>
                <w:color w:val="auto"/>
                <w:kern w:val="0"/>
                <w:sz w:val="24"/>
              </w:rPr>
              <w:t>①</w:t>
            </w:r>
            <w:r>
              <w:rPr>
                <w:rFonts w:hint="eastAsia"/>
                <w:color w:val="auto"/>
                <w:kern w:val="0"/>
                <w:sz w:val="24"/>
              </w:rPr>
              <w:t>定期对废气处理设施从设备到运输管道进行检修，发现问题及时解决。</w:t>
            </w:r>
          </w:p>
          <w:p w14:paraId="11276C95">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各生产岗位制定严格的操作规程和注意事项，车间工人需熟悉工作流程，严格按操作规程进行运行控制，防止操作失误导致废气事故排放。</w:t>
            </w:r>
          </w:p>
          <w:p w14:paraId="644B4B8F">
            <w:pPr>
              <w:autoSpaceDE w:val="0"/>
              <w:autoSpaceDN w:val="0"/>
              <w:adjustRightInd w:val="0"/>
              <w:snapToGrid w:val="0"/>
              <w:spacing w:line="360" w:lineRule="auto"/>
              <w:ind w:firstLine="480" w:firstLineChars="200"/>
              <w:jc w:val="left"/>
              <w:rPr>
                <w:rFonts w:hint="eastAsia"/>
                <w:color w:val="auto"/>
                <w:sz w:val="24"/>
              </w:rPr>
            </w:pPr>
            <w:r>
              <w:rPr>
                <w:color w:val="auto"/>
                <w:kern w:val="0"/>
                <w:sz w:val="24"/>
              </w:rPr>
              <w:t>③</w:t>
            </w:r>
            <w:r>
              <w:rPr>
                <w:rFonts w:hint="eastAsia"/>
                <w:color w:val="auto"/>
                <w:kern w:val="0"/>
                <w:sz w:val="24"/>
              </w:rPr>
              <w:t>定期更换活性炭，</w:t>
            </w:r>
            <w:r>
              <w:rPr>
                <w:color w:val="auto"/>
                <w:sz w:val="24"/>
              </w:rPr>
              <w:t>同时确保项目</w:t>
            </w:r>
            <w:r>
              <w:rPr>
                <w:rFonts w:hint="eastAsia"/>
                <w:color w:val="auto"/>
                <w:sz w:val="24"/>
                <w:lang w:eastAsia="zh-CN"/>
              </w:rPr>
              <w:t>活性炭吸附装置</w:t>
            </w:r>
            <w:r>
              <w:rPr>
                <w:color w:val="auto"/>
                <w:sz w:val="24"/>
              </w:rPr>
              <w:t>一次性装置量</w:t>
            </w:r>
            <w:r>
              <w:rPr>
                <w:rFonts w:hint="eastAsia"/>
                <w:color w:val="auto"/>
                <w:sz w:val="24"/>
              </w:rPr>
              <w:t>。</w:t>
            </w:r>
          </w:p>
          <w:p w14:paraId="5DCD9A3F">
            <w:pPr>
              <w:autoSpaceDE w:val="0"/>
              <w:autoSpaceDN w:val="0"/>
              <w:adjustRightInd w:val="0"/>
              <w:spacing w:line="360" w:lineRule="auto"/>
              <w:ind w:firstLine="480" w:firstLineChars="200"/>
              <w:jc w:val="left"/>
              <w:rPr>
                <w:color w:val="auto"/>
                <w:kern w:val="0"/>
                <w:sz w:val="24"/>
              </w:rPr>
            </w:pPr>
            <w:r>
              <w:rPr>
                <w:rFonts w:hint="eastAsia"/>
                <w:color w:val="auto"/>
                <w:sz w:val="24"/>
                <w:lang w:eastAsia="zh-CN"/>
              </w:rPr>
              <w:t>（2）</w:t>
            </w:r>
            <w:r>
              <w:rPr>
                <w:rFonts w:hint="eastAsia"/>
                <w:color w:val="auto"/>
                <w:kern w:val="0"/>
                <w:sz w:val="24"/>
              </w:rPr>
              <w:t>危险废物等</w:t>
            </w:r>
            <w:r>
              <w:rPr>
                <w:color w:val="auto"/>
                <w:kern w:val="0"/>
                <w:sz w:val="24"/>
              </w:rPr>
              <w:t>泄漏事故风险防范措施</w:t>
            </w:r>
          </w:p>
          <w:p w14:paraId="6C41553B">
            <w:pPr>
              <w:autoSpaceDE w:val="0"/>
              <w:autoSpaceDN w:val="0"/>
              <w:adjustRightInd w:val="0"/>
              <w:snapToGrid w:val="0"/>
              <w:spacing w:line="360" w:lineRule="auto"/>
              <w:ind w:firstLine="480" w:firstLineChars="200"/>
              <w:jc w:val="left"/>
              <w:rPr>
                <w:color w:val="auto"/>
                <w:kern w:val="0"/>
                <w:sz w:val="24"/>
              </w:rPr>
            </w:pPr>
            <w:r>
              <w:rPr>
                <w:color w:val="auto"/>
                <w:kern w:val="0"/>
                <w:sz w:val="24"/>
              </w:rPr>
              <w:t>①</w:t>
            </w:r>
            <w:r>
              <w:rPr>
                <w:rFonts w:hint="eastAsia"/>
                <w:color w:val="auto"/>
                <w:kern w:val="0"/>
                <w:sz w:val="24"/>
              </w:rPr>
              <w:t>危险废物间</w:t>
            </w:r>
            <w:r>
              <w:rPr>
                <w:color w:val="auto"/>
                <w:kern w:val="0"/>
                <w:sz w:val="24"/>
              </w:rPr>
              <w:t>周围设置围堰</w:t>
            </w:r>
            <w:r>
              <w:rPr>
                <w:rFonts w:hint="eastAsia"/>
                <w:color w:val="auto"/>
                <w:kern w:val="0"/>
                <w:sz w:val="24"/>
              </w:rPr>
              <w:t>，</w:t>
            </w:r>
            <w:r>
              <w:rPr>
                <w:color w:val="auto"/>
                <w:kern w:val="0"/>
                <w:sz w:val="24"/>
              </w:rPr>
              <w:t>地面采取防渗，设置导流沟</w:t>
            </w:r>
            <w:r>
              <w:rPr>
                <w:rFonts w:hint="eastAsia"/>
                <w:color w:val="auto"/>
                <w:kern w:val="0"/>
                <w:sz w:val="24"/>
              </w:rPr>
              <w:t>，</w:t>
            </w:r>
            <w:r>
              <w:rPr>
                <w:color w:val="auto"/>
                <w:kern w:val="0"/>
                <w:sz w:val="24"/>
              </w:rPr>
              <w:t>设置警示标识等</w:t>
            </w:r>
            <w:r>
              <w:rPr>
                <w:rFonts w:hint="eastAsia"/>
                <w:color w:val="auto"/>
                <w:kern w:val="0"/>
                <w:sz w:val="24"/>
              </w:rPr>
              <w:t>。</w:t>
            </w:r>
          </w:p>
          <w:p w14:paraId="7066707D">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危险废物间</w:t>
            </w:r>
            <w:r>
              <w:rPr>
                <w:color w:val="auto"/>
                <w:kern w:val="0"/>
                <w:sz w:val="24"/>
              </w:rPr>
              <w:t>严禁明火，严格遵守操作规程，避免因操作失误发生事故。</w:t>
            </w:r>
          </w:p>
          <w:p w14:paraId="24687614">
            <w:pPr>
              <w:autoSpaceDE w:val="0"/>
              <w:autoSpaceDN w:val="0"/>
              <w:adjustRightInd w:val="0"/>
              <w:snapToGrid w:val="0"/>
              <w:spacing w:line="360" w:lineRule="auto"/>
              <w:ind w:firstLine="480" w:firstLineChars="200"/>
              <w:jc w:val="left"/>
              <w:rPr>
                <w:color w:val="auto"/>
                <w:sz w:val="24"/>
              </w:rPr>
            </w:pPr>
            <w:r>
              <w:rPr>
                <w:color w:val="auto"/>
                <w:sz w:val="24"/>
              </w:rPr>
              <w:t>③</w:t>
            </w:r>
            <w:r>
              <w:rPr>
                <w:color w:val="auto"/>
                <w:kern w:val="0"/>
                <w:sz w:val="24"/>
              </w:rPr>
              <w:t>配备</w:t>
            </w:r>
            <w:r>
              <w:rPr>
                <w:color w:val="auto"/>
                <w:sz w:val="24"/>
              </w:rPr>
              <w:t>相应的堵漏材料</w:t>
            </w:r>
            <w:r>
              <w:rPr>
                <w:rFonts w:hint="eastAsia"/>
                <w:color w:val="auto"/>
                <w:sz w:val="24"/>
                <w:lang w:eastAsia="zh-CN"/>
              </w:rPr>
              <w:t>（</w:t>
            </w:r>
            <w:r>
              <w:rPr>
                <w:rFonts w:hint="eastAsia"/>
                <w:color w:val="auto"/>
                <w:sz w:val="24"/>
              </w:rPr>
              <w:t>沙袋</w:t>
            </w:r>
            <w:r>
              <w:rPr>
                <w:color w:val="auto"/>
                <w:sz w:val="24"/>
              </w:rPr>
              <w:t>、吸油毡等</w:t>
            </w:r>
            <w:r>
              <w:rPr>
                <w:rFonts w:hint="eastAsia"/>
                <w:color w:val="auto"/>
                <w:sz w:val="24"/>
                <w:lang w:eastAsia="zh-CN"/>
              </w:rPr>
              <w:t>）</w:t>
            </w:r>
            <w:r>
              <w:rPr>
                <w:color w:val="auto"/>
                <w:sz w:val="24"/>
              </w:rPr>
              <w:t>。</w:t>
            </w:r>
          </w:p>
          <w:p w14:paraId="36556C1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w:t>
            </w:r>
            <w:r>
              <w:rPr>
                <w:rFonts w:hint="eastAsia" w:ascii="Times New Roman" w:hAnsi="Times New Roman" w:eastAsia="宋体" w:cs="Times New Roman"/>
                <w:color w:val="auto"/>
                <w:kern w:val="0"/>
                <w:sz w:val="24"/>
                <w:highlight w:val="none"/>
                <w:u w:val="none"/>
                <w:lang w:val="en-US" w:eastAsia="zh-CN"/>
              </w:rPr>
              <w:t>危险废物贮存库</w:t>
            </w:r>
            <w:r>
              <w:rPr>
                <w:rFonts w:hint="default" w:ascii="Times New Roman" w:hAnsi="Times New Roman" w:eastAsia="宋体" w:cs="Times New Roman"/>
                <w:color w:val="auto"/>
                <w:kern w:val="0"/>
                <w:sz w:val="24"/>
                <w:highlight w:val="none"/>
                <w:u w:val="none"/>
                <w:lang w:val="en-US" w:eastAsia="zh-CN"/>
              </w:rPr>
              <w:t>应按照《危险废物贮存污染控制标准》</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GB18597-2023</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要求进行建设，具备</w:t>
            </w:r>
            <w:r>
              <w:rPr>
                <w:rFonts w:hint="eastAsia" w:ascii="Times New Roman" w:hAnsi="Times New Roman" w:eastAsia="宋体" w:cs="Times New Roman"/>
                <w:color w:val="auto"/>
                <w:kern w:val="0"/>
                <w:sz w:val="24"/>
                <w:highlight w:val="none"/>
                <w:u w:val="none"/>
                <w:lang w:val="en-US" w:eastAsia="zh-CN"/>
              </w:rPr>
              <w:t>防风、防雨、防晒、防止流失及扬散、防渗、防漏等要求</w:t>
            </w:r>
            <w:r>
              <w:rPr>
                <w:rFonts w:hint="default"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不得与禁忌化学品混合贮存。</w:t>
            </w:r>
          </w:p>
          <w:p w14:paraId="113D6662">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（3）</w:t>
            </w:r>
            <w:r>
              <w:rPr>
                <w:color w:val="auto"/>
                <w:kern w:val="0"/>
                <w:sz w:val="24"/>
              </w:rPr>
              <w:t>火灾事故风险防范措施</w:t>
            </w:r>
          </w:p>
          <w:p w14:paraId="2EFB3343">
            <w:pPr>
              <w:adjustRightInd w:val="0"/>
              <w:snapToGrid w:val="0"/>
              <w:spacing w:line="360" w:lineRule="auto"/>
              <w:ind w:firstLine="480" w:firstLineChars="200"/>
              <w:rPr>
                <w:bCs/>
                <w:color w:val="auto"/>
                <w:sz w:val="24"/>
              </w:rPr>
            </w:pPr>
            <w:r>
              <w:rPr>
                <w:bCs/>
                <w:color w:val="auto"/>
                <w:sz w:val="24"/>
              </w:rPr>
              <w:t>①加强消防设施和灭火器材的配备，严格落实有关消防技术规范的规定，加强人员疏散设施管理，保证疏散通道畅通。</w:t>
            </w:r>
          </w:p>
          <w:p w14:paraId="553EE387">
            <w:pPr>
              <w:adjustRightInd w:val="0"/>
              <w:snapToGrid w:val="0"/>
              <w:spacing w:line="360" w:lineRule="auto"/>
              <w:ind w:firstLine="480" w:firstLineChars="200"/>
              <w:rPr>
                <w:bCs/>
                <w:color w:val="auto"/>
                <w:sz w:val="24"/>
              </w:rPr>
            </w:pPr>
            <w:r>
              <w:rPr>
                <w:bCs/>
                <w:color w:val="auto"/>
                <w:sz w:val="24"/>
              </w:rPr>
              <w:t>②定期进行防火安全检查，确保消防设施完整好用。</w:t>
            </w:r>
          </w:p>
          <w:p w14:paraId="3DC572C4">
            <w:pPr>
              <w:adjustRightInd w:val="0"/>
              <w:snapToGrid w:val="0"/>
              <w:spacing w:line="360" w:lineRule="auto"/>
              <w:ind w:firstLine="480" w:firstLineChars="200"/>
              <w:rPr>
                <w:bCs/>
                <w:color w:val="auto"/>
                <w:sz w:val="24"/>
              </w:rPr>
            </w:pPr>
            <w:r>
              <w:rPr>
                <w:color w:val="auto"/>
                <w:sz w:val="24"/>
              </w:rPr>
              <w:t>③</w:t>
            </w:r>
            <w:r>
              <w:rPr>
                <w:bCs/>
                <w:color w:val="auto"/>
                <w:sz w:val="24"/>
              </w:rPr>
              <w:t>公司要求职工应遵守各项规章制度，杜绝</w:t>
            </w:r>
            <w:r>
              <w:rPr>
                <w:rFonts w:hint="eastAsia"/>
                <w:bCs/>
                <w:color w:val="auto"/>
                <w:sz w:val="24"/>
                <w:lang w:eastAsia="zh-CN"/>
              </w:rPr>
              <w:t>“</w:t>
            </w:r>
            <w:r>
              <w:rPr>
                <w:bCs/>
                <w:color w:val="auto"/>
                <w:sz w:val="24"/>
              </w:rPr>
              <w:t>三违</w:t>
            </w:r>
            <w:r>
              <w:rPr>
                <w:rFonts w:hint="eastAsia"/>
                <w:bCs/>
                <w:color w:val="auto"/>
                <w:sz w:val="24"/>
                <w:lang w:eastAsia="zh-CN"/>
              </w:rPr>
              <w:t>”（</w:t>
            </w:r>
            <w:r>
              <w:rPr>
                <w:bCs/>
                <w:color w:val="auto"/>
                <w:sz w:val="24"/>
              </w:rPr>
              <w:t>违章作业、违章指挥、违反劳动纪律</w:t>
            </w:r>
            <w:r>
              <w:rPr>
                <w:rFonts w:hint="eastAsia"/>
                <w:bCs/>
                <w:color w:val="auto"/>
                <w:sz w:val="24"/>
                <w:lang w:eastAsia="zh-CN"/>
              </w:rPr>
              <w:t>）</w:t>
            </w:r>
            <w:r>
              <w:rPr>
                <w:bCs/>
                <w:color w:val="auto"/>
                <w:sz w:val="24"/>
              </w:rPr>
              <w:t>，作业时要遵守各项规定</w:t>
            </w:r>
            <w:r>
              <w:rPr>
                <w:rFonts w:hint="eastAsia"/>
                <w:bCs/>
                <w:color w:val="auto"/>
                <w:sz w:val="24"/>
                <w:lang w:eastAsia="zh-CN"/>
              </w:rPr>
              <w:t>（</w:t>
            </w:r>
            <w:r>
              <w:rPr>
                <w:bCs/>
                <w:color w:val="auto"/>
                <w:sz w:val="24"/>
              </w:rPr>
              <w:t>如动火、高处作业、进入设备作业等规定</w:t>
            </w:r>
            <w:r>
              <w:rPr>
                <w:rFonts w:hint="eastAsia"/>
                <w:bCs/>
                <w:color w:val="auto"/>
                <w:sz w:val="24"/>
                <w:lang w:eastAsia="zh-CN"/>
              </w:rPr>
              <w:t>）</w:t>
            </w:r>
            <w:r>
              <w:rPr>
                <w:bCs/>
                <w:color w:val="auto"/>
                <w:sz w:val="24"/>
              </w:rPr>
              <w:t>要求，确保安全生产。</w:t>
            </w:r>
          </w:p>
          <w:p w14:paraId="0347A93D">
            <w:pPr>
              <w:adjustRightInd w:val="0"/>
              <w:snapToGrid w:val="0"/>
              <w:spacing w:line="360" w:lineRule="auto"/>
              <w:ind w:firstLine="480" w:firstLineChars="200"/>
              <w:rPr>
                <w:bCs/>
                <w:color w:val="auto"/>
                <w:sz w:val="24"/>
              </w:rPr>
            </w:pPr>
            <w:r>
              <w:rPr>
                <w:bCs/>
                <w:color w:val="auto"/>
                <w:sz w:val="24"/>
              </w:rPr>
              <w:t>④公司强化安全、消防和环保管理，完善环保安全管理机构，完善各项管理制度，加强日常监督检查；</w:t>
            </w:r>
            <w:r>
              <w:rPr>
                <w:rFonts w:hint="eastAsia"/>
                <w:bCs/>
                <w:color w:val="auto"/>
                <w:sz w:val="24"/>
              </w:rPr>
              <w:t>车间</w:t>
            </w:r>
            <w:r>
              <w:rPr>
                <w:bCs/>
                <w:color w:val="auto"/>
                <w:sz w:val="24"/>
              </w:rPr>
              <w:t>内严禁烟火，严格动火审批制度，进料车辆必须戴阻火器。</w:t>
            </w:r>
          </w:p>
          <w:p w14:paraId="21ED66C6">
            <w:pPr>
              <w:pStyle w:val="71"/>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 xml:space="preserve">4.6.4 </w:t>
            </w:r>
            <w:r>
              <w:rPr>
                <w:rFonts w:hint="default" w:ascii="Times New Roman" w:hAnsi="Times New Roman" w:cs="Times New Roman"/>
                <w:b/>
                <w:bCs/>
                <w:color w:val="auto"/>
                <w:highlight w:val="none"/>
              </w:rPr>
              <w:t>风险分析结论</w:t>
            </w:r>
          </w:p>
          <w:p w14:paraId="5D021A15">
            <w:pPr>
              <w:pStyle w:val="71"/>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118"/>
          </w:p>
          <w:p w14:paraId="18A441FC">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20" w:name="_Toc15285"/>
            <w:r>
              <w:rPr>
                <w:rFonts w:hint="eastAsia" w:ascii="Times New Roman" w:hAnsi="Times New Roman" w:eastAsia="宋体" w:cs="Times New Roman"/>
                <w:color w:val="auto"/>
                <w:sz w:val="28"/>
                <w:szCs w:val="28"/>
                <w:u w:val="none"/>
                <w:lang w:val="en-US" w:eastAsia="zh-CN"/>
              </w:rPr>
              <w:t>4.7自行监测计划</w:t>
            </w:r>
            <w:bookmarkEnd w:id="120"/>
          </w:p>
          <w:p w14:paraId="04D45B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本评价根据《排污单位自行监测技术指南 总则》（HJ819-2017）、《排污许可证申请与核发技术规范 橡胶和塑料制品工业》（HJ1122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2020）的要求，提出项目运营期自行监测计划，具体详见表4.</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-1。</w:t>
            </w:r>
          </w:p>
          <w:p w14:paraId="46F6EE3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 本项目自行监测计划</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839"/>
              <w:gridCol w:w="3358"/>
              <w:gridCol w:w="1815"/>
              <w:gridCol w:w="1137"/>
              <w:gridCol w:w="1104"/>
            </w:tblGrid>
            <w:tr w14:paraId="09236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2" w:hRule="atLeast"/>
              </w:trPr>
              <w:tc>
                <w:tcPr>
                  <w:tcW w:w="787" w:type="pct"/>
                  <w:gridSpan w:val="2"/>
                  <w:tcBorders>
                    <w:tl2br w:val="nil"/>
                    <w:tr2bl w:val="nil"/>
                  </w:tcBorders>
                  <w:noWrap w:val="0"/>
                  <w:vAlign w:val="center"/>
                </w:tcPr>
                <w:p w14:paraId="070B5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908" w:type="pct"/>
                  <w:tcBorders>
                    <w:tl2br w:val="nil"/>
                    <w:tr2bl w:val="nil"/>
                  </w:tcBorders>
                  <w:noWrap w:val="0"/>
                  <w:vAlign w:val="center"/>
                </w:tcPr>
                <w:p w14:paraId="50960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031" w:type="pct"/>
                  <w:tcBorders>
                    <w:tl2br w:val="nil"/>
                    <w:tr2bl w:val="nil"/>
                  </w:tcBorders>
                  <w:noWrap w:val="0"/>
                  <w:vAlign w:val="center"/>
                </w:tcPr>
                <w:p w14:paraId="4DCBE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6" w:type="pct"/>
                  <w:tcBorders>
                    <w:tl2br w:val="nil"/>
                    <w:tr2bl w:val="nil"/>
                  </w:tcBorders>
                  <w:noWrap w:val="0"/>
                  <w:vAlign w:val="center"/>
                </w:tcPr>
                <w:p w14:paraId="72733D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5" w:type="pct"/>
                  <w:tcBorders>
                    <w:tl2br w:val="nil"/>
                    <w:tr2bl w:val="nil"/>
                  </w:tcBorders>
                  <w:noWrap w:val="0"/>
                  <w:vAlign w:val="center"/>
                </w:tcPr>
                <w:p w14:paraId="2FACB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6D57D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restart"/>
                  <w:tcBorders>
                    <w:tl2br w:val="nil"/>
                    <w:tr2bl w:val="nil"/>
                  </w:tcBorders>
                  <w:noWrap w:val="0"/>
                  <w:vAlign w:val="center"/>
                </w:tcPr>
                <w:p w14:paraId="3C7D0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77" w:type="pct"/>
                  <w:vMerge w:val="restart"/>
                  <w:tcBorders>
                    <w:tl2br w:val="nil"/>
                    <w:tr2bl w:val="nil"/>
                  </w:tcBorders>
                  <w:noWrap w:val="0"/>
                  <w:vAlign w:val="center"/>
                </w:tcPr>
                <w:p w14:paraId="79CCB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tc>
              <w:tc>
                <w:tcPr>
                  <w:tcW w:w="1908" w:type="pct"/>
                  <w:tcBorders>
                    <w:tl2br w:val="nil"/>
                    <w:tr2bl w:val="nil"/>
                  </w:tcBorders>
                  <w:noWrap w:val="0"/>
                  <w:vAlign w:val="center"/>
                </w:tcPr>
                <w:p w14:paraId="3F6536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厂区内</w:t>
                  </w:r>
                  <w:r>
                    <w:rPr>
                      <w:rFonts w:hint="eastAsia" w:cs="Times New Roman"/>
                      <w:color w:val="000000"/>
                      <w:kern w:val="0"/>
                      <w:sz w:val="21"/>
                      <w:szCs w:val="21"/>
                      <w:lang w:val="en-US" w:eastAsia="zh-CN" w:bidi="ar"/>
                    </w:rPr>
                    <w:t>主要设施旁1</w:t>
                  </w:r>
                  <w:r>
                    <w:rPr>
                      <w:rFonts w:hint="default" w:ascii="Times New Roman" w:hAnsi="Times New Roman" w:eastAsia="宋体" w:cs="Times New Roman"/>
                      <w:color w:val="000000"/>
                      <w:kern w:val="0"/>
                      <w:sz w:val="21"/>
                      <w:szCs w:val="21"/>
                      <w:lang w:val="en-US" w:eastAsia="zh-CN" w:bidi="ar"/>
                    </w:rPr>
                    <w:t>个监控点</w:t>
                  </w:r>
                </w:p>
              </w:tc>
              <w:tc>
                <w:tcPr>
                  <w:tcW w:w="1031" w:type="pct"/>
                  <w:tcBorders>
                    <w:tl2br w:val="nil"/>
                    <w:tr2bl w:val="nil"/>
                  </w:tcBorders>
                  <w:noWrap w:val="0"/>
                  <w:vAlign w:val="center"/>
                </w:tcPr>
                <w:p w14:paraId="5F84C28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646" w:type="pct"/>
                  <w:tcBorders>
                    <w:tl2br w:val="nil"/>
                    <w:tr2bl w:val="nil"/>
                  </w:tcBorders>
                  <w:noWrap w:val="0"/>
                  <w:vAlign w:val="center"/>
                </w:tcPr>
                <w:p w14:paraId="3E7F0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5" w:type="pct"/>
                  <w:vMerge w:val="restart"/>
                  <w:tcBorders>
                    <w:tl2br w:val="nil"/>
                    <w:tr2bl w:val="nil"/>
                  </w:tcBorders>
                  <w:noWrap w:val="0"/>
                  <w:vAlign w:val="center"/>
                </w:tcPr>
                <w:p w14:paraId="36DB75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委托专业检测单位</w:t>
                  </w:r>
                </w:p>
                <w:p w14:paraId="59747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4A4D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B64A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vMerge w:val="continue"/>
                  <w:tcBorders>
                    <w:tl2br w:val="nil"/>
                    <w:tr2bl w:val="nil"/>
                  </w:tcBorders>
                  <w:noWrap w:val="0"/>
                  <w:vAlign w:val="center"/>
                </w:tcPr>
                <w:p w14:paraId="437662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8" w:type="pct"/>
                  <w:tcBorders>
                    <w:tl2br w:val="nil"/>
                    <w:tr2bl w:val="nil"/>
                  </w:tcBorders>
                  <w:noWrap w:val="0"/>
                  <w:vAlign w:val="center"/>
                </w:tcPr>
                <w:p w14:paraId="35C9CF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厂界上风向1个监控点；下风向</w:t>
                  </w:r>
                  <w:r>
                    <w:rPr>
                      <w:rFonts w:hint="eastAsia"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个监控点</w:t>
                  </w:r>
                </w:p>
              </w:tc>
              <w:tc>
                <w:tcPr>
                  <w:tcW w:w="1031" w:type="pct"/>
                  <w:tcBorders>
                    <w:tl2br w:val="nil"/>
                    <w:tr2bl w:val="nil"/>
                  </w:tcBorders>
                  <w:noWrap w:val="0"/>
                  <w:vAlign w:val="center"/>
                </w:tcPr>
                <w:p w14:paraId="168082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646" w:type="pct"/>
                  <w:tcBorders>
                    <w:tl2br w:val="nil"/>
                    <w:tr2bl w:val="nil"/>
                  </w:tcBorders>
                  <w:noWrap w:val="0"/>
                  <w:vAlign w:val="center"/>
                </w:tcPr>
                <w:p w14:paraId="0EAA1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5" w:type="pct"/>
                  <w:vMerge w:val="continue"/>
                  <w:tcBorders>
                    <w:tl2br w:val="nil"/>
                    <w:tr2bl w:val="nil"/>
                  </w:tcBorders>
                  <w:noWrap w:val="0"/>
                  <w:vAlign w:val="center"/>
                </w:tcPr>
                <w:p w14:paraId="66A97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7DF4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6A8C57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tcBorders>
                    <w:tl2br w:val="nil"/>
                    <w:tr2bl w:val="nil"/>
                  </w:tcBorders>
                  <w:noWrap w:val="0"/>
                  <w:vAlign w:val="center"/>
                </w:tcPr>
                <w:p w14:paraId="5116A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908" w:type="pct"/>
                  <w:tcBorders>
                    <w:tl2br w:val="nil"/>
                    <w:tr2bl w:val="nil"/>
                  </w:tcBorders>
                  <w:noWrap w:val="0"/>
                  <w:vAlign w:val="center"/>
                </w:tcPr>
                <w:p w14:paraId="440C2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有机废气排气筒DA001</w:t>
                  </w:r>
                </w:p>
              </w:tc>
              <w:tc>
                <w:tcPr>
                  <w:tcW w:w="1031" w:type="pct"/>
                  <w:tcBorders>
                    <w:tl2br w:val="nil"/>
                    <w:tr2bl w:val="nil"/>
                  </w:tcBorders>
                  <w:noWrap w:val="0"/>
                  <w:vAlign w:val="center"/>
                </w:tcPr>
                <w:p w14:paraId="324C3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p>
              </w:tc>
              <w:tc>
                <w:tcPr>
                  <w:tcW w:w="646" w:type="pct"/>
                  <w:tcBorders>
                    <w:tl2br w:val="nil"/>
                    <w:tr2bl w:val="nil"/>
                  </w:tcBorders>
                  <w:noWrap w:val="0"/>
                  <w:vAlign w:val="center"/>
                </w:tcPr>
                <w:p w14:paraId="7BB8B7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1次/年</w:t>
                  </w:r>
                </w:p>
              </w:tc>
              <w:tc>
                <w:tcPr>
                  <w:tcW w:w="625" w:type="pct"/>
                  <w:vMerge w:val="continue"/>
                  <w:tcBorders>
                    <w:tl2br w:val="nil"/>
                    <w:tr2bl w:val="nil"/>
                  </w:tcBorders>
                  <w:noWrap w:val="0"/>
                  <w:vAlign w:val="center"/>
                </w:tcPr>
                <w:p w14:paraId="5DC43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A132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359A0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212" w:type="pct"/>
                  <w:gridSpan w:val="4"/>
                  <w:tcBorders>
                    <w:tl2br w:val="nil"/>
                    <w:tr2bl w:val="nil"/>
                  </w:tcBorders>
                  <w:noWrap w:val="0"/>
                  <w:vAlign w:val="center"/>
                </w:tcPr>
                <w:p w14:paraId="52EA58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 总则》（HJ819-2017）、《排污许可证申请与核发技术规范 橡胶和塑料制品工业》（HJ1122—2020），间接排放的生活污水单独排放口无自行监测要求。因此，本评价不对生活污水提出自行监测要求。</w:t>
                  </w:r>
                </w:p>
              </w:tc>
            </w:tr>
            <w:tr w14:paraId="6BDDD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227547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908" w:type="pct"/>
                  <w:tcBorders>
                    <w:tl2br w:val="nil"/>
                    <w:tr2bl w:val="nil"/>
                  </w:tcBorders>
                  <w:noWrap w:val="0"/>
                  <w:vAlign w:val="center"/>
                </w:tcPr>
                <w:p w14:paraId="3D3FCC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厂界四周外1m</w:t>
                  </w:r>
                </w:p>
              </w:tc>
              <w:tc>
                <w:tcPr>
                  <w:tcW w:w="1031" w:type="pct"/>
                  <w:tcBorders>
                    <w:tl2br w:val="nil"/>
                    <w:tr2bl w:val="nil"/>
                  </w:tcBorders>
                  <w:noWrap w:val="0"/>
                  <w:vAlign w:val="center"/>
                </w:tcPr>
                <w:p w14:paraId="21E09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等效</w:t>
                  </w:r>
                  <w:r>
                    <w:rPr>
                      <w:rFonts w:hint="default" w:ascii="Times New Roman" w:hAnsi="Times New Roman" w:eastAsia="宋体" w:cs="Times New Roman"/>
                      <w:color w:val="auto"/>
                      <w:sz w:val="21"/>
                      <w:szCs w:val="21"/>
                      <w:lang w:val="en-US" w:eastAsia="zh-CN"/>
                    </w:rPr>
                    <w:t>A声级</w:t>
                  </w:r>
                </w:p>
              </w:tc>
              <w:tc>
                <w:tcPr>
                  <w:tcW w:w="646" w:type="pct"/>
                  <w:tcBorders>
                    <w:tl2br w:val="nil"/>
                    <w:tr2bl w:val="nil"/>
                  </w:tcBorders>
                  <w:noWrap w:val="0"/>
                  <w:vAlign w:val="center"/>
                </w:tcPr>
                <w:p w14:paraId="3B7DC3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bidi="ar-SA"/>
                    </w:rPr>
                    <w:t>1次/季度</w:t>
                  </w:r>
                </w:p>
              </w:tc>
              <w:tc>
                <w:tcPr>
                  <w:tcW w:w="625" w:type="pct"/>
                  <w:tcBorders>
                    <w:tl2br w:val="nil"/>
                    <w:tr2bl w:val="nil"/>
                  </w:tcBorders>
                  <w:noWrap w:val="0"/>
                  <w:vAlign w:val="center"/>
                </w:tcPr>
                <w:p w14:paraId="238DA1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委托专业检测单位</w:t>
                  </w:r>
                </w:p>
              </w:tc>
            </w:tr>
          </w:tbl>
          <w:p w14:paraId="0DD34D04">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21" w:name="_Toc17846"/>
            <w:bookmarkStart w:id="122" w:name="_Toc25365"/>
            <w:bookmarkStart w:id="123" w:name="_Toc12062"/>
            <w:bookmarkStart w:id="124" w:name="_Toc11633"/>
            <w:bookmarkStart w:id="125" w:name="_Toc7744"/>
            <w:bookmarkStart w:id="126" w:name="_Toc26125"/>
            <w:r>
              <w:rPr>
                <w:rFonts w:hint="eastAsia" w:ascii="Times New Roman" w:hAnsi="Times New Roman" w:eastAsia="宋体" w:cs="Times New Roman"/>
                <w:color w:val="auto"/>
                <w:sz w:val="28"/>
                <w:szCs w:val="28"/>
                <w:u w:val="none"/>
                <w:lang w:val="en-US" w:eastAsia="zh-CN"/>
              </w:rPr>
              <w:t>4.8环保投资估算</w:t>
            </w:r>
            <w:bookmarkEnd w:id="121"/>
            <w:bookmarkEnd w:id="122"/>
            <w:bookmarkEnd w:id="123"/>
            <w:bookmarkEnd w:id="124"/>
            <w:bookmarkEnd w:id="125"/>
            <w:bookmarkEnd w:id="126"/>
          </w:p>
          <w:p w14:paraId="34EE3246">
            <w:pPr>
              <w:widowControl w:val="0"/>
              <w:bidi w:val="0"/>
              <w:spacing w:line="360" w:lineRule="auto"/>
              <w:ind w:firstLine="480" w:firstLineChars="200"/>
              <w:jc w:val="both"/>
              <w:rPr>
                <w:rFonts w:hint="eastAsia" w:ascii="Times New Roman" w:hAnsi="Times New Roman" w:eastAsia="宋体" w:cs="宋体"/>
                <w:color w:val="000000"/>
                <w:kern w:val="2"/>
                <w:sz w:val="24"/>
                <w:szCs w:val="24"/>
                <w:lang w:val="en-US" w:eastAsia="zh-CN" w:bidi="ar-SA"/>
              </w:rPr>
            </w:pPr>
            <w:r>
              <w:rPr>
                <w:rFonts w:hint="eastAsia" w:ascii="Times New Roman" w:hAnsi="Times New Roman" w:eastAsia="宋体" w:cs="宋体"/>
                <w:color w:val="000000"/>
                <w:kern w:val="2"/>
                <w:sz w:val="24"/>
                <w:szCs w:val="24"/>
                <w:lang w:val="en-US" w:eastAsia="zh-CN" w:bidi="ar-SA"/>
              </w:rPr>
              <w:t>本项目环保措施包括废水、废气、噪声治理措施、固体废物收集场所等。具体见表4.9-1。</w:t>
            </w:r>
          </w:p>
          <w:p w14:paraId="5FB3E865">
            <w:pPr>
              <w:pStyle w:val="72"/>
              <w:bidi w:val="0"/>
              <w:rPr>
                <w:rFonts w:hint="default"/>
                <w:color w:val="000000"/>
                <w:lang w:val="en-US" w:eastAsia="zh-CN"/>
              </w:rPr>
            </w:pPr>
            <w:r>
              <w:rPr>
                <w:rFonts w:hint="eastAsia"/>
                <w:color w:val="000000"/>
                <w:lang w:val="en-US" w:eastAsia="zh-CN"/>
              </w:rPr>
              <w:t>表4.9-1环保投资估算</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928"/>
              <w:gridCol w:w="5648"/>
              <w:gridCol w:w="1508"/>
            </w:tblGrid>
            <w:tr w14:paraId="20446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5E80AEB1">
                  <w:pPr>
                    <w:pStyle w:val="55"/>
                    <w:bidi w:val="0"/>
                    <w:rPr>
                      <w:rFonts w:hint="default"/>
                      <w:color w:val="000000"/>
                      <w:lang w:val="en-US" w:eastAsia="zh-CN"/>
                    </w:rPr>
                  </w:pPr>
                  <w:r>
                    <w:rPr>
                      <w:rFonts w:hint="eastAsia"/>
                      <w:color w:val="000000"/>
                      <w:lang w:val="en-US" w:eastAsia="zh-CN"/>
                    </w:rPr>
                    <w:t>序号</w:t>
                  </w:r>
                </w:p>
              </w:tc>
              <w:tc>
                <w:tcPr>
                  <w:tcW w:w="527" w:type="pct"/>
                  <w:tcBorders>
                    <w:tl2br w:val="nil"/>
                    <w:tr2bl w:val="nil"/>
                  </w:tcBorders>
                  <w:noWrap w:val="0"/>
                  <w:vAlign w:val="center"/>
                </w:tcPr>
                <w:p w14:paraId="15DEC259">
                  <w:pPr>
                    <w:pStyle w:val="55"/>
                    <w:bidi w:val="0"/>
                    <w:rPr>
                      <w:rFonts w:hint="default"/>
                      <w:color w:val="000000"/>
                      <w:lang w:val="en-US" w:eastAsia="zh-CN"/>
                    </w:rPr>
                  </w:pPr>
                  <w:r>
                    <w:rPr>
                      <w:rFonts w:hint="eastAsia"/>
                      <w:color w:val="000000"/>
                      <w:lang w:val="en-US" w:eastAsia="zh-CN"/>
                    </w:rPr>
                    <w:t>污染源</w:t>
                  </w:r>
                </w:p>
              </w:tc>
              <w:tc>
                <w:tcPr>
                  <w:tcW w:w="3208" w:type="pct"/>
                  <w:tcBorders>
                    <w:tl2br w:val="nil"/>
                    <w:tr2bl w:val="nil"/>
                  </w:tcBorders>
                  <w:noWrap w:val="0"/>
                  <w:vAlign w:val="center"/>
                </w:tcPr>
                <w:p w14:paraId="30CEB22C">
                  <w:pPr>
                    <w:pStyle w:val="55"/>
                    <w:bidi w:val="0"/>
                    <w:rPr>
                      <w:rFonts w:hint="default"/>
                      <w:color w:val="000000"/>
                      <w:lang w:val="en-US" w:eastAsia="zh-CN"/>
                    </w:rPr>
                  </w:pPr>
                  <w:r>
                    <w:rPr>
                      <w:rFonts w:hint="eastAsia"/>
                      <w:color w:val="000000"/>
                      <w:lang w:val="en-US" w:eastAsia="zh-CN"/>
                    </w:rPr>
                    <w:t>措施</w:t>
                  </w:r>
                </w:p>
              </w:tc>
              <w:tc>
                <w:tcPr>
                  <w:tcW w:w="857" w:type="pct"/>
                  <w:tcBorders>
                    <w:tl2br w:val="nil"/>
                    <w:tr2bl w:val="nil"/>
                  </w:tcBorders>
                  <w:noWrap w:val="0"/>
                  <w:vAlign w:val="center"/>
                </w:tcPr>
                <w:p w14:paraId="79DF20C7">
                  <w:pPr>
                    <w:pStyle w:val="55"/>
                    <w:bidi w:val="0"/>
                    <w:rPr>
                      <w:rFonts w:hint="default"/>
                      <w:color w:val="000000"/>
                      <w:lang w:val="en-US" w:eastAsia="zh-CN"/>
                    </w:rPr>
                  </w:pPr>
                  <w:r>
                    <w:rPr>
                      <w:rFonts w:hint="eastAsia"/>
                      <w:color w:val="000000"/>
                      <w:lang w:val="en-US" w:eastAsia="zh-CN"/>
                    </w:rPr>
                    <w:t>投资</w:t>
                  </w:r>
                </w:p>
              </w:tc>
            </w:tr>
            <w:tr w14:paraId="4AD7C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37BEB6F6">
                  <w:pPr>
                    <w:pStyle w:val="55"/>
                    <w:bidi w:val="0"/>
                    <w:rPr>
                      <w:rFonts w:hint="default"/>
                      <w:color w:val="000000"/>
                      <w:lang w:val="en-US" w:eastAsia="zh-CN"/>
                    </w:rPr>
                  </w:pPr>
                  <w:r>
                    <w:rPr>
                      <w:rFonts w:hint="eastAsia"/>
                      <w:color w:val="000000"/>
                      <w:lang w:val="en-US" w:eastAsia="zh-CN"/>
                    </w:rPr>
                    <w:t>1</w:t>
                  </w:r>
                </w:p>
              </w:tc>
              <w:tc>
                <w:tcPr>
                  <w:tcW w:w="527" w:type="pct"/>
                  <w:tcBorders>
                    <w:tl2br w:val="nil"/>
                    <w:tr2bl w:val="nil"/>
                  </w:tcBorders>
                  <w:noWrap w:val="0"/>
                  <w:vAlign w:val="center"/>
                </w:tcPr>
                <w:p w14:paraId="7A56C8BE">
                  <w:pPr>
                    <w:pStyle w:val="55"/>
                    <w:bidi w:val="0"/>
                    <w:rPr>
                      <w:rFonts w:hint="default"/>
                      <w:color w:val="000000"/>
                      <w:lang w:val="en-US" w:eastAsia="zh-CN"/>
                    </w:rPr>
                  </w:pPr>
                  <w:r>
                    <w:rPr>
                      <w:rFonts w:hint="eastAsia"/>
                      <w:color w:val="000000"/>
                      <w:lang w:val="en-US" w:eastAsia="zh-CN"/>
                    </w:rPr>
                    <w:t>废水</w:t>
                  </w:r>
                </w:p>
              </w:tc>
              <w:tc>
                <w:tcPr>
                  <w:tcW w:w="3208" w:type="pct"/>
                  <w:tcBorders>
                    <w:tl2br w:val="nil"/>
                    <w:tr2bl w:val="nil"/>
                  </w:tcBorders>
                  <w:noWrap w:val="0"/>
                  <w:vAlign w:val="center"/>
                </w:tcPr>
                <w:p w14:paraId="61C6132C">
                  <w:pPr>
                    <w:pStyle w:val="55"/>
                    <w:bidi w:val="0"/>
                    <w:rPr>
                      <w:rFonts w:hint="default"/>
                      <w:color w:val="auto"/>
                      <w:lang w:val="en-US" w:eastAsia="zh-CN"/>
                    </w:rPr>
                  </w:pPr>
                  <w:r>
                    <w:rPr>
                      <w:rFonts w:hint="eastAsia" w:cs="Times New Roman"/>
                      <w:bCs/>
                      <w:color w:val="auto"/>
                      <w:sz w:val="21"/>
                      <w:szCs w:val="21"/>
                      <w:lang w:val="en-US" w:eastAsia="zh-CN"/>
                    </w:rPr>
                    <w:t>生活污水依托园区化粪池处理后接入市政污水管网</w:t>
                  </w:r>
                </w:p>
              </w:tc>
              <w:tc>
                <w:tcPr>
                  <w:tcW w:w="857" w:type="pct"/>
                  <w:tcBorders>
                    <w:tl2br w:val="nil"/>
                    <w:tr2bl w:val="nil"/>
                  </w:tcBorders>
                  <w:noWrap w:val="0"/>
                  <w:vAlign w:val="center"/>
                </w:tcPr>
                <w:p w14:paraId="44C63B4C">
                  <w:pPr>
                    <w:pStyle w:val="55"/>
                    <w:bidi w:val="0"/>
                    <w:rPr>
                      <w:rFonts w:hint="default"/>
                      <w:color w:val="000000"/>
                      <w:lang w:val="en-US" w:eastAsia="zh-CN"/>
                    </w:rPr>
                  </w:pPr>
                  <w:r>
                    <w:rPr>
                      <w:rFonts w:hint="eastAsia"/>
                      <w:color w:val="000000"/>
                      <w:lang w:val="en-US" w:eastAsia="zh-CN"/>
                    </w:rPr>
                    <w:t>1万元</w:t>
                  </w:r>
                </w:p>
              </w:tc>
            </w:tr>
            <w:tr w14:paraId="211E0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06" w:type="pct"/>
                  <w:tcBorders>
                    <w:tl2br w:val="nil"/>
                    <w:tr2bl w:val="nil"/>
                  </w:tcBorders>
                  <w:noWrap w:val="0"/>
                  <w:vAlign w:val="center"/>
                </w:tcPr>
                <w:p w14:paraId="792187F1">
                  <w:pPr>
                    <w:pStyle w:val="55"/>
                    <w:bidi w:val="0"/>
                    <w:rPr>
                      <w:rFonts w:hint="default"/>
                      <w:color w:val="000000"/>
                      <w:lang w:val="en-US" w:eastAsia="zh-CN"/>
                    </w:rPr>
                  </w:pPr>
                  <w:r>
                    <w:rPr>
                      <w:rFonts w:hint="eastAsia"/>
                      <w:color w:val="000000"/>
                      <w:lang w:val="en-US" w:eastAsia="zh-CN"/>
                    </w:rPr>
                    <w:t>2</w:t>
                  </w:r>
                </w:p>
              </w:tc>
              <w:tc>
                <w:tcPr>
                  <w:tcW w:w="527" w:type="pct"/>
                  <w:tcBorders>
                    <w:tl2br w:val="nil"/>
                    <w:tr2bl w:val="nil"/>
                  </w:tcBorders>
                  <w:noWrap w:val="0"/>
                  <w:vAlign w:val="center"/>
                </w:tcPr>
                <w:p w14:paraId="3F2C2E6E">
                  <w:pPr>
                    <w:pStyle w:val="55"/>
                    <w:bidi w:val="0"/>
                    <w:rPr>
                      <w:rFonts w:hint="default"/>
                      <w:color w:val="000000"/>
                      <w:lang w:val="en-US" w:eastAsia="zh-CN"/>
                    </w:rPr>
                  </w:pPr>
                  <w:r>
                    <w:rPr>
                      <w:rFonts w:hint="eastAsia"/>
                      <w:color w:val="000000"/>
                      <w:lang w:val="en-US" w:eastAsia="zh-CN"/>
                    </w:rPr>
                    <w:t>废气</w:t>
                  </w:r>
                </w:p>
              </w:tc>
              <w:tc>
                <w:tcPr>
                  <w:tcW w:w="3208" w:type="pct"/>
                  <w:tcBorders>
                    <w:tl2br w:val="nil"/>
                    <w:tr2bl w:val="nil"/>
                  </w:tcBorders>
                  <w:noWrap w:val="0"/>
                  <w:vAlign w:val="center"/>
                </w:tcPr>
                <w:p w14:paraId="106B61F0">
                  <w:pP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项目</w:t>
                  </w:r>
                  <w:r>
                    <w:rPr>
                      <w:rFonts w:hint="eastAsia" w:cs="Times New Roman"/>
                      <w:color w:val="auto"/>
                      <w:sz w:val="21"/>
                      <w:szCs w:val="21"/>
                      <w:highlight w:val="none"/>
                      <w:vertAlign w:val="baseline"/>
                      <w:lang w:val="en-US" w:eastAsia="zh-CN"/>
                    </w:rPr>
                    <w:t>废气</w:t>
                  </w:r>
                  <w:r>
                    <w:rPr>
                      <w:rFonts w:hint="eastAsia" w:ascii="Times New Roman" w:hAnsi="Times New Roman" w:eastAsia="宋体" w:cs="Times New Roman"/>
                      <w:color w:val="auto"/>
                      <w:sz w:val="21"/>
                      <w:szCs w:val="21"/>
                      <w:highlight w:val="none"/>
                      <w:vertAlign w:val="baseline"/>
                      <w:lang w:val="en-US" w:eastAsia="zh-CN"/>
                    </w:rPr>
                    <w:t>通过集气罩收集后由一套“</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color w:val="auto"/>
                      <w:sz w:val="21"/>
                      <w:szCs w:val="21"/>
                      <w:highlight w:val="none"/>
                      <w:vertAlign w:val="baseline"/>
                      <w:lang w:val="en-US" w:eastAsia="zh-CN"/>
                    </w:rPr>
                    <w:t>（TA001）</w:t>
                  </w:r>
                  <w:r>
                    <w:rPr>
                      <w:rFonts w:hint="eastAsia" w:ascii="Times New Roman" w:hAnsi="Times New Roman" w:eastAsia="宋体" w:cs="Times New Roman"/>
                      <w:color w:val="auto"/>
                      <w:sz w:val="21"/>
                      <w:szCs w:val="21"/>
                      <w:highlight w:val="none"/>
                      <w:vertAlign w:val="baseline"/>
                      <w:lang w:val="en-US" w:eastAsia="zh-CN"/>
                    </w:rPr>
                    <w:t>处理后，通过1根15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r>
                    <w:rPr>
                      <w:rFonts w:hint="eastAsia" w:cs="Times New Roman"/>
                      <w:color w:val="auto"/>
                      <w:sz w:val="21"/>
                      <w:szCs w:val="21"/>
                      <w:highlight w:val="none"/>
                      <w:vertAlign w:val="baseline"/>
                      <w:lang w:val="en-US" w:eastAsia="zh-CN"/>
                    </w:rPr>
                    <w:t>。</w:t>
                  </w:r>
                </w:p>
              </w:tc>
              <w:tc>
                <w:tcPr>
                  <w:tcW w:w="857" w:type="pct"/>
                  <w:tcBorders>
                    <w:tl2br w:val="nil"/>
                    <w:tr2bl w:val="nil"/>
                  </w:tcBorders>
                  <w:noWrap w:val="0"/>
                  <w:vAlign w:val="center"/>
                </w:tcPr>
                <w:p w14:paraId="66D7496C">
                  <w:pPr>
                    <w:pStyle w:val="55"/>
                    <w:bidi w:val="0"/>
                    <w:rPr>
                      <w:rFonts w:hint="default"/>
                      <w:color w:val="000000"/>
                      <w:lang w:val="en-US" w:eastAsia="zh-CN"/>
                    </w:rPr>
                  </w:pPr>
                  <w:r>
                    <w:rPr>
                      <w:rFonts w:hint="eastAsia"/>
                      <w:color w:val="000000"/>
                      <w:lang w:val="en-US" w:eastAsia="zh-CN"/>
                    </w:rPr>
                    <w:t>15万元</w:t>
                  </w:r>
                </w:p>
              </w:tc>
            </w:tr>
            <w:tr w14:paraId="45C84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0922D158">
                  <w:pPr>
                    <w:pStyle w:val="55"/>
                    <w:bidi w:val="0"/>
                    <w:rPr>
                      <w:rFonts w:hint="default"/>
                      <w:color w:val="000000"/>
                      <w:lang w:val="en-US" w:eastAsia="zh-CN"/>
                    </w:rPr>
                  </w:pPr>
                  <w:r>
                    <w:rPr>
                      <w:rFonts w:hint="eastAsia"/>
                      <w:color w:val="000000"/>
                      <w:lang w:val="en-US" w:eastAsia="zh-CN"/>
                    </w:rPr>
                    <w:t>3</w:t>
                  </w:r>
                </w:p>
              </w:tc>
              <w:tc>
                <w:tcPr>
                  <w:tcW w:w="527" w:type="pct"/>
                  <w:tcBorders>
                    <w:tl2br w:val="nil"/>
                    <w:tr2bl w:val="nil"/>
                  </w:tcBorders>
                  <w:noWrap w:val="0"/>
                  <w:vAlign w:val="center"/>
                </w:tcPr>
                <w:p w14:paraId="7871DC3F">
                  <w:pPr>
                    <w:pStyle w:val="55"/>
                    <w:bidi w:val="0"/>
                    <w:rPr>
                      <w:rFonts w:hint="default"/>
                      <w:color w:val="000000"/>
                      <w:lang w:val="en-US" w:eastAsia="zh-CN"/>
                    </w:rPr>
                  </w:pPr>
                  <w:r>
                    <w:rPr>
                      <w:rFonts w:hint="eastAsia"/>
                      <w:color w:val="000000"/>
                      <w:lang w:val="en-US" w:eastAsia="zh-CN"/>
                    </w:rPr>
                    <w:t>噪声</w:t>
                  </w:r>
                </w:p>
              </w:tc>
              <w:tc>
                <w:tcPr>
                  <w:tcW w:w="3208" w:type="pct"/>
                  <w:tcBorders>
                    <w:tl2br w:val="nil"/>
                    <w:tr2bl w:val="nil"/>
                  </w:tcBorders>
                  <w:noWrap w:val="0"/>
                  <w:vAlign w:val="center"/>
                </w:tcPr>
                <w:p w14:paraId="77751744">
                  <w:pPr>
                    <w:pStyle w:val="55"/>
                    <w:bidi w:val="0"/>
                    <w:rPr>
                      <w:rFonts w:hint="default"/>
                      <w:color w:val="000000"/>
                      <w:lang w:val="en-US" w:eastAsia="zh-CN"/>
                    </w:rPr>
                  </w:pPr>
                  <w:r>
                    <w:rPr>
                      <w:rFonts w:hint="eastAsia"/>
                      <w:color w:val="000000"/>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857" w:type="pct"/>
                  <w:tcBorders>
                    <w:tl2br w:val="nil"/>
                    <w:tr2bl w:val="nil"/>
                  </w:tcBorders>
                  <w:noWrap w:val="0"/>
                  <w:vAlign w:val="center"/>
                </w:tcPr>
                <w:p w14:paraId="4CBA8234">
                  <w:pPr>
                    <w:pStyle w:val="55"/>
                    <w:bidi w:val="0"/>
                    <w:rPr>
                      <w:rFonts w:hint="default"/>
                      <w:color w:val="000000"/>
                      <w:lang w:val="en-US" w:eastAsia="zh-CN"/>
                    </w:rPr>
                  </w:pPr>
                  <w:r>
                    <w:rPr>
                      <w:rFonts w:hint="eastAsia"/>
                      <w:color w:val="000000"/>
                      <w:lang w:val="en-US" w:eastAsia="zh-CN"/>
                    </w:rPr>
                    <w:t>2万元</w:t>
                  </w:r>
                </w:p>
              </w:tc>
            </w:tr>
            <w:tr w14:paraId="75AFA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6D82F731">
                  <w:pPr>
                    <w:pStyle w:val="55"/>
                    <w:bidi w:val="0"/>
                    <w:rPr>
                      <w:rFonts w:hint="default"/>
                      <w:color w:val="000000"/>
                      <w:lang w:val="en-US" w:eastAsia="zh-CN"/>
                    </w:rPr>
                  </w:pPr>
                  <w:r>
                    <w:rPr>
                      <w:rFonts w:hint="eastAsia"/>
                      <w:color w:val="000000"/>
                      <w:lang w:val="en-US" w:eastAsia="zh-CN"/>
                    </w:rPr>
                    <w:t>4</w:t>
                  </w:r>
                </w:p>
              </w:tc>
              <w:tc>
                <w:tcPr>
                  <w:tcW w:w="527" w:type="pct"/>
                  <w:tcBorders>
                    <w:tl2br w:val="nil"/>
                    <w:tr2bl w:val="nil"/>
                  </w:tcBorders>
                  <w:noWrap w:val="0"/>
                  <w:vAlign w:val="center"/>
                </w:tcPr>
                <w:p w14:paraId="647CCE5E">
                  <w:pPr>
                    <w:pStyle w:val="55"/>
                    <w:bidi w:val="0"/>
                    <w:rPr>
                      <w:rFonts w:hint="default"/>
                      <w:color w:val="000000"/>
                      <w:lang w:val="en-US" w:eastAsia="zh-CN"/>
                    </w:rPr>
                  </w:pPr>
                  <w:r>
                    <w:rPr>
                      <w:rFonts w:hint="eastAsia"/>
                      <w:color w:val="000000"/>
                      <w:lang w:val="en-US" w:eastAsia="zh-CN"/>
                    </w:rPr>
                    <w:t>固体废物</w:t>
                  </w:r>
                </w:p>
              </w:tc>
              <w:tc>
                <w:tcPr>
                  <w:tcW w:w="3208" w:type="pct"/>
                  <w:tcBorders>
                    <w:tl2br w:val="nil"/>
                    <w:tr2bl w:val="nil"/>
                  </w:tcBorders>
                  <w:noWrap w:val="0"/>
                  <w:vAlign w:val="center"/>
                </w:tcPr>
                <w:p w14:paraId="6CEADA1A">
                  <w:pPr>
                    <w:pStyle w:val="55"/>
                    <w:bidi w:val="0"/>
                    <w:rPr>
                      <w:rFonts w:hint="default"/>
                      <w:color w:val="000000"/>
                      <w:lang w:val="en-US" w:eastAsia="zh-CN"/>
                    </w:rPr>
                  </w:pPr>
                  <w:r>
                    <w:rPr>
                      <w:rFonts w:hint="eastAsia"/>
                      <w:color w:val="000000"/>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000000"/>
                      <w:lang w:val="en-US" w:eastAsia="zh-CN"/>
                    </w:rPr>
                    <w:t>贮存库，定</w:t>
                  </w:r>
                  <w:r>
                    <w:rPr>
                      <w:rFonts w:hint="eastAsia"/>
                      <w:color w:val="000000"/>
                      <w:lang w:val="en-US" w:eastAsia="zh-CN"/>
                    </w:rPr>
                    <w:t>期委托有处置危险废物资质的单位处置</w:t>
                  </w:r>
                </w:p>
              </w:tc>
              <w:tc>
                <w:tcPr>
                  <w:tcW w:w="857" w:type="pct"/>
                  <w:tcBorders>
                    <w:tl2br w:val="nil"/>
                    <w:tr2bl w:val="nil"/>
                  </w:tcBorders>
                  <w:noWrap w:val="0"/>
                  <w:vAlign w:val="center"/>
                </w:tcPr>
                <w:p w14:paraId="3CFB3A40">
                  <w:pPr>
                    <w:pStyle w:val="55"/>
                    <w:bidi w:val="0"/>
                    <w:rPr>
                      <w:rFonts w:hint="default"/>
                      <w:color w:val="000000"/>
                      <w:lang w:val="en-US" w:eastAsia="zh-CN"/>
                    </w:rPr>
                  </w:pPr>
                  <w:r>
                    <w:rPr>
                      <w:rFonts w:hint="eastAsia"/>
                      <w:color w:val="000000"/>
                      <w:lang w:val="en-US" w:eastAsia="zh-CN"/>
                    </w:rPr>
                    <w:t>2万元</w:t>
                  </w:r>
                </w:p>
              </w:tc>
            </w:tr>
            <w:tr w14:paraId="5E9C7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2" w:type="pct"/>
                  <w:gridSpan w:val="3"/>
                  <w:tcBorders>
                    <w:tl2br w:val="nil"/>
                    <w:tr2bl w:val="nil"/>
                  </w:tcBorders>
                  <w:noWrap w:val="0"/>
                  <w:vAlign w:val="center"/>
                </w:tcPr>
                <w:p w14:paraId="40CED72C">
                  <w:pPr>
                    <w:pStyle w:val="55"/>
                    <w:bidi w:val="0"/>
                    <w:rPr>
                      <w:rFonts w:hint="default"/>
                      <w:color w:val="000000"/>
                      <w:lang w:val="en-US" w:eastAsia="zh-CN"/>
                    </w:rPr>
                  </w:pPr>
                  <w:r>
                    <w:rPr>
                      <w:rFonts w:hint="eastAsia"/>
                      <w:color w:val="000000"/>
                      <w:lang w:val="en-US" w:eastAsia="zh-CN"/>
                    </w:rPr>
                    <w:t>合计</w:t>
                  </w:r>
                </w:p>
              </w:tc>
              <w:tc>
                <w:tcPr>
                  <w:tcW w:w="857" w:type="pct"/>
                  <w:tcBorders>
                    <w:tl2br w:val="nil"/>
                    <w:tr2bl w:val="nil"/>
                  </w:tcBorders>
                  <w:noWrap w:val="0"/>
                  <w:vAlign w:val="center"/>
                </w:tcPr>
                <w:p w14:paraId="0D0822D8">
                  <w:pPr>
                    <w:pStyle w:val="55"/>
                    <w:bidi w:val="0"/>
                    <w:rPr>
                      <w:rFonts w:hint="default"/>
                      <w:color w:val="000000"/>
                      <w:lang w:val="en-US" w:eastAsia="zh-CN"/>
                    </w:rPr>
                  </w:pPr>
                  <w:r>
                    <w:rPr>
                      <w:rFonts w:hint="eastAsia"/>
                      <w:color w:val="000000"/>
                      <w:lang w:val="en-US" w:eastAsia="zh-CN"/>
                    </w:rPr>
                    <w:t>20万元</w:t>
                  </w:r>
                </w:p>
              </w:tc>
            </w:tr>
          </w:tbl>
          <w:p w14:paraId="6FFB2B5F">
            <w:pPr>
              <w:pStyle w:val="4"/>
              <w:rPr>
                <w:rFonts w:hint="default"/>
                <w:lang w:val="en-US" w:eastAsia="zh-CN"/>
              </w:rPr>
            </w:pPr>
          </w:p>
        </w:tc>
      </w:tr>
    </w:tbl>
    <w:p w14:paraId="22EB707C">
      <w:pPr>
        <w:pStyle w:val="76"/>
        <w:rPr>
          <w:color w:val="auto"/>
          <w:highlight w:val="none"/>
        </w:rPr>
      </w:pPr>
      <w:bookmarkStart w:id="127" w:name="_Toc1654"/>
      <w:bookmarkStart w:id="128" w:name="_Toc12951"/>
      <w:bookmarkStart w:id="129" w:name="_Toc25125"/>
      <w:bookmarkStart w:id="130" w:name="_Toc31345"/>
      <w:bookmarkStart w:id="131" w:name="_Toc9430"/>
      <w:bookmarkStart w:id="132" w:name="_Toc27194"/>
      <w:bookmarkStart w:id="133" w:name="_Toc25037"/>
      <w:bookmarkStart w:id="134" w:name="_Toc28426"/>
      <w:r>
        <w:rPr>
          <w:color w:val="auto"/>
          <w:highlight w:val="none"/>
        </w:rPr>
        <w:t>五、</w:t>
      </w:r>
      <w:bookmarkStart w:id="135" w:name="_Hlk54167917"/>
      <w:r>
        <w:rPr>
          <w:color w:val="auto"/>
          <w:highlight w:val="none"/>
        </w:rPr>
        <w:t>环境保护措施监督检查清单</w:t>
      </w:r>
      <w:bookmarkEnd w:id="127"/>
      <w:bookmarkEnd w:id="128"/>
      <w:bookmarkEnd w:id="129"/>
      <w:bookmarkEnd w:id="130"/>
      <w:bookmarkEnd w:id="131"/>
      <w:bookmarkEnd w:id="132"/>
      <w:bookmarkEnd w:id="133"/>
      <w:bookmarkEnd w:id="134"/>
      <w:bookmarkEnd w:id="135"/>
    </w:p>
    <w:tbl>
      <w:tblPr>
        <w:tblStyle w:val="24"/>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70"/>
        <w:gridCol w:w="1356"/>
        <w:gridCol w:w="2040"/>
        <w:gridCol w:w="3874"/>
      </w:tblGrid>
      <w:tr w14:paraId="67369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48" w:type="dxa"/>
            <w:tcBorders>
              <w:tl2br w:val="single" w:color="auto" w:sz="4" w:space="0"/>
            </w:tcBorders>
            <w:noWrap w:val="0"/>
            <w:vAlign w:val="top"/>
          </w:tcPr>
          <w:p w14:paraId="3E27B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sz w:val="21"/>
                <w:szCs w:val="21"/>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588D7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2AAE4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170" w:type="dxa"/>
            <w:noWrap w:val="0"/>
            <w:vAlign w:val="center"/>
          </w:tcPr>
          <w:p w14:paraId="68B678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1356" w:type="dxa"/>
            <w:noWrap w:val="0"/>
            <w:vAlign w:val="center"/>
          </w:tcPr>
          <w:p w14:paraId="1A076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040" w:type="dxa"/>
            <w:noWrap w:val="0"/>
            <w:vAlign w:val="center"/>
          </w:tcPr>
          <w:p w14:paraId="18DDA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874" w:type="dxa"/>
            <w:noWrap w:val="0"/>
            <w:vAlign w:val="center"/>
          </w:tcPr>
          <w:p w14:paraId="39352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30DE4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848" w:type="dxa"/>
            <w:vMerge w:val="restart"/>
            <w:noWrap w:val="0"/>
            <w:vAlign w:val="center"/>
          </w:tcPr>
          <w:p w14:paraId="3429FB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大气环境</w:t>
            </w:r>
          </w:p>
        </w:tc>
        <w:tc>
          <w:tcPr>
            <w:tcW w:w="1170" w:type="dxa"/>
            <w:noWrap w:val="0"/>
            <w:vAlign w:val="center"/>
          </w:tcPr>
          <w:p w14:paraId="460F80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生产废气</w:t>
            </w:r>
            <w:r>
              <w:rPr>
                <w:rFonts w:hint="default" w:ascii="Times New Roman" w:hAnsi="Times New Roman" w:eastAsia="宋体" w:cs="Times New Roman"/>
                <w:b w:val="0"/>
                <w:bCs w:val="0"/>
                <w:color w:val="auto"/>
                <w:kern w:val="2"/>
                <w:sz w:val="21"/>
                <w:szCs w:val="21"/>
                <w:highlight w:val="none"/>
                <w:lang w:val="en-US" w:eastAsia="zh-CN" w:bidi="ar-SA"/>
              </w:rPr>
              <w:t>排气筒DA001</w:t>
            </w:r>
            <w:r>
              <w:rPr>
                <w:rFonts w:hint="eastAsia" w:cs="Times New Roman"/>
                <w:b w:val="0"/>
                <w:bCs w:val="0"/>
                <w:color w:val="auto"/>
                <w:kern w:val="2"/>
                <w:sz w:val="21"/>
                <w:szCs w:val="21"/>
                <w:highlight w:val="none"/>
                <w:lang w:val="en-US" w:eastAsia="zh-CN" w:bidi="ar-SA"/>
              </w:rPr>
              <w:t>（印刷、复合、熟化、吹膜、制袋）</w:t>
            </w:r>
          </w:p>
        </w:tc>
        <w:tc>
          <w:tcPr>
            <w:tcW w:w="1356" w:type="dxa"/>
            <w:noWrap w:val="0"/>
            <w:vAlign w:val="center"/>
          </w:tcPr>
          <w:p w14:paraId="58E19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pacing w:val="0"/>
                <w:kern w:val="21"/>
                <w:sz w:val="21"/>
                <w:szCs w:val="21"/>
                <w:highlight w:val="none"/>
                <w:lang w:val="en-US" w:eastAsia="zh-CN"/>
              </w:rPr>
            </w:pPr>
            <w:r>
              <w:rPr>
                <w:rFonts w:hint="default" w:ascii="Times New Roman" w:hAnsi="Times New Roman" w:eastAsia="宋体" w:cs="Times New Roman"/>
                <w:b w:val="0"/>
                <w:bCs w:val="0"/>
                <w:color w:val="auto"/>
                <w:spacing w:val="0"/>
                <w:kern w:val="21"/>
                <w:sz w:val="21"/>
                <w:szCs w:val="21"/>
                <w:highlight w:val="none"/>
                <w:lang w:val="en-US" w:eastAsia="zh-CN"/>
              </w:rPr>
              <w:t>非甲烷总烃</w:t>
            </w:r>
          </w:p>
        </w:tc>
        <w:tc>
          <w:tcPr>
            <w:tcW w:w="2040" w:type="dxa"/>
            <w:noWrap w:val="0"/>
            <w:vAlign w:val="center"/>
          </w:tcPr>
          <w:p w14:paraId="3A525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w:t>
            </w:r>
            <w:r>
              <w:rPr>
                <w:rFonts w:hint="eastAsia" w:eastAsia="宋体" w:cs="Times New Roman"/>
                <w:color w:val="auto"/>
                <w:sz w:val="21"/>
                <w:szCs w:val="21"/>
                <w:highlight w:val="none"/>
                <w:lang w:val="en-US" w:eastAsia="zh-CN"/>
              </w:rPr>
              <w:t>（TA001）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p>
        </w:tc>
        <w:tc>
          <w:tcPr>
            <w:tcW w:w="3874" w:type="dxa"/>
            <w:noWrap w:val="0"/>
            <w:vAlign w:val="center"/>
          </w:tcPr>
          <w:p w14:paraId="1A6009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highlight w:val="none"/>
                <w:lang w:val="en-GB" w:eastAsia="zh-CN"/>
              </w:rPr>
            </w:pPr>
            <w:r>
              <w:rPr>
                <w:rFonts w:hint="eastAsia" w:ascii="Times New Roman" w:hAnsi="Times New Roman" w:eastAsia="宋体" w:cs="Times New Roman"/>
                <w:color w:val="auto"/>
                <w:spacing w:val="0"/>
                <w:sz w:val="21"/>
                <w:szCs w:val="21"/>
                <w:highlight w:val="none"/>
                <w:lang w:val="en-US" w:eastAsia="zh-CN"/>
              </w:rPr>
              <w:t>非甲烷总烃</w:t>
            </w:r>
            <w:r>
              <w:rPr>
                <w:rFonts w:hint="eastAsia" w:cs="Times New Roman"/>
                <w:color w:val="auto"/>
                <w:spacing w:val="0"/>
                <w:sz w:val="21"/>
                <w:szCs w:val="21"/>
                <w:highlight w:val="none"/>
                <w:lang w:val="en-US" w:eastAsia="zh-CN"/>
              </w:rPr>
              <w:t>从严</w:t>
            </w:r>
            <w:r>
              <w:rPr>
                <w:rFonts w:hint="eastAsia" w:ascii="Times New Roman" w:hAnsi="Times New Roman" w:eastAsia="宋体" w:cs="Times New Roman"/>
                <w:color w:val="auto"/>
                <w:spacing w:val="0"/>
                <w:sz w:val="21"/>
                <w:szCs w:val="21"/>
                <w:highlight w:val="none"/>
                <w:lang w:val="en-US" w:eastAsia="zh-CN"/>
              </w:rPr>
              <w:t>执行</w:t>
            </w:r>
            <w:r>
              <w:rPr>
                <w:rFonts w:hint="default" w:ascii="Times New Roman" w:hAnsi="Times New Roman" w:eastAsia="宋体" w:cs="Times New Roman"/>
                <w:color w:val="000000"/>
                <w:szCs w:val="21"/>
              </w:rPr>
              <w:t>《印刷行业挥发性有机物排放标准》（DB35/1784-</w:t>
            </w:r>
            <w:r>
              <w:rPr>
                <w:rFonts w:hint="default" w:ascii="Times New Roman" w:hAnsi="Times New Roman" w:eastAsia="宋体" w:cs="Times New Roman"/>
                <w:b w:val="0"/>
                <w:bCs w:val="0"/>
                <w:color w:val="000000"/>
                <w:szCs w:val="21"/>
              </w:rPr>
              <w:t>2018）</w:t>
            </w:r>
            <w:r>
              <w:rPr>
                <w:rFonts w:hint="eastAsia" w:ascii="Times New Roman" w:hAnsi="Times New Roman" w:eastAsia="宋体" w:cs="Times New Roman"/>
                <w:color w:val="auto"/>
                <w:kern w:val="18"/>
                <w:lang w:val="en-US" w:eastAsia="zh-CN"/>
              </w:rPr>
              <w:t>中表</w:t>
            </w:r>
            <w:r>
              <w:rPr>
                <w:rFonts w:hint="eastAsia" w:cs="Times New Roman"/>
                <w:b w:val="0"/>
                <w:bCs w:val="0"/>
                <w:color w:val="auto"/>
                <w:kern w:val="18"/>
                <w:lang w:val="en-US" w:eastAsia="zh-CN"/>
              </w:rPr>
              <w:t>1</w:t>
            </w:r>
            <w:r>
              <w:rPr>
                <w:rFonts w:hint="eastAsia" w:ascii="Times New Roman" w:hAnsi="Times New Roman" w:eastAsia="宋体" w:cs="Times New Roman"/>
                <w:b w:val="0"/>
                <w:bCs w:val="0"/>
                <w:color w:val="auto"/>
                <w:kern w:val="18"/>
                <w:lang w:val="en-US" w:eastAsia="zh-CN"/>
              </w:rPr>
              <w:t>大气污染物排放限值</w:t>
            </w:r>
            <w:r>
              <w:rPr>
                <w:rFonts w:hint="eastAsia" w:ascii="Times New Roman" w:hAnsi="Times New Roman" w:eastAsia="宋体" w:cs="Times New Roman"/>
                <w:b w:val="0"/>
                <w:bCs w:val="0"/>
                <w:color w:val="auto"/>
                <w:kern w:val="18"/>
                <w:highlight w:val="none"/>
                <w:lang w:val="en-US" w:eastAsia="zh-CN"/>
              </w:rPr>
              <w:t>；</w:t>
            </w:r>
            <w:r>
              <w:rPr>
                <w:rFonts w:hint="eastAsia" w:ascii="Times New Roman" w:hAnsi="Times New Roman" w:eastAsia="宋体" w:cs="Times New Roman"/>
                <w:b w:val="0"/>
                <w:bCs w:val="0"/>
                <w:color w:val="auto"/>
                <w:spacing w:val="0"/>
                <w:sz w:val="21"/>
                <w:szCs w:val="21"/>
                <w:highlight w:val="none"/>
                <w:lang w:eastAsia="zh-CN"/>
              </w:rPr>
              <w:t>（</w:t>
            </w:r>
            <w:r>
              <w:rPr>
                <w:rFonts w:hint="eastAsia"/>
                <w:b w:val="0"/>
                <w:bCs w:val="0"/>
                <w:color w:val="auto"/>
                <w:highlight w:val="none"/>
                <w:lang w:val="en-US" w:eastAsia="zh-CN"/>
              </w:rPr>
              <w:t>即非甲烷总烃</w:t>
            </w:r>
            <w:r>
              <w:rPr>
                <w:rFonts w:hint="eastAsia" w:cs="Times New Roman"/>
                <w:b w:val="0"/>
                <w:bCs w:val="0"/>
                <w:color w:val="auto"/>
                <w:szCs w:val="21"/>
                <w:highlight w:val="none"/>
                <w:lang w:eastAsia="zh-CN"/>
              </w:rPr>
              <w:t>≤</w:t>
            </w: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lang w:val="en-US" w:eastAsia="zh-CN"/>
              </w:rPr>
              <w:t>）</w:t>
            </w:r>
          </w:p>
        </w:tc>
      </w:tr>
      <w:tr w14:paraId="069F8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noWrap w:val="0"/>
            <w:vAlign w:val="center"/>
          </w:tcPr>
          <w:p w14:paraId="24A915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0" w:type="dxa"/>
            <w:noWrap w:val="0"/>
            <w:vAlign w:val="center"/>
          </w:tcPr>
          <w:p w14:paraId="5E8799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1356" w:type="dxa"/>
            <w:noWrap w:val="0"/>
            <w:vAlign w:val="center"/>
          </w:tcPr>
          <w:p w14:paraId="4C3CF7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040" w:type="dxa"/>
            <w:vMerge w:val="restart"/>
            <w:noWrap w:val="0"/>
            <w:vAlign w:val="center"/>
          </w:tcPr>
          <w:p w14:paraId="15376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eastAsia="宋体" w:cs="Times New Roman"/>
                <w:color w:val="auto"/>
                <w:spacing w:val="0"/>
                <w:kern w:val="0"/>
                <w:sz w:val="21"/>
                <w:szCs w:val="21"/>
                <w:highlight w:val="none"/>
                <w:lang w:val="en-US" w:eastAsia="zh-CN" w:bidi="he-IL"/>
              </w:rPr>
              <w:t>加强废气的收集及</w:t>
            </w:r>
            <w:r>
              <w:rPr>
                <w:rFonts w:hint="eastAsia" w:cs="Times New Roman"/>
                <w:color w:val="auto"/>
                <w:spacing w:val="0"/>
                <w:kern w:val="0"/>
                <w:sz w:val="21"/>
                <w:szCs w:val="21"/>
                <w:highlight w:val="none"/>
                <w:lang w:val="en-US" w:eastAsia="zh-CN" w:bidi="he-IL"/>
              </w:rPr>
              <w:t>二级</w:t>
            </w:r>
            <w:r>
              <w:rPr>
                <w:rFonts w:hint="default" w:ascii="Times New Roman" w:hAnsi="Times New Roman" w:eastAsia="宋体" w:cs="Times New Roman"/>
                <w:color w:val="auto"/>
                <w:spacing w:val="0"/>
                <w:kern w:val="0"/>
                <w:sz w:val="21"/>
                <w:szCs w:val="21"/>
                <w:highlight w:val="none"/>
                <w:lang w:val="en-US" w:eastAsia="zh-CN" w:bidi="he-IL"/>
              </w:rPr>
              <w:t>活性炭吸附净化装置维护保养，防止废气事故无组织排放；生产过程中门窗关闭，保持一个相对密闭的空间，合理设计送排风系统</w:t>
            </w:r>
          </w:p>
        </w:tc>
        <w:tc>
          <w:tcPr>
            <w:tcW w:w="3874" w:type="dxa"/>
            <w:tcBorders>
              <w:bottom w:val="single" w:color="000000" w:sz="4" w:space="0"/>
            </w:tcBorders>
            <w:noWrap w:val="0"/>
            <w:vAlign w:val="center"/>
          </w:tcPr>
          <w:p w14:paraId="57073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《挥发性有机物无组织排放控制标准》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GB37822-2019</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shd w:val="clear" w:color="auto" w:fill="FFFFFF"/>
                <w:lang w:eastAsia="zh-CN"/>
              </w:rPr>
              <w:t>中附录A表A.1</w:t>
            </w:r>
            <w:r>
              <w:rPr>
                <w:rFonts w:hint="eastAsia" w:cs="Times New Roman"/>
                <w:color w:val="auto"/>
                <w:sz w:val="21"/>
                <w:szCs w:val="21"/>
                <w:shd w:val="clear" w:color="auto" w:fill="FFFFFF"/>
                <w:lang w:val="en-US" w:eastAsia="zh-CN"/>
              </w:rPr>
              <w:t>特别排放</w:t>
            </w:r>
            <w:r>
              <w:rPr>
                <w:rFonts w:hint="default" w:ascii="Times New Roman" w:hAnsi="Times New Roman" w:cs="Times New Roman"/>
                <w:color w:val="auto"/>
                <w:sz w:val="21"/>
                <w:szCs w:val="21"/>
                <w:shd w:val="clear" w:color="auto" w:fill="FFFFFF"/>
                <w:lang w:eastAsia="zh-CN"/>
              </w:rPr>
              <w:t>标准限值</w:t>
            </w:r>
            <w:r>
              <w:rPr>
                <w:rFonts w:hint="eastAsia" w:ascii="Times New Roman" w:hAnsi="Times New Roman"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即非甲烷总烃无组织排放</w:t>
            </w:r>
            <w:r>
              <w:rPr>
                <w:rFonts w:hint="default" w:ascii="Times New Roman" w:hAnsi="Times New Roman" w:eastAsia="宋体" w:cs="Times New Roman"/>
                <w:color w:val="auto"/>
                <w:sz w:val="21"/>
                <w:szCs w:val="21"/>
                <w:shd w:val="clear" w:color="auto" w:fill="FFFFFF"/>
                <w:lang w:eastAsia="zh-CN"/>
              </w:rPr>
              <w:t>监控点处</w:t>
            </w:r>
            <w:r>
              <w:rPr>
                <w:rFonts w:hint="default" w:ascii="Times New Roman" w:hAnsi="Times New Roman" w:eastAsia="宋体" w:cs="Times New Roman"/>
                <w:color w:val="auto"/>
                <w:sz w:val="21"/>
                <w:szCs w:val="21"/>
                <w:shd w:val="clear" w:color="auto" w:fill="FFFFFF"/>
                <w:lang w:val="en-US" w:eastAsia="zh-CN"/>
              </w:rPr>
              <w:t>1h平均浓度值</w:t>
            </w:r>
            <w:r>
              <w:rPr>
                <w:rFonts w:hint="eastAsia" w:ascii="Times New Roman" w:hAnsi="Times New Roman" w:eastAsia="宋体" w:cs="Times New Roman"/>
                <w:color w:val="auto"/>
                <w:sz w:val="21"/>
                <w:szCs w:val="21"/>
                <w:shd w:val="clear" w:color="auto" w:fill="FFFFFF"/>
                <w:lang w:val="en-US" w:eastAsia="zh-CN"/>
              </w:rPr>
              <w:t>≤</w:t>
            </w:r>
            <w:r>
              <w:rPr>
                <w:rFonts w:hint="eastAsia" w:eastAsia="宋体" w:cs="Times New Roman"/>
                <w:color w:val="auto"/>
                <w:sz w:val="21"/>
                <w:szCs w:val="21"/>
                <w:shd w:val="clear" w:color="auto" w:fill="FFFFFF"/>
                <w:lang w:val="en-US" w:eastAsia="zh-CN"/>
              </w:rPr>
              <w:t>6.0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，监控点处任意一点浓度值</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r>
      <w:tr w14:paraId="12E38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48" w:type="dxa"/>
            <w:vMerge w:val="continue"/>
            <w:noWrap w:val="0"/>
            <w:vAlign w:val="center"/>
          </w:tcPr>
          <w:p w14:paraId="62DB8B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0" w:type="dxa"/>
            <w:noWrap w:val="0"/>
            <w:vAlign w:val="center"/>
          </w:tcPr>
          <w:p w14:paraId="17589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1356" w:type="dxa"/>
            <w:noWrap w:val="0"/>
            <w:vAlign w:val="center"/>
          </w:tcPr>
          <w:p w14:paraId="717EA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040" w:type="dxa"/>
            <w:vMerge w:val="continue"/>
            <w:noWrap w:val="0"/>
            <w:vAlign w:val="center"/>
          </w:tcPr>
          <w:p w14:paraId="12BEB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874" w:type="dxa"/>
            <w:noWrap w:val="0"/>
            <w:vAlign w:val="center"/>
          </w:tcPr>
          <w:p w14:paraId="74D3E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非甲烷总烃执行</w:t>
            </w:r>
            <w:r>
              <w:rPr>
                <w:rFonts w:hint="default" w:ascii="Times New Roman" w:hAnsi="Times New Roman" w:eastAsia="宋体" w:cs="Times New Roman"/>
                <w:color w:val="000000"/>
                <w:szCs w:val="21"/>
              </w:rPr>
              <w:t>《印刷行业挥发性有机物排放标准》（DB35/1784-</w:t>
            </w:r>
            <w:r>
              <w:rPr>
                <w:rFonts w:hint="default" w:ascii="Times New Roman" w:hAnsi="Times New Roman" w:eastAsia="宋体" w:cs="Times New Roman"/>
                <w:b w:val="0"/>
                <w:bCs w:val="0"/>
                <w:color w:val="000000"/>
                <w:szCs w:val="21"/>
              </w:rPr>
              <w:t>2018）</w:t>
            </w:r>
            <w:r>
              <w:rPr>
                <w:rFonts w:hint="eastAsia" w:ascii="Times New Roman" w:hAnsi="Times New Roman" w:eastAsia="宋体" w:cs="Times New Roman"/>
                <w:color w:val="auto"/>
                <w:spacing w:val="0"/>
                <w:sz w:val="21"/>
                <w:szCs w:val="21"/>
                <w:highlight w:val="none"/>
                <w:lang w:val="en-US" w:eastAsia="zh-CN"/>
              </w:rPr>
              <w:t>中表</w:t>
            </w:r>
            <w:r>
              <w:rPr>
                <w:rFonts w:hint="eastAsia" w:cs="Times New Roman"/>
                <w:b w:val="0"/>
                <w:bCs w:val="0"/>
                <w:color w:val="auto"/>
                <w:spacing w:val="0"/>
                <w:sz w:val="21"/>
                <w:szCs w:val="21"/>
                <w:highlight w:val="none"/>
                <w:lang w:val="en-US" w:eastAsia="zh-CN"/>
              </w:rPr>
              <w:t>3</w:t>
            </w:r>
            <w:r>
              <w:rPr>
                <w:rFonts w:hint="eastAsia" w:ascii="Times New Roman" w:hAnsi="Times New Roman" w:eastAsia="宋体" w:cs="Times New Roman"/>
                <w:color w:val="auto"/>
                <w:spacing w:val="0"/>
                <w:sz w:val="21"/>
                <w:szCs w:val="21"/>
                <w:highlight w:val="none"/>
                <w:lang w:val="en-US" w:eastAsia="zh-CN"/>
              </w:rPr>
              <w:t>企业边界大气污染物浓度限值</w:t>
            </w:r>
            <w:r>
              <w:rPr>
                <w:rFonts w:hint="eastAsia" w:ascii="Times New Roman" w:hAnsi="Times New Roman" w:eastAsia="宋体" w:cs="Times New Roman"/>
                <w:color w:val="auto"/>
                <w:kern w:val="18"/>
                <w:lang w:val="en-US" w:eastAsia="zh-CN"/>
              </w:rPr>
              <w:t>；</w:t>
            </w:r>
            <w:r>
              <w:rPr>
                <w:rFonts w:hint="eastAsia" w:ascii="Times New Roman" w:hAnsi="Times New Roman" w:eastAsia="宋体" w:cs="Times New Roman"/>
                <w:color w:val="auto"/>
                <w:kern w:val="2"/>
                <w:sz w:val="21"/>
                <w:szCs w:val="21"/>
                <w:lang w:val="en-US" w:eastAsia="zh-CN" w:bidi="ar-SA"/>
              </w:rPr>
              <w:t>即非甲烷总烃≤</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Cs w:val="21"/>
                <w:highlight w:val="none"/>
                <w:lang w:val="en-US" w:eastAsia="zh-CN"/>
              </w:rPr>
              <w:t>）</w:t>
            </w:r>
          </w:p>
        </w:tc>
      </w:tr>
      <w:tr w14:paraId="2213B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848" w:type="dxa"/>
            <w:noWrap w:val="0"/>
            <w:vAlign w:val="center"/>
          </w:tcPr>
          <w:p w14:paraId="458C6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07F4F8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170" w:type="dxa"/>
            <w:noWrap w:val="0"/>
            <w:vAlign w:val="center"/>
          </w:tcPr>
          <w:p w14:paraId="5DDA8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生活废水</w:t>
            </w:r>
          </w:p>
        </w:tc>
        <w:tc>
          <w:tcPr>
            <w:tcW w:w="1356" w:type="dxa"/>
            <w:noWrap w:val="0"/>
            <w:vAlign w:val="center"/>
          </w:tcPr>
          <w:p w14:paraId="04ACC8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040" w:type="dxa"/>
            <w:noWrap w:val="0"/>
            <w:vAlign w:val="center"/>
          </w:tcPr>
          <w:p w14:paraId="778AD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000000"/>
                <w:sz w:val="21"/>
                <w:szCs w:val="21"/>
                <w:lang w:val="en-US" w:eastAsia="zh-CN"/>
              </w:rPr>
              <w:t>生活污水</w:t>
            </w:r>
            <w:r>
              <w:rPr>
                <w:rFonts w:hint="default" w:ascii="Times New Roman" w:hAnsi="Times New Roman" w:eastAsia="宋体" w:cs="Times New Roman"/>
                <w:bCs/>
                <w:color w:val="000000"/>
                <w:sz w:val="21"/>
                <w:szCs w:val="21"/>
              </w:rPr>
              <w:t>经化粪池预处理后接入市政污水管网排入</w:t>
            </w:r>
            <w:r>
              <w:rPr>
                <w:rFonts w:hint="default" w:ascii="Times New Roman" w:hAnsi="Times New Roman" w:eastAsia="宋体" w:cs="Times New Roman"/>
                <w:bCs/>
                <w:color w:val="auto"/>
                <w:sz w:val="21"/>
                <w:szCs w:val="21"/>
              </w:rPr>
              <w:t>福清市融元污水处理厂集中</w:t>
            </w:r>
            <w:r>
              <w:rPr>
                <w:rFonts w:hint="default" w:ascii="Times New Roman" w:hAnsi="Times New Roman" w:eastAsia="宋体" w:cs="Times New Roman"/>
                <w:bCs/>
                <w:color w:val="000000"/>
                <w:sz w:val="21"/>
                <w:szCs w:val="21"/>
              </w:rPr>
              <w:t>处理</w:t>
            </w:r>
          </w:p>
        </w:tc>
        <w:tc>
          <w:tcPr>
            <w:tcW w:w="3874" w:type="dxa"/>
            <w:noWrap w:val="0"/>
            <w:vAlign w:val="center"/>
          </w:tcPr>
          <w:p w14:paraId="45A63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64BAC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47CCB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170" w:type="dxa"/>
            <w:noWrap w:val="0"/>
            <w:vAlign w:val="center"/>
          </w:tcPr>
          <w:p w14:paraId="4AA09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1356" w:type="dxa"/>
            <w:noWrap w:val="0"/>
            <w:vAlign w:val="center"/>
          </w:tcPr>
          <w:p w14:paraId="57B0D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040" w:type="dxa"/>
            <w:noWrap w:val="0"/>
            <w:vAlign w:val="center"/>
          </w:tcPr>
          <w:p w14:paraId="48924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874" w:type="dxa"/>
            <w:noWrap w:val="0"/>
            <w:vAlign w:val="center"/>
          </w:tcPr>
          <w:p w14:paraId="5D940D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夜</w:t>
            </w:r>
            <w:r>
              <w:rPr>
                <w:rFonts w:hint="default" w:ascii="Times New Roman" w:hAnsi="Times New Roman" w:eastAsia="宋体" w:cs="Times New Roman"/>
                <w:color w:val="auto"/>
                <w:kern w:val="2"/>
                <w:sz w:val="21"/>
                <w:szCs w:val="21"/>
                <w:highlight w:val="none"/>
                <w:lang w:val="en-GB" w:eastAsia="zh-CN" w:bidi="ar-SA"/>
              </w:rPr>
              <w:t>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GB" w:eastAsia="zh-CN" w:bidi="ar-SA"/>
              </w:rPr>
              <w:t>dB</w:t>
            </w:r>
            <w:r>
              <w:rPr>
                <w:rFonts w:hint="eastAsia"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p>
        </w:tc>
      </w:tr>
      <w:tr w14:paraId="6F1AA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6BF083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41ACE2F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170" w:type="dxa"/>
            <w:noWrap w:val="0"/>
            <w:vAlign w:val="center"/>
          </w:tcPr>
          <w:p w14:paraId="015E07C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1356" w:type="dxa"/>
            <w:noWrap w:val="0"/>
            <w:vAlign w:val="center"/>
          </w:tcPr>
          <w:p w14:paraId="438936E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040" w:type="dxa"/>
            <w:noWrap w:val="0"/>
            <w:vAlign w:val="center"/>
          </w:tcPr>
          <w:p w14:paraId="73C6BCD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874" w:type="dxa"/>
            <w:noWrap w:val="0"/>
            <w:vAlign w:val="center"/>
          </w:tcPr>
          <w:p w14:paraId="249BA72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251C8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8" w:type="dxa"/>
            <w:noWrap w:val="0"/>
            <w:vAlign w:val="center"/>
          </w:tcPr>
          <w:p w14:paraId="798C7DE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1EE117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440" w:type="dxa"/>
            <w:gridSpan w:val="4"/>
            <w:noWrap w:val="0"/>
            <w:vAlign w:val="center"/>
          </w:tcPr>
          <w:p w14:paraId="3F3F6DF0">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cs="Times New Roman"/>
                <w:color w:val="auto"/>
                <w:sz w:val="24"/>
                <w:szCs w:val="24"/>
                <w:highlight w:val="none"/>
                <w:lang w:val="en-US" w:eastAsia="zh-CN"/>
              </w:rPr>
              <w:t>本项目一般固废有塑料边角料及不合格产品、废包装材料，项目拟</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 18599-2020）的相关要求；</w:t>
            </w:r>
          </w:p>
          <w:p w14:paraId="7C43102E">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cs="Times New Roman"/>
                <w:color w:val="auto"/>
                <w:sz w:val="24"/>
                <w:szCs w:val="24"/>
                <w:highlight w:val="none"/>
                <w:lang w:val="en-US" w:eastAsia="zh-CN"/>
              </w:rPr>
              <w:t>本项目危险废物有废活性炭、废机油等，项目拟</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 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248E3F7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771B2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07FC1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440" w:type="dxa"/>
            <w:gridSpan w:val="4"/>
            <w:noWrap w:val="0"/>
            <w:vAlign w:val="center"/>
          </w:tcPr>
          <w:p w14:paraId="3B5BD06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1325C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48" w:type="dxa"/>
            <w:noWrap w:val="0"/>
            <w:vAlign w:val="center"/>
          </w:tcPr>
          <w:p w14:paraId="6A3E39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440" w:type="dxa"/>
            <w:gridSpan w:val="4"/>
            <w:noWrap w:val="0"/>
            <w:vAlign w:val="center"/>
          </w:tcPr>
          <w:p w14:paraId="4D7C9A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7CF1E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5" w:hRule="atLeast"/>
          <w:jc w:val="center"/>
        </w:trPr>
        <w:tc>
          <w:tcPr>
            <w:tcW w:w="848" w:type="dxa"/>
            <w:noWrap w:val="0"/>
            <w:vAlign w:val="center"/>
          </w:tcPr>
          <w:p w14:paraId="63D862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440" w:type="dxa"/>
            <w:gridSpan w:val="4"/>
            <w:noWrap w:val="0"/>
            <w:vAlign w:val="center"/>
          </w:tcPr>
          <w:p w14:paraId="1557843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393CE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4DFEDD6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5A6253C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440" w:type="dxa"/>
            <w:gridSpan w:val="4"/>
            <w:noWrap w:val="0"/>
            <w:vAlign w:val="center"/>
          </w:tcPr>
          <w:p w14:paraId="1D36E80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68ACA2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32DD2D35">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  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4"/>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87"/>
              <w:gridCol w:w="1347"/>
              <w:gridCol w:w="1348"/>
              <w:gridCol w:w="1348"/>
              <w:gridCol w:w="1395"/>
              <w:gridCol w:w="1297"/>
            </w:tblGrid>
            <w:tr w14:paraId="383C180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3EA7D2F5">
                  <w:pPr>
                    <w:pStyle w:val="65"/>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136" w:name="_Toc24814499"/>
                  <w:r>
                    <w:rPr>
                      <w:color w:val="auto"/>
                      <w:sz w:val="21"/>
                      <w:highlight w:val="none"/>
                      <w:lang w:val="en-GB"/>
                    </w:rPr>
                    <w:t xml:space="preserve">  排放部位</w:t>
                  </w:r>
                </w:p>
                <w:p w14:paraId="3929C778">
                  <w:pPr>
                    <w:pStyle w:val="65"/>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185A9D88">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4235F501">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12D7036">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155D52ED">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4FE1F507">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3AE48C9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5C3F6C5D">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552C56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61312"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43" name="组合 4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37"/>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38"/>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39"/>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40"/>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61312;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37"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38"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39"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40" o:title=""/>
                              <o:lock v:ext="edit" aspectratio="f"/>
                            </v:shape>
                          </v:group>
                        </w:pict>
                      </mc:Fallback>
                    </mc:AlternateContent>
                  </w:r>
                </w:p>
                <w:p w14:paraId="693B6EC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1D02ABF">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6609DB7A">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4A8A676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70A6431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1F4AD6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0145C9F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F04F84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7F7353A2">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3914968E">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20351B7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41"/>
                                <a:stretch>
                                  <a:fillRect/>
                                </a:stretch>
                              </pic:blipFill>
                              <pic:spPr>
                                <a:xfrm>
                                  <a:off x="0" y="0"/>
                                  <a:ext cx="660400" cy="600710"/>
                                </a:xfrm>
                                <a:prstGeom prst="rect">
                                  <a:avLst/>
                                </a:prstGeom>
                                <a:noFill/>
                                <a:ln>
                                  <a:noFill/>
                                </a:ln>
                              </pic:spPr>
                            </pic:pic>
                          </a:graphicData>
                        </a:graphic>
                      </wp:inline>
                    </w:drawing>
                  </w:r>
                </w:p>
              </w:tc>
            </w:tr>
            <w:tr w14:paraId="0E5C1E7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3B7070A1">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CEE6D0C">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A07FF2C">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B105740">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49DA8E0">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0BF04B7D">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76FD884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48C84D28">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70BF0EB">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BD0E90C">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44781CE">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3EBC215">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3562882A">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44C3C5E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66BD09D5">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66C77A5">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7D1DB09">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1DB5FB9">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0A7329CC">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00A81685">
                  <w:pPr>
                    <w:pStyle w:val="65"/>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46DCDDC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66E260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排污许可</w:t>
            </w:r>
            <w:r>
              <w:rPr>
                <w:rFonts w:hint="eastAsia" w:eastAsia="宋体" w:cs="Times New Roman"/>
                <w:b/>
                <w:bCs/>
                <w:color w:val="auto"/>
                <w:kern w:val="2"/>
                <w:sz w:val="24"/>
                <w:szCs w:val="24"/>
                <w:highlight w:val="none"/>
                <w:lang w:val="en-US" w:eastAsia="zh-CN" w:bidi="ar-SA"/>
              </w:rPr>
              <w:t>登记</w:t>
            </w:r>
            <w:r>
              <w:rPr>
                <w:rFonts w:hint="default" w:ascii="Times New Roman" w:hAnsi="Times New Roman" w:eastAsia="宋体" w:cs="Times New Roman"/>
                <w:b/>
                <w:bCs/>
                <w:color w:val="auto"/>
                <w:kern w:val="2"/>
                <w:sz w:val="24"/>
                <w:szCs w:val="24"/>
                <w:highlight w:val="none"/>
                <w:lang w:val="en-US" w:eastAsia="zh-CN" w:bidi="ar-SA"/>
              </w:rPr>
              <w:t>管理</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eastAsia="宋体" w:cs="Times New Roman"/>
                <w:b/>
                <w:bCs/>
                <w:color w:val="auto"/>
                <w:kern w:val="2"/>
                <w:sz w:val="24"/>
                <w:szCs w:val="24"/>
                <w:highlight w:val="none"/>
                <w:lang w:val="en-US" w:eastAsia="zh-CN" w:bidi="ar-SA"/>
              </w:rPr>
              <w:t>登记填</w:t>
            </w:r>
            <w:r>
              <w:rPr>
                <w:rFonts w:hint="eastAsia" w:ascii="Times New Roman" w:hAnsi="Times New Roman" w:eastAsia="宋体" w:cs="Times New Roman"/>
                <w:b/>
                <w:bCs/>
                <w:color w:val="auto"/>
                <w:kern w:val="2"/>
                <w:sz w:val="24"/>
                <w:szCs w:val="24"/>
                <w:highlight w:val="none"/>
                <w:lang w:val="en-US" w:eastAsia="zh-CN" w:bidi="ar-SA"/>
              </w:rPr>
              <w:t>报</w:t>
            </w:r>
            <w:r>
              <w:rPr>
                <w:rFonts w:hint="default" w:ascii="Times New Roman" w:hAnsi="Times New Roman" w:eastAsia="宋体" w:cs="Times New Roman"/>
                <w:color w:val="auto"/>
                <w:kern w:val="2"/>
                <w:sz w:val="24"/>
                <w:szCs w:val="24"/>
                <w:highlight w:val="none"/>
                <w:lang w:val="en-US" w:eastAsia="zh-CN" w:bidi="ar-SA"/>
              </w:rPr>
              <w:t>。</w:t>
            </w:r>
          </w:p>
          <w:p w14:paraId="1AC241BB">
            <w:pPr>
              <w:pStyle w:val="2"/>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表 5.1-2 </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871"/>
              <w:gridCol w:w="1030"/>
              <w:gridCol w:w="3908"/>
              <w:gridCol w:w="890"/>
            </w:tblGrid>
            <w:tr w14:paraId="70D1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trPr>
              <w:tc>
                <w:tcPr>
                  <w:tcW w:w="311" w:type="pct"/>
                  <w:vAlign w:val="center"/>
                </w:tcPr>
                <w:p w14:paraId="38EE619F">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序号</w:t>
                  </w:r>
                </w:p>
              </w:tc>
              <w:tc>
                <w:tcPr>
                  <w:tcW w:w="1139" w:type="pct"/>
                  <w:vAlign w:val="center"/>
                </w:tcPr>
                <w:p w14:paraId="43B77FC9">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行业类别</w:t>
                  </w:r>
                </w:p>
              </w:tc>
              <w:tc>
                <w:tcPr>
                  <w:tcW w:w="627" w:type="pct"/>
                  <w:vAlign w:val="center"/>
                </w:tcPr>
                <w:p w14:paraId="6F59A0EB">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重点管理</w:t>
                  </w:r>
                </w:p>
              </w:tc>
              <w:tc>
                <w:tcPr>
                  <w:tcW w:w="2379" w:type="pct"/>
                  <w:vAlign w:val="center"/>
                </w:tcPr>
                <w:p w14:paraId="7837261E">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简化管理</w:t>
                  </w:r>
                </w:p>
              </w:tc>
              <w:tc>
                <w:tcPr>
                  <w:tcW w:w="541" w:type="pct"/>
                  <w:shd w:val="clear" w:color="auto" w:fill="CFCECE" w:themeFill="background2" w:themeFillShade="E5"/>
                  <w:vAlign w:val="center"/>
                </w:tcPr>
                <w:p w14:paraId="5217F0DF">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登记管理</w:t>
                  </w:r>
                </w:p>
              </w:tc>
            </w:tr>
            <w:tr w14:paraId="2F0E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CFCECE" w:themeFill="background2" w:themeFillShade="E5"/>
                  <w:vAlign w:val="center"/>
                </w:tcPr>
                <w:p w14:paraId="18206B55">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b/>
                      <w:bCs/>
                      <w:color w:val="262626"/>
                      <w:sz w:val="21"/>
                      <w:szCs w:val="21"/>
                      <w:vertAlign w:val="baseline"/>
                      <w:lang w:val="en-US" w:eastAsia="zh-CN"/>
                    </w:rPr>
                    <w:t>十八、印刷和记录媒介复制业23</w:t>
                  </w:r>
                </w:p>
              </w:tc>
            </w:tr>
            <w:tr w14:paraId="6633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vAlign w:val="center"/>
                </w:tcPr>
                <w:p w14:paraId="3ABB2CD8">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262626"/>
                      <w:sz w:val="21"/>
                      <w:szCs w:val="21"/>
                      <w:vertAlign w:val="baseline"/>
                      <w:lang w:val="en-US" w:eastAsia="zh-CN"/>
                    </w:rPr>
                  </w:pPr>
                  <w:r>
                    <w:rPr>
                      <w:rFonts w:hint="eastAsia" w:cs="Times New Roman"/>
                      <w:b w:val="0"/>
                      <w:bCs w:val="0"/>
                      <w:color w:val="262626"/>
                      <w:sz w:val="21"/>
                      <w:szCs w:val="21"/>
                      <w:vertAlign w:val="baseline"/>
                      <w:lang w:val="en-US" w:eastAsia="zh-CN"/>
                    </w:rPr>
                    <w:t>39</w:t>
                  </w:r>
                </w:p>
              </w:tc>
              <w:tc>
                <w:tcPr>
                  <w:tcW w:w="1139" w:type="pct"/>
                  <w:vAlign w:val="center"/>
                </w:tcPr>
                <w:p w14:paraId="4D2356A0">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262626"/>
                      <w:sz w:val="21"/>
                      <w:szCs w:val="21"/>
                      <w:vertAlign w:val="baseline"/>
                      <w:lang w:val="en-US" w:eastAsia="zh-CN"/>
                    </w:rPr>
                  </w:pPr>
                  <w:r>
                    <w:rPr>
                      <w:rFonts w:hint="eastAsia" w:cs="Times New Roman"/>
                      <w:b w:val="0"/>
                      <w:bCs w:val="0"/>
                      <w:color w:val="000000"/>
                      <w:kern w:val="0"/>
                      <w:sz w:val="21"/>
                      <w:szCs w:val="21"/>
                      <w:lang w:val="en-US" w:eastAsia="zh-CN" w:bidi="ar"/>
                    </w:rPr>
                    <w:t>印刷231</w:t>
                  </w:r>
                </w:p>
              </w:tc>
              <w:tc>
                <w:tcPr>
                  <w:tcW w:w="627" w:type="pct"/>
                  <w:vAlign w:val="center"/>
                </w:tcPr>
                <w:p w14:paraId="51511929">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000000"/>
                      <w:sz w:val="21"/>
                      <w:szCs w:val="21"/>
                      <w:lang w:val="en-US" w:eastAsia="zh-CN"/>
                    </w:rPr>
                    <w:t>纳入重点排污单位名录的</w:t>
                  </w:r>
                </w:p>
              </w:tc>
              <w:tc>
                <w:tcPr>
                  <w:tcW w:w="2379" w:type="pct"/>
                  <w:vAlign w:val="center"/>
                </w:tcPr>
                <w:p w14:paraId="6742799A">
                  <w:pPr>
                    <w:spacing w:before="120" w:beforeLines="50" w:line="240" w:lineRule="auto"/>
                    <w:jc w:val="center"/>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000000"/>
                      <w:sz w:val="21"/>
                      <w:szCs w:val="21"/>
                      <w:lang w:val="en-US" w:eastAsia="zh-CN"/>
                    </w:rPr>
                    <w:t>除重点管理以外的年使用80吨及以上溶剂型油墨、涂料或者10吨及以上溶剂型稀释剂的包装装潢印刷</w:t>
                  </w:r>
                </w:p>
              </w:tc>
              <w:tc>
                <w:tcPr>
                  <w:tcW w:w="541" w:type="pct"/>
                  <w:shd w:val="clear" w:color="auto" w:fill="CFCECE" w:themeFill="background2" w:themeFillShade="E5"/>
                  <w:vAlign w:val="center"/>
                </w:tcPr>
                <w:p w14:paraId="2C0FE69E">
                  <w:pPr>
                    <w:pStyle w:val="19"/>
                    <w:pBdr>
                      <w:bottom w:val="none" w:color="auto" w:sz="0" w:space="0"/>
                    </w:pBdr>
                    <w:spacing w:line="240" w:lineRule="auto"/>
                    <w:jc w:val="center"/>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b w:val="0"/>
                      <w:bCs w:val="0"/>
                      <w:color w:val="000000"/>
                      <w:sz w:val="21"/>
                      <w:szCs w:val="21"/>
                      <w:highlight w:val="none"/>
                      <w:lang w:val="en-US" w:eastAsia="zh-CN"/>
                    </w:rPr>
                    <w:t>其他</w:t>
                  </w:r>
                </w:p>
              </w:tc>
            </w:tr>
            <w:tr w14:paraId="61B1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CFCECE" w:themeFill="background2" w:themeFillShade="E5"/>
                  <w:vAlign w:val="center"/>
                </w:tcPr>
                <w:p w14:paraId="41613D2E">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二十四、橡胶和塑料制品业29</w:t>
                  </w:r>
                </w:p>
              </w:tc>
            </w:tr>
            <w:tr w14:paraId="2BCF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vAlign w:val="center"/>
                </w:tcPr>
                <w:p w14:paraId="518F87E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61</w:t>
                  </w:r>
                </w:p>
              </w:tc>
              <w:tc>
                <w:tcPr>
                  <w:tcW w:w="1139" w:type="pct"/>
                  <w:vAlign w:val="center"/>
                </w:tcPr>
                <w:p w14:paraId="36A33842">
                  <w:pPr>
                    <w:spacing w:before="120" w:beforeLines="50" w:line="240" w:lineRule="auto"/>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sz w:val="21"/>
                      <w:szCs w:val="21"/>
                      <w:lang w:val="en-US" w:eastAsia="zh-CN"/>
                    </w:rPr>
                    <w:t>塑料制品业292</w:t>
                  </w:r>
                </w:p>
              </w:tc>
              <w:tc>
                <w:tcPr>
                  <w:tcW w:w="627" w:type="pct"/>
                  <w:vAlign w:val="center"/>
                </w:tcPr>
                <w:p w14:paraId="3175A9DE">
                  <w:pPr>
                    <w:spacing w:before="120" w:beforeLines="50"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z w:val="21"/>
                      <w:szCs w:val="21"/>
                      <w:lang w:val="en-US" w:eastAsia="zh-CN"/>
                    </w:rPr>
                    <w:t>塑料人造革、合成革制造2925</w:t>
                  </w:r>
                </w:p>
              </w:tc>
              <w:tc>
                <w:tcPr>
                  <w:tcW w:w="2379" w:type="pct"/>
                  <w:vAlign w:val="center"/>
                </w:tcPr>
                <w:p w14:paraId="1464C0DF">
                  <w:pPr>
                    <w:spacing w:before="120" w:beforeLines="50"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z w:val="21"/>
                      <w:szCs w:val="21"/>
                      <w:lang w:val="en-US" w:eastAsia="zh-CN"/>
                    </w:rPr>
                    <w:t>年产1万吨及以上的泡沫塑料制造2924</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年产1万吨及以上涉及改性的塑料薄膜制造2921、塑料板、管、型材制造2922、塑料丝、绳和编织品制造2923、塑料包装箱及容器制造2926、日用塑料品制造2927、人造草坪制造2928、塑料零件及其他塑料制品制造2929</w:t>
                  </w:r>
                </w:p>
              </w:tc>
              <w:tc>
                <w:tcPr>
                  <w:tcW w:w="541" w:type="pct"/>
                  <w:shd w:val="clear" w:color="auto" w:fill="CFCECE" w:themeFill="background2" w:themeFillShade="E5"/>
                  <w:vAlign w:val="center"/>
                </w:tcPr>
                <w:p w14:paraId="40F31484">
                  <w:pPr>
                    <w:pStyle w:val="19"/>
                    <w:pBdr>
                      <w:bottom w:val="none" w:color="auto" w:sz="0" w:space="0"/>
                    </w:pBdr>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val="0"/>
                      <w:color w:val="000000"/>
                      <w:sz w:val="21"/>
                      <w:szCs w:val="21"/>
                      <w:highlight w:val="none"/>
                      <w:lang w:val="en-US" w:eastAsia="zh-CN"/>
                    </w:rPr>
                    <w:t>其他</w:t>
                  </w:r>
                </w:p>
              </w:tc>
            </w:tr>
          </w:tbl>
          <w:p w14:paraId="18A82E0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136"/>
            <w:bookmarkStart w:id="137"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137"/>
          </w:p>
          <w:p w14:paraId="26AAFF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06BBF0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2BF16EAA">
      <w:r>
        <w:br w:type="page"/>
      </w:r>
    </w:p>
    <w:p w14:paraId="1C32D8D6">
      <w:pPr>
        <w:pStyle w:val="23"/>
        <w:jc w:val="center"/>
        <w:outlineLvl w:val="0"/>
        <w:rPr>
          <w:rFonts w:ascii="Times New Roman" w:hAnsi="Times New Roman" w:eastAsia="黑体"/>
          <w:snapToGrid w:val="0"/>
          <w:sz w:val="30"/>
          <w:szCs w:val="30"/>
        </w:rPr>
      </w:pPr>
      <w:bookmarkStart w:id="138" w:name="_Toc19634"/>
      <w:bookmarkStart w:id="139" w:name="_Toc4252"/>
      <w:r>
        <w:rPr>
          <w:rFonts w:ascii="Times New Roman" w:hAnsi="Times New Roman" w:eastAsia="黑体"/>
          <w:snapToGrid w:val="0"/>
          <w:sz w:val="30"/>
          <w:szCs w:val="30"/>
        </w:rPr>
        <w:drawing>
          <wp:anchor distT="0" distB="0" distL="114300" distR="114300" simplePos="0" relativeHeight="251664384" behindDoc="0" locked="0" layoutInCell="1" allowOverlap="1">
            <wp:simplePos x="0" y="0"/>
            <wp:positionH relativeFrom="column">
              <wp:posOffset>3810</wp:posOffset>
            </wp:positionH>
            <wp:positionV relativeFrom="paragraph">
              <wp:posOffset>47625</wp:posOffset>
            </wp:positionV>
            <wp:extent cx="6068060" cy="8631555"/>
            <wp:effectExtent l="0" t="0" r="8890" b="17145"/>
            <wp:wrapNone/>
            <wp:docPr id="220" name="图片 220" descr="资质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资质_10"/>
                    <pic:cNvPicPr>
                      <a:picLocks noChangeAspect="1"/>
                    </pic:cNvPicPr>
                  </pic:nvPicPr>
                  <pic:blipFill>
                    <a:blip r:embed="rId42"/>
                    <a:stretch>
                      <a:fillRect/>
                    </a:stretch>
                  </pic:blipFill>
                  <pic:spPr>
                    <a:xfrm>
                      <a:off x="0" y="0"/>
                      <a:ext cx="6068060" cy="8631555"/>
                    </a:xfrm>
                    <a:prstGeom prst="rect">
                      <a:avLst/>
                    </a:prstGeom>
                  </pic:spPr>
                </pic:pic>
              </a:graphicData>
            </a:graphic>
          </wp:anchor>
        </w:drawing>
      </w:r>
      <w:r>
        <w:rPr>
          <w:rFonts w:ascii="Times New Roman" w:hAnsi="Times New Roman" w:eastAsia="黑体"/>
          <w:snapToGrid w:val="0"/>
          <w:sz w:val="30"/>
          <w:szCs w:val="30"/>
        </w:rPr>
        <w:t>六、结论</w:t>
      </w:r>
      <w:bookmarkEnd w:id="138"/>
      <w:bookmarkEnd w:id="13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6933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2ED0DDE2">
            <w:pPr>
              <w:spacing w:line="360" w:lineRule="auto"/>
              <w:rPr>
                <w:b/>
                <w:bCs/>
                <w:sz w:val="28"/>
                <w:szCs w:val="28"/>
              </w:rPr>
            </w:pPr>
            <w:r>
              <w:rPr>
                <w:b/>
                <w:bCs/>
                <w:sz w:val="28"/>
                <w:szCs w:val="28"/>
              </w:rPr>
              <w:t>6.1 总结论</w:t>
            </w:r>
          </w:p>
          <w:p w14:paraId="081D5EDC">
            <w:pPr>
              <w:spacing w:line="360" w:lineRule="auto"/>
              <w:ind w:firstLine="480" w:firstLineChars="200"/>
              <w:rPr>
                <w:rFonts w:ascii="Times New Roman" w:hAnsi="Times New Roman"/>
                <w:sz w:val="24"/>
                <w:szCs w:val="24"/>
              </w:rPr>
            </w:pPr>
            <w:r>
              <w:rPr>
                <w:rFonts w:hint="eastAsia"/>
                <w:sz w:val="24"/>
              </w:rPr>
              <w:t>本项目</w:t>
            </w:r>
            <w:r>
              <w:rPr>
                <w:rFonts w:hint="eastAsia"/>
                <w:sz w:val="24"/>
                <w:lang w:val="en-US" w:eastAsia="zh-CN"/>
              </w:rPr>
              <w:t>位于福清融侨经济技术开发区（均和云谷·福清科技港28#、36#厂房）），项目主要从事塑料包装膜和塑料包装袋制造，建设符合国家相关产业政策、符合《福清融侨经济技术开发区总体规划环境影响报告书（2018-2035年）》中的相关要求。符合“三线一单”以及生态分区管控控制要求，选址可行。经采取综合性、积极有效性的防治措施并确保污染物达标排放后，可避免或减少这些不利影响，使这些不利影响均在可接受范围内。</w:t>
            </w:r>
            <w:r>
              <w:rPr>
                <w:rFonts w:ascii="Times New Roman" w:hAnsi="Times New Roman"/>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59467899">
            <w:pPr>
              <w:spacing w:line="360" w:lineRule="auto"/>
              <w:ind w:firstLine="480" w:firstLineChars="200"/>
              <w:rPr>
                <w:b/>
                <w:bCs/>
                <w:sz w:val="24"/>
              </w:rPr>
            </w:pPr>
            <w:r>
              <w:rPr>
                <w:sz w:val="24"/>
              </w:rPr>
              <w:t>综上所述，在认真执行建设项目</w:t>
            </w:r>
            <w:r>
              <w:rPr>
                <w:rFonts w:hint="eastAsia"/>
                <w:sz w:val="24"/>
                <w:lang w:eastAsia="zh-CN"/>
              </w:rPr>
              <w:t>“</w:t>
            </w:r>
            <w:r>
              <w:rPr>
                <w:sz w:val="24"/>
              </w:rPr>
              <w:t>三同时</w:t>
            </w:r>
            <w:r>
              <w:rPr>
                <w:rFonts w:hint="eastAsia"/>
                <w:b w:val="0"/>
                <w:bCs w:val="0"/>
                <w:color w:val="auto"/>
                <w:sz w:val="24"/>
                <w:lang w:eastAsia="zh-CN"/>
              </w:rPr>
              <w:t>”</w:t>
            </w:r>
            <w:r>
              <w:rPr>
                <w:b w:val="0"/>
                <w:bCs w:val="0"/>
                <w:color w:val="auto"/>
                <w:sz w:val="24"/>
              </w:rPr>
              <w:t>制度，切实落实各项规划方案的要求，完成本次环境影响评价提出的各项污染防治措施</w:t>
            </w:r>
            <w:r>
              <w:rPr>
                <w:rFonts w:hint="eastAsia"/>
                <w:b w:val="0"/>
                <w:bCs w:val="0"/>
                <w:color w:val="auto"/>
                <w:sz w:val="24"/>
                <w:lang w:eastAsia="zh-CN"/>
              </w:rPr>
              <w:t>，在</w:t>
            </w:r>
            <w:r>
              <w:rPr>
                <w:rFonts w:ascii="Times New Roman" w:hAnsi="Times New Roman" w:eastAsia="宋体" w:cs="Times New Roman"/>
                <w:b w:val="0"/>
                <w:bCs w:val="0"/>
                <w:color w:val="auto"/>
                <w:sz w:val="24"/>
              </w:rPr>
              <w:t>严格落实</w:t>
            </w:r>
            <w:r>
              <w:rPr>
                <w:rFonts w:hint="eastAsia" w:ascii="Times New Roman" w:hAnsi="Times New Roman" w:eastAsia="宋体" w:cs="Times New Roman"/>
                <w:b w:val="0"/>
                <w:bCs w:val="0"/>
                <w:color w:val="auto"/>
                <w:sz w:val="24"/>
              </w:rPr>
              <w:t>各项生态环境保护和污染防治措施后，</w:t>
            </w:r>
            <w:r>
              <w:rPr>
                <w:rFonts w:ascii="Times New Roman" w:hAnsi="Times New Roman" w:eastAsia="宋体" w:cs="Times New Roman"/>
                <w:b w:val="0"/>
                <w:bCs w:val="0"/>
                <w:color w:val="auto"/>
                <w:sz w:val="24"/>
              </w:rPr>
              <w:t>确保各污染物达标排放，对周围的环境影响较小。</w:t>
            </w:r>
            <w:r>
              <w:rPr>
                <w:rFonts w:hint="eastAsia" w:ascii="Times New Roman" w:hAnsi="Times New Roman" w:eastAsia="宋体" w:cs="Times New Roman"/>
                <w:b w:val="0"/>
                <w:bCs w:val="0"/>
                <w:color w:val="auto"/>
                <w:sz w:val="24"/>
                <w:lang w:val="zh-CN" w:eastAsia="zh-CN"/>
              </w:rPr>
              <w:t>在严格落实各项生态环境保护和污染防治措施后</w:t>
            </w:r>
            <w:r>
              <w:rPr>
                <w:rFonts w:hint="eastAsia" w:ascii="Times New Roman" w:hAnsi="Times New Roman" w:eastAsia="宋体" w:cs="Times New Roman"/>
                <w:b w:val="0"/>
                <w:bCs w:val="0"/>
                <w:color w:val="auto"/>
                <w:sz w:val="24"/>
                <w:lang w:val="en-US" w:eastAsia="zh-CN"/>
              </w:rPr>
              <w:t>，从环境影响角度分析，项目建设可行</w:t>
            </w:r>
            <w:r>
              <w:rPr>
                <w:rFonts w:ascii="Times New Roman" w:hAnsi="Times New Roman" w:eastAsia="宋体" w:cs="Times New Roman"/>
                <w:b w:val="0"/>
                <w:bCs w:val="0"/>
                <w:color w:val="auto"/>
                <w:sz w:val="24"/>
              </w:rPr>
              <w:t>。</w:t>
            </w:r>
          </w:p>
          <w:p w14:paraId="50D3A4FE">
            <w:pPr>
              <w:spacing w:line="360" w:lineRule="auto"/>
              <w:ind w:firstLine="482" w:firstLineChars="200"/>
              <w:jc w:val="right"/>
              <w:rPr>
                <w:rFonts w:hint="default" w:eastAsia="宋体"/>
                <w:b/>
                <w:bCs/>
                <w:sz w:val="24"/>
                <w:lang w:val="en-US" w:eastAsia="zh-CN"/>
              </w:rPr>
            </w:pPr>
          </w:p>
          <w:p w14:paraId="0721067D">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rFonts w:hint="eastAsia"/>
                <w:b w:val="0"/>
                <w:bCs w:val="0"/>
                <w:sz w:val="24"/>
                <w:highlight w:val="none"/>
                <w:lang w:val="en-US" w:eastAsia="zh-CN"/>
              </w:rPr>
              <w:t>福州朴诚至信环保科技有限公司</w:t>
            </w:r>
          </w:p>
          <w:p w14:paraId="6FF708AF">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b w:val="0"/>
                <w:bCs w:val="0"/>
                <w:sz w:val="24"/>
                <w:highlight w:val="none"/>
              </w:rPr>
              <w:t>202</w:t>
            </w:r>
            <w:r>
              <w:rPr>
                <w:rFonts w:hint="eastAsia"/>
                <w:b w:val="0"/>
                <w:bCs w:val="0"/>
                <w:sz w:val="24"/>
                <w:highlight w:val="none"/>
                <w:lang w:val="en-US" w:eastAsia="zh-CN"/>
              </w:rPr>
              <w:t>6</w:t>
            </w:r>
            <w:r>
              <w:rPr>
                <w:b w:val="0"/>
                <w:bCs w:val="0"/>
                <w:sz w:val="24"/>
                <w:highlight w:val="none"/>
              </w:rPr>
              <w:t>年</w:t>
            </w:r>
            <w:r>
              <w:rPr>
                <w:rFonts w:hint="eastAsia"/>
                <w:b w:val="0"/>
                <w:bCs w:val="0"/>
                <w:sz w:val="24"/>
                <w:highlight w:val="none"/>
                <w:lang w:val="en-US" w:eastAsia="zh-CN"/>
              </w:rPr>
              <w:t>3</w:t>
            </w:r>
            <w:r>
              <w:rPr>
                <w:b w:val="0"/>
                <w:bCs w:val="0"/>
                <w:sz w:val="24"/>
                <w:highlight w:val="none"/>
              </w:rPr>
              <w:t>月</w:t>
            </w:r>
          </w:p>
          <w:p w14:paraId="4DAC92D2">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sz w:val="24"/>
                <w:highlight w:val="none"/>
              </w:rPr>
            </w:pPr>
          </w:p>
          <w:p w14:paraId="79F02346">
            <w:pPr>
              <w:spacing w:line="360" w:lineRule="auto"/>
              <w:ind w:firstLine="482" w:firstLineChars="200"/>
              <w:rPr>
                <w:b/>
                <w:bCs/>
                <w:sz w:val="24"/>
              </w:rPr>
            </w:pPr>
          </w:p>
          <w:p w14:paraId="5909E627">
            <w:pPr>
              <w:spacing w:line="360" w:lineRule="auto"/>
              <w:ind w:firstLine="482" w:firstLineChars="200"/>
              <w:rPr>
                <w:b/>
                <w:bCs/>
                <w:sz w:val="24"/>
              </w:rPr>
            </w:pPr>
          </w:p>
          <w:p w14:paraId="79602A53">
            <w:pPr>
              <w:spacing w:line="360" w:lineRule="auto"/>
              <w:ind w:firstLine="482" w:firstLineChars="200"/>
              <w:rPr>
                <w:b/>
                <w:bCs/>
                <w:sz w:val="24"/>
              </w:rPr>
            </w:pPr>
          </w:p>
          <w:p w14:paraId="0C2399D6">
            <w:pPr>
              <w:spacing w:line="360" w:lineRule="auto"/>
              <w:ind w:firstLine="482" w:firstLineChars="200"/>
              <w:rPr>
                <w:b/>
                <w:bCs/>
                <w:sz w:val="24"/>
              </w:rPr>
            </w:pPr>
          </w:p>
          <w:p w14:paraId="4D547767">
            <w:pPr>
              <w:spacing w:line="360" w:lineRule="auto"/>
              <w:rPr>
                <w:sz w:val="24"/>
              </w:rPr>
            </w:pPr>
          </w:p>
        </w:tc>
      </w:tr>
    </w:tbl>
    <w:p w14:paraId="16960F46">
      <w:pPr>
        <w:rPr>
          <w:rFonts w:hint="eastAsia"/>
          <w:b/>
          <w:bCs/>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6037D73A">
      <w:pPr>
        <w:pStyle w:val="23"/>
        <w:adjustRightInd w:val="0"/>
        <w:snapToGrid w:val="0"/>
        <w:spacing w:before="120" w:beforeLines="50" w:beforeAutospacing="0" w:after="0" w:afterAutospacing="0"/>
        <w:jc w:val="both"/>
        <w:outlineLvl w:val="0"/>
        <w:rPr>
          <w:rFonts w:ascii="Times New Roman" w:hAnsi="Times New Roman" w:eastAsia="方正小标宋_GBK"/>
          <w:snapToGrid w:val="0"/>
          <w:sz w:val="38"/>
          <w:szCs w:val="38"/>
        </w:rPr>
      </w:pPr>
      <w:bookmarkStart w:id="140" w:name="_Toc7093"/>
      <w:bookmarkStart w:id="141" w:name="_Toc16366"/>
      <w:r>
        <w:rPr>
          <w:rFonts w:ascii="Times New Roman" w:hAnsi="Times New Roman" w:eastAsia="方正小标宋_GBK"/>
          <w:b/>
          <w:bCs/>
          <w:snapToGrid w:val="0"/>
          <w:sz w:val="38"/>
          <w:szCs w:val="38"/>
        </w:rPr>
        <w:t>附</w:t>
      </w:r>
      <w:r>
        <w:rPr>
          <w:rFonts w:ascii="Times New Roman" w:hAnsi="Times New Roman" w:eastAsia="方正小标宋_GBK" w:cs="Times New Roman"/>
          <w:b/>
          <w:bCs/>
          <w:snapToGrid w:val="0"/>
          <w:sz w:val="38"/>
          <w:szCs w:val="38"/>
        </w:rPr>
        <w:t>表</w:t>
      </w:r>
      <w:bookmarkEnd w:id="140"/>
      <w:bookmarkEnd w:id="141"/>
    </w:p>
    <w:p w14:paraId="47BBF350">
      <w:pPr>
        <w:pStyle w:val="23"/>
        <w:adjustRightInd w:val="0"/>
        <w:snapToGrid w:val="0"/>
        <w:spacing w:before="0" w:beforeLines="0" w:beforeAutospacing="0" w:after="0" w:afterLines="0" w:afterAutospacing="0"/>
        <w:jc w:val="center"/>
        <w:outlineLvl w:val="0"/>
        <w:rPr>
          <w:rFonts w:ascii="Times New Roman" w:hAnsi="Times New Roman" w:eastAsia="方正小标宋_GBK"/>
          <w:snapToGrid w:val="0"/>
          <w:color w:val="auto"/>
          <w:sz w:val="38"/>
          <w:szCs w:val="38"/>
        </w:rPr>
      </w:pPr>
      <w:bookmarkStart w:id="142" w:name="_Toc96"/>
      <w:bookmarkStart w:id="143" w:name="_Toc13889"/>
      <w:bookmarkStart w:id="144" w:name="_Toc13012"/>
      <w:r>
        <w:rPr>
          <w:rFonts w:ascii="Times New Roman" w:hAnsi="Times New Roman" w:eastAsia="方正小标宋_GBK"/>
          <w:snapToGrid w:val="0"/>
          <w:color w:val="auto"/>
          <w:sz w:val="38"/>
          <w:szCs w:val="38"/>
        </w:rPr>
        <w:t>建设项目污染物排放量汇总表</w:t>
      </w:r>
      <w:bookmarkEnd w:id="142"/>
      <w:bookmarkEnd w:id="143"/>
      <w:bookmarkEnd w:id="144"/>
    </w:p>
    <w:tbl>
      <w:tblPr>
        <w:tblStyle w:val="24"/>
        <w:tblW w:w="140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145"/>
        <w:gridCol w:w="1332"/>
        <w:gridCol w:w="1276"/>
        <w:gridCol w:w="1701"/>
        <w:gridCol w:w="1559"/>
        <w:gridCol w:w="1761"/>
        <w:gridCol w:w="1959"/>
        <w:gridCol w:w="1122"/>
      </w:tblGrid>
      <w:tr w14:paraId="0279C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tcBorders>
              <w:tl2br w:val="single" w:color="auto" w:sz="4" w:space="0"/>
            </w:tcBorders>
            <w:noWrap w:val="0"/>
            <w:tcMar>
              <w:left w:w="28" w:type="dxa"/>
              <w:right w:w="28" w:type="dxa"/>
            </w:tcMar>
            <w:vAlign w:val="center"/>
          </w:tcPr>
          <w:p w14:paraId="6EEC77B8">
            <w:pPr>
              <w:pStyle w:val="78"/>
              <w:bidi w:val="0"/>
              <w:jc w:val="right"/>
              <w:rPr>
                <w:color w:val="auto"/>
              </w:rPr>
            </w:pPr>
            <w:r>
              <w:rPr>
                <w:color w:val="auto"/>
              </w:rPr>
              <w:t>项目</w:t>
            </w:r>
          </w:p>
          <w:p w14:paraId="44653EB8">
            <w:pPr>
              <w:pStyle w:val="78"/>
              <w:bidi w:val="0"/>
              <w:jc w:val="left"/>
              <w:rPr>
                <w:color w:val="auto"/>
              </w:rPr>
            </w:pPr>
            <w:r>
              <w:rPr>
                <w:color w:val="auto"/>
              </w:rPr>
              <w:t>分类</w:t>
            </w:r>
          </w:p>
        </w:tc>
        <w:tc>
          <w:tcPr>
            <w:tcW w:w="2145" w:type="dxa"/>
            <w:noWrap w:val="0"/>
            <w:tcMar>
              <w:left w:w="28" w:type="dxa"/>
              <w:right w:w="28" w:type="dxa"/>
            </w:tcMar>
            <w:vAlign w:val="center"/>
          </w:tcPr>
          <w:p w14:paraId="020E018E">
            <w:pPr>
              <w:pStyle w:val="78"/>
              <w:bidi w:val="0"/>
              <w:rPr>
                <w:color w:val="auto"/>
              </w:rPr>
            </w:pPr>
            <w:r>
              <w:rPr>
                <w:color w:val="auto"/>
              </w:rPr>
              <w:t>污染物名称</w:t>
            </w:r>
          </w:p>
        </w:tc>
        <w:tc>
          <w:tcPr>
            <w:tcW w:w="1332" w:type="dxa"/>
            <w:noWrap w:val="0"/>
            <w:tcMar>
              <w:left w:w="28" w:type="dxa"/>
              <w:right w:w="28" w:type="dxa"/>
            </w:tcMar>
            <w:vAlign w:val="center"/>
          </w:tcPr>
          <w:p w14:paraId="52B22978">
            <w:pPr>
              <w:pStyle w:val="78"/>
              <w:bidi w:val="0"/>
              <w:rPr>
                <w:color w:val="auto"/>
              </w:rPr>
            </w:pPr>
            <w:r>
              <w:rPr>
                <w:color w:val="auto"/>
              </w:rPr>
              <w:t>现有工程</w:t>
            </w:r>
          </w:p>
          <w:p w14:paraId="43E656A1">
            <w:pPr>
              <w:pStyle w:val="78"/>
              <w:bidi w:val="0"/>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1276" w:type="dxa"/>
            <w:noWrap w:val="0"/>
            <w:tcMar>
              <w:left w:w="28" w:type="dxa"/>
              <w:right w:w="28" w:type="dxa"/>
            </w:tcMar>
            <w:vAlign w:val="center"/>
          </w:tcPr>
          <w:p w14:paraId="5A777679">
            <w:pPr>
              <w:pStyle w:val="78"/>
              <w:bidi w:val="0"/>
              <w:rPr>
                <w:color w:val="auto"/>
              </w:rPr>
            </w:pPr>
            <w:r>
              <w:rPr>
                <w:color w:val="auto"/>
              </w:rPr>
              <w:t>现有工程</w:t>
            </w:r>
          </w:p>
          <w:p w14:paraId="0F69E4D3">
            <w:pPr>
              <w:pStyle w:val="78"/>
              <w:bidi w:val="0"/>
              <w:rPr>
                <w:color w:val="auto"/>
              </w:rPr>
            </w:pPr>
            <w:r>
              <w:rPr>
                <w:color w:val="auto"/>
              </w:rPr>
              <w:t>许可排放量</w:t>
            </w:r>
          </w:p>
          <w:p w14:paraId="5629ECB7">
            <w:pPr>
              <w:pStyle w:val="78"/>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1701" w:type="dxa"/>
            <w:noWrap w:val="0"/>
            <w:tcMar>
              <w:left w:w="28" w:type="dxa"/>
              <w:right w:w="28" w:type="dxa"/>
            </w:tcMar>
            <w:vAlign w:val="center"/>
          </w:tcPr>
          <w:p w14:paraId="13CE313C">
            <w:pPr>
              <w:pStyle w:val="78"/>
              <w:bidi w:val="0"/>
              <w:rPr>
                <w:color w:val="auto"/>
              </w:rPr>
            </w:pPr>
            <w:r>
              <w:rPr>
                <w:color w:val="auto"/>
              </w:rPr>
              <w:t>在建工程</w:t>
            </w:r>
          </w:p>
          <w:p w14:paraId="31C266A4">
            <w:pPr>
              <w:pStyle w:val="78"/>
              <w:bidi w:val="0"/>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1559" w:type="dxa"/>
            <w:noWrap w:val="0"/>
            <w:tcMar>
              <w:left w:w="28" w:type="dxa"/>
              <w:right w:w="28" w:type="dxa"/>
            </w:tcMar>
            <w:vAlign w:val="center"/>
          </w:tcPr>
          <w:p w14:paraId="31DEE739">
            <w:pPr>
              <w:pStyle w:val="78"/>
              <w:bidi w:val="0"/>
              <w:rPr>
                <w:color w:val="auto"/>
              </w:rPr>
            </w:pPr>
            <w:r>
              <w:rPr>
                <w:color w:val="auto"/>
              </w:rPr>
              <w:t>本项目</w:t>
            </w:r>
          </w:p>
          <w:p w14:paraId="57D9B791">
            <w:pPr>
              <w:pStyle w:val="78"/>
              <w:bidi w:val="0"/>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1761" w:type="dxa"/>
            <w:noWrap w:val="0"/>
            <w:tcMar>
              <w:left w:w="28" w:type="dxa"/>
              <w:right w:w="28" w:type="dxa"/>
            </w:tcMar>
            <w:vAlign w:val="center"/>
          </w:tcPr>
          <w:p w14:paraId="6FA71E6A">
            <w:pPr>
              <w:pStyle w:val="78"/>
              <w:bidi w:val="0"/>
              <w:rPr>
                <w:color w:val="auto"/>
              </w:rPr>
            </w:pPr>
            <w:r>
              <w:rPr>
                <w:color w:val="auto"/>
              </w:rPr>
              <w:t>以新带老削减量</w:t>
            </w:r>
          </w:p>
          <w:p w14:paraId="0D788B36">
            <w:pPr>
              <w:pStyle w:val="78"/>
              <w:bidi w:val="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1959" w:type="dxa"/>
            <w:noWrap w:val="0"/>
            <w:tcMar>
              <w:left w:w="28" w:type="dxa"/>
              <w:right w:w="28" w:type="dxa"/>
            </w:tcMar>
            <w:vAlign w:val="center"/>
          </w:tcPr>
          <w:p w14:paraId="1DE2B617">
            <w:pPr>
              <w:pStyle w:val="78"/>
              <w:bidi w:val="0"/>
              <w:rPr>
                <w:color w:val="auto"/>
              </w:rPr>
            </w:pPr>
            <w:r>
              <w:rPr>
                <w:color w:val="auto"/>
              </w:rPr>
              <w:t>本项目建成后</w:t>
            </w:r>
          </w:p>
          <w:p w14:paraId="3120F9C0">
            <w:pPr>
              <w:pStyle w:val="78"/>
              <w:bidi w:val="0"/>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1122" w:type="dxa"/>
            <w:noWrap w:val="0"/>
            <w:tcMar>
              <w:left w:w="28" w:type="dxa"/>
              <w:right w:w="28" w:type="dxa"/>
            </w:tcMar>
            <w:vAlign w:val="center"/>
          </w:tcPr>
          <w:p w14:paraId="4E651958">
            <w:pPr>
              <w:pStyle w:val="78"/>
              <w:bidi w:val="0"/>
              <w:rPr>
                <w:color w:val="auto"/>
              </w:rPr>
            </w:pPr>
            <w:r>
              <w:rPr>
                <w:color w:val="auto"/>
              </w:rPr>
              <w:t>变化量</w:t>
            </w:r>
          </w:p>
          <w:p w14:paraId="19B0FAAC">
            <w:pPr>
              <w:pStyle w:val="78"/>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5AC76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noWrap w:val="0"/>
            <w:vAlign w:val="center"/>
          </w:tcPr>
          <w:p w14:paraId="65D0A567">
            <w:pPr>
              <w:pStyle w:val="78"/>
              <w:bidi w:val="0"/>
              <w:rPr>
                <w:rFonts w:hint="eastAsia"/>
                <w:color w:val="auto"/>
                <w:lang w:val="en-US" w:eastAsia="zh-CN"/>
              </w:rPr>
            </w:pPr>
            <w:r>
              <w:rPr>
                <w:rFonts w:hint="eastAsia"/>
                <w:color w:val="auto"/>
                <w:lang w:val="en-US" w:eastAsia="zh-CN"/>
              </w:rPr>
              <w:t>废气</w:t>
            </w:r>
          </w:p>
        </w:tc>
        <w:tc>
          <w:tcPr>
            <w:tcW w:w="2145" w:type="dxa"/>
            <w:noWrap w:val="0"/>
            <w:vAlign w:val="center"/>
          </w:tcPr>
          <w:p w14:paraId="239E0B45">
            <w:pPr>
              <w:pStyle w:val="78"/>
              <w:bidi w:val="0"/>
              <w:rPr>
                <w:rFonts w:hint="eastAsia" w:eastAsia="宋体"/>
                <w:color w:val="auto"/>
                <w:lang w:eastAsia="zh-CN"/>
              </w:rPr>
            </w:pPr>
            <w:r>
              <w:rPr>
                <w:color w:val="auto"/>
              </w:rPr>
              <w:t>非甲烷总烃</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0BB767D1">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5AAFA5A3">
            <w:pPr>
              <w:pStyle w:val="78"/>
              <w:bidi w:val="0"/>
              <w:rPr>
                <w:rFonts w:hint="default"/>
                <w:color w:val="auto"/>
                <w:lang w:val="en-US" w:eastAsia="zh-CN"/>
              </w:rPr>
            </w:pPr>
            <w:r>
              <w:rPr>
                <w:rFonts w:hint="eastAsia"/>
                <w:color w:val="auto"/>
                <w:lang w:val="en-US" w:eastAsia="zh-CN"/>
              </w:rPr>
              <w:t>/</w:t>
            </w:r>
          </w:p>
        </w:tc>
        <w:tc>
          <w:tcPr>
            <w:tcW w:w="1701" w:type="dxa"/>
            <w:noWrap w:val="0"/>
            <w:vAlign w:val="center"/>
          </w:tcPr>
          <w:p w14:paraId="0E7982D7">
            <w:pPr>
              <w:pStyle w:val="78"/>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147CDBAE">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2.678</w:t>
            </w:r>
          </w:p>
        </w:tc>
        <w:tc>
          <w:tcPr>
            <w:tcW w:w="1761" w:type="dxa"/>
            <w:noWrap w:val="0"/>
            <w:vAlign w:val="center"/>
          </w:tcPr>
          <w:p w14:paraId="178D5B03">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27B8F2DE">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2.678</w:t>
            </w:r>
          </w:p>
        </w:tc>
        <w:tc>
          <w:tcPr>
            <w:tcW w:w="1122" w:type="dxa"/>
            <w:shd w:val="clear" w:color="auto" w:fill="auto"/>
            <w:noWrap w:val="0"/>
            <w:vAlign w:val="center"/>
          </w:tcPr>
          <w:p w14:paraId="21702D2F">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+2.678</w:t>
            </w:r>
          </w:p>
        </w:tc>
      </w:tr>
      <w:tr w14:paraId="0EDF3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2C95F53B">
            <w:pPr>
              <w:pStyle w:val="78"/>
              <w:bidi w:val="0"/>
              <w:rPr>
                <w:color w:val="auto"/>
              </w:rPr>
            </w:pPr>
            <w:r>
              <w:rPr>
                <w:color w:val="auto"/>
              </w:rPr>
              <w:t>废水</w:t>
            </w:r>
          </w:p>
        </w:tc>
        <w:tc>
          <w:tcPr>
            <w:tcW w:w="2145" w:type="dxa"/>
            <w:noWrap w:val="0"/>
            <w:vAlign w:val="center"/>
          </w:tcPr>
          <w:p w14:paraId="64C6403F">
            <w:pPr>
              <w:pStyle w:val="78"/>
              <w:bidi w:val="0"/>
              <w:rPr>
                <w:rFonts w:hint="eastAsia" w:eastAsia="宋体"/>
                <w:color w:val="auto"/>
                <w:lang w:eastAsia="zh-CN"/>
              </w:rPr>
            </w:pPr>
            <w:r>
              <w:rPr>
                <w:color w:val="auto"/>
              </w:rPr>
              <w:t>COD</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7DFD111E">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7FAA1A17">
            <w:pPr>
              <w:pStyle w:val="78"/>
              <w:bidi w:val="0"/>
              <w:rPr>
                <w:color w:val="auto"/>
              </w:rPr>
            </w:pPr>
            <w:r>
              <w:rPr>
                <w:rFonts w:hint="eastAsia"/>
                <w:color w:val="auto"/>
                <w:lang w:val="en-US" w:eastAsia="zh-CN"/>
              </w:rPr>
              <w:t>/</w:t>
            </w:r>
          </w:p>
        </w:tc>
        <w:tc>
          <w:tcPr>
            <w:tcW w:w="1701" w:type="dxa"/>
            <w:noWrap w:val="0"/>
            <w:vAlign w:val="center"/>
          </w:tcPr>
          <w:p w14:paraId="3F37E464">
            <w:pPr>
              <w:pStyle w:val="78"/>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40A13BCA">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0.144</w:t>
            </w:r>
          </w:p>
        </w:tc>
        <w:tc>
          <w:tcPr>
            <w:tcW w:w="1761" w:type="dxa"/>
            <w:noWrap w:val="0"/>
            <w:vAlign w:val="center"/>
          </w:tcPr>
          <w:p w14:paraId="34F8C3C6">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5889401D">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0.144</w:t>
            </w:r>
          </w:p>
        </w:tc>
        <w:tc>
          <w:tcPr>
            <w:tcW w:w="1122" w:type="dxa"/>
            <w:shd w:val="clear" w:color="auto" w:fill="auto"/>
            <w:noWrap w:val="0"/>
            <w:vAlign w:val="center"/>
          </w:tcPr>
          <w:p w14:paraId="7B2D8EA4">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r>
              <w:rPr>
                <w:rFonts w:hint="eastAsia" w:cs="Times New Roman"/>
                <w:color w:val="auto"/>
                <w:kern w:val="0"/>
                <w:sz w:val="21"/>
                <w:szCs w:val="20"/>
                <w:lang w:val="en-US" w:eastAsia="zh-CN" w:bidi="ar-SA"/>
              </w:rPr>
              <w:t>0.144</w:t>
            </w:r>
          </w:p>
        </w:tc>
      </w:tr>
      <w:tr w14:paraId="6A4EB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AD69EDD">
            <w:pPr>
              <w:pStyle w:val="78"/>
              <w:bidi w:val="0"/>
              <w:rPr>
                <w:color w:val="auto"/>
              </w:rPr>
            </w:pPr>
          </w:p>
        </w:tc>
        <w:tc>
          <w:tcPr>
            <w:tcW w:w="2145" w:type="dxa"/>
            <w:noWrap w:val="0"/>
            <w:vAlign w:val="center"/>
          </w:tcPr>
          <w:p w14:paraId="129D1AE0">
            <w:pPr>
              <w:pStyle w:val="78"/>
              <w:bidi w:val="0"/>
              <w:rPr>
                <w:rFonts w:hint="eastAsia" w:eastAsia="宋体"/>
                <w:color w:val="auto"/>
                <w:lang w:eastAsia="zh-CN"/>
              </w:rPr>
            </w:pPr>
            <w:r>
              <w:rPr>
                <w:color w:val="auto"/>
              </w:rPr>
              <w:t>BOD</w:t>
            </w:r>
            <w:r>
              <w:rPr>
                <w:color w:val="auto"/>
                <w:vertAlign w:val="subscript"/>
              </w:rPr>
              <w:t>5</w:t>
            </w:r>
            <w:r>
              <w:rPr>
                <w:rFonts w:hint="eastAsia"/>
                <w:color w:val="auto"/>
                <w:vertAlign w:val="subscript"/>
                <w:lang w:eastAsia="zh-CN"/>
              </w:rPr>
              <w:t>(</w:t>
            </w:r>
            <w:r>
              <w:rPr>
                <w:color w:val="auto"/>
              </w:rPr>
              <w:t>t/a</w:t>
            </w:r>
            <w:r>
              <w:rPr>
                <w:rFonts w:hint="eastAsia"/>
                <w:color w:val="auto"/>
                <w:lang w:eastAsia="zh-CN"/>
              </w:rPr>
              <w:t>)</w:t>
            </w:r>
          </w:p>
        </w:tc>
        <w:tc>
          <w:tcPr>
            <w:tcW w:w="1332" w:type="dxa"/>
            <w:noWrap w:val="0"/>
            <w:vAlign w:val="center"/>
          </w:tcPr>
          <w:p w14:paraId="27E82DD2">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406433B1">
            <w:pPr>
              <w:pStyle w:val="78"/>
              <w:bidi w:val="0"/>
              <w:rPr>
                <w:color w:val="auto"/>
              </w:rPr>
            </w:pPr>
            <w:r>
              <w:rPr>
                <w:rFonts w:hint="eastAsia"/>
                <w:color w:val="auto"/>
                <w:lang w:val="en-US" w:eastAsia="zh-CN"/>
              </w:rPr>
              <w:t>/</w:t>
            </w:r>
          </w:p>
        </w:tc>
        <w:tc>
          <w:tcPr>
            <w:tcW w:w="1701" w:type="dxa"/>
            <w:noWrap w:val="0"/>
            <w:vAlign w:val="center"/>
          </w:tcPr>
          <w:p w14:paraId="6DF704A9">
            <w:pPr>
              <w:pStyle w:val="78"/>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2EE0215B">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0.067</w:t>
            </w:r>
          </w:p>
        </w:tc>
        <w:tc>
          <w:tcPr>
            <w:tcW w:w="1761" w:type="dxa"/>
            <w:noWrap w:val="0"/>
            <w:vAlign w:val="center"/>
          </w:tcPr>
          <w:p w14:paraId="42302DED">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71F80EB3">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0.067</w:t>
            </w:r>
          </w:p>
        </w:tc>
        <w:tc>
          <w:tcPr>
            <w:tcW w:w="1122" w:type="dxa"/>
            <w:shd w:val="clear" w:color="auto" w:fill="auto"/>
            <w:noWrap w:val="0"/>
            <w:vAlign w:val="center"/>
          </w:tcPr>
          <w:p w14:paraId="64D6BA15">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r>
              <w:rPr>
                <w:rFonts w:hint="eastAsia" w:cs="Times New Roman"/>
                <w:color w:val="auto"/>
                <w:kern w:val="0"/>
                <w:sz w:val="21"/>
                <w:szCs w:val="20"/>
                <w:lang w:val="en-US" w:eastAsia="zh-CN" w:bidi="ar-SA"/>
              </w:rPr>
              <w:t>0.067</w:t>
            </w:r>
          </w:p>
        </w:tc>
      </w:tr>
      <w:tr w14:paraId="540A1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A3A9702">
            <w:pPr>
              <w:pStyle w:val="78"/>
              <w:bidi w:val="0"/>
              <w:rPr>
                <w:color w:val="auto"/>
              </w:rPr>
            </w:pPr>
          </w:p>
        </w:tc>
        <w:tc>
          <w:tcPr>
            <w:tcW w:w="2145" w:type="dxa"/>
            <w:noWrap w:val="0"/>
            <w:vAlign w:val="center"/>
          </w:tcPr>
          <w:p w14:paraId="2342D640">
            <w:pPr>
              <w:pStyle w:val="78"/>
              <w:bidi w:val="0"/>
              <w:rPr>
                <w:rFonts w:hint="eastAsia" w:eastAsia="宋体"/>
                <w:color w:val="auto"/>
                <w:lang w:eastAsia="zh-CN"/>
              </w:rPr>
            </w:pPr>
            <w:r>
              <w:rPr>
                <w:color w:val="auto"/>
              </w:rPr>
              <w:t>SS</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62AAF00E">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5574E194">
            <w:pPr>
              <w:pStyle w:val="78"/>
              <w:bidi w:val="0"/>
              <w:rPr>
                <w:color w:val="auto"/>
              </w:rPr>
            </w:pPr>
            <w:r>
              <w:rPr>
                <w:rFonts w:hint="eastAsia"/>
                <w:color w:val="auto"/>
                <w:lang w:val="en-US" w:eastAsia="zh-CN"/>
              </w:rPr>
              <w:t>/</w:t>
            </w:r>
          </w:p>
        </w:tc>
        <w:tc>
          <w:tcPr>
            <w:tcW w:w="1701" w:type="dxa"/>
            <w:noWrap w:val="0"/>
            <w:vAlign w:val="center"/>
          </w:tcPr>
          <w:p w14:paraId="06359B49">
            <w:pPr>
              <w:pStyle w:val="78"/>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629A9455">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0.050</w:t>
            </w:r>
          </w:p>
        </w:tc>
        <w:tc>
          <w:tcPr>
            <w:tcW w:w="1761" w:type="dxa"/>
            <w:noWrap w:val="0"/>
            <w:vAlign w:val="center"/>
          </w:tcPr>
          <w:p w14:paraId="5163B8D5">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457EC4E0">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0.050</w:t>
            </w:r>
          </w:p>
        </w:tc>
        <w:tc>
          <w:tcPr>
            <w:tcW w:w="1122" w:type="dxa"/>
            <w:shd w:val="clear" w:color="auto" w:fill="auto"/>
            <w:noWrap w:val="0"/>
            <w:vAlign w:val="center"/>
          </w:tcPr>
          <w:p w14:paraId="67C2696E">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r>
              <w:rPr>
                <w:rFonts w:hint="eastAsia" w:cs="Times New Roman"/>
                <w:color w:val="auto"/>
                <w:kern w:val="0"/>
                <w:sz w:val="21"/>
                <w:szCs w:val="20"/>
                <w:lang w:val="en-US" w:eastAsia="zh-CN" w:bidi="ar-SA"/>
              </w:rPr>
              <w:t>0.050</w:t>
            </w:r>
          </w:p>
        </w:tc>
      </w:tr>
      <w:tr w14:paraId="64910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29" w:type="dxa"/>
            <w:vMerge w:val="continue"/>
            <w:noWrap w:val="0"/>
            <w:vAlign w:val="center"/>
          </w:tcPr>
          <w:p w14:paraId="7F8DF448">
            <w:pPr>
              <w:pStyle w:val="78"/>
              <w:bidi w:val="0"/>
              <w:rPr>
                <w:color w:val="auto"/>
              </w:rPr>
            </w:pPr>
          </w:p>
        </w:tc>
        <w:tc>
          <w:tcPr>
            <w:tcW w:w="2145" w:type="dxa"/>
            <w:noWrap w:val="0"/>
            <w:vAlign w:val="center"/>
          </w:tcPr>
          <w:p w14:paraId="3DEAE997">
            <w:pPr>
              <w:pStyle w:val="78"/>
              <w:bidi w:val="0"/>
              <w:rPr>
                <w:rFonts w:hint="eastAsia" w:eastAsia="宋体"/>
                <w:color w:val="auto"/>
                <w:lang w:eastAsia="zh-CN"/>
              </w:rPr>
            </w:pPr>
            <w:r>
              <w:rPr>
                <w:color w:val="auto"/>
              </w:rPr>
              <w:t>NH</w:t>
            </w:r>
            <w:r>
              <w:rPr>
                <w:color w:val="auto"/>
                <w:vertAlign w:val="subscript"/>
              </w:rPr>
              <w:t>3</w:t>
            </w:r>
            <w:r>
              <w:rPr>
                <w:color w:val="auto"/>
              </w:rPr>
              <w:t>-N</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4C82A0F4">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02FD6125">
            <w:pPr>
              <w:pStyle w:val="78"/>
              <w:bidi w:val="0"/>
              <w:rPr>
                <w:color w:val="auto"/>
              </w:rPr>
            </w:pPr>
            <w:r>
              <w:rPr>
                <w:rFonts w:hint="eastAsia"/>
                <w:color w:val="auto"/>
                <w:lang w:val="en-US" w:eastAsia="zh-CN"/>
              </w:rPr>
              <w:t>/</w:t>
            </w:r>
          </w:p>
        </w:tc>
        <w:tc>
          <w:tcPr>
            <w:tcW w:w="1701" w:type="dxa"/>
            <w:noWrap w:val="0"/>
            <w:vAlign w:val="center"/>
          </w:tcPr>
          <w:p w14:paraId="492AD782">
            <w:pPr>
              <w:pStyle w:val="78"/>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04F56B2D">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0.017</w:t>
            </w:r>
          </w:p>
        </w:tc>
        <w:tc>
          <w:tcPr>
            <w:tcW w:w="1761" w:type="dxa"/>
            <w:noWrap w:val="0"/>
            <w:vAlign w:val="center"/>
          </w:tcPr>
          <w:p w14:paraId="65C65FDD">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032EE34B">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0.017</w:t>
            </w:r>
          </w:p>
        </w:tc>
        <w:tc>
          <w:tcPr>
            <w:tcW w:w="1122" w:type="dxa"/>
            <w:shd w:val="clear" w:color="auto" w:fill="auto"/>
            <w:noWrap w:val="0"/>
            <w:vAlign w:val="center"/>
          </w:tcPr>
          <w:p w14:paraId="242B46CE">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r>
              <w:rPr>
                <w:rFonts w:hint="eastAsia" w:cs="Times New Roman"/>
                <w:color w:val="auto"/>
                <w:kern w:val="0"/>
                <w:sz w:val="21"/>
                <w:szCs w:val="20"/>
                <w:lang w:val="en-US" w:eastAsia="zh-CN" w:bidi="ar-SA"/>
              </w:rPr>
              <w:t>0.017</w:t>
            </w:r>
          </w:p>
        </w:tc>
      </w:tr>
      <w:tr w14:paraId="657AC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173ED7BE">
            <w:pPr>
              <w:pStyle w:val="78"/>
              <w:bidi w:val="0"/>
              <w:rPr>
                <w:color w:val="auto"/>
              </w:rPr>
            </w:pPr>
            <w:r>
              <w:rPr>
                <w:color w:val="auto"/>
              </w:rPr>
              <w:t>一般工业</w:t>
            </w:r>
          </w:p>
          <w:p w14:paraId="4146D966">
            <w:pPr>
              <w:pStyle w:val="78"/>
              <w:bidi w:val="0"/>
              <w:rPr>
                <w:color w:val="auto"/>
              </w:rPr>
            </w:pPr>
            <w:r>
              <w:rPr>
                <w:color w:val="auto"/>
              </w:rPr>
              <w:t>固体废物</w:t>
            </w:r>
          </w:p>
        </w:tc>
        <w:tc>
          <w:tcPr>
            <w:tcW w:w="2145" w:type="dxa"/>
            <w:noWrap w:val="0"/>
            <w:vAlign w:val="center"/>
          </w:tcPr>
          <w:p w14:paraId="3D587CBB">
            <w:pPr>
              <w:pStyle w:val="78"/>
              <w:bidi w:val="0"/>
              <w:rPr>
                <w:rFonts w:hint="default"/>
                <w:color w:val="auto"/>
                <w:lang w:val="en-US" w:eastAsia="zh-CN"/>
              </w:rPr>
            </w:pPr>
            <w:r>
              <w:rPr>
                <w:rFonts w:hint="eastAsia"/>
                <w:color w:val="auto"/>
                <w:lang w:val="en-US" w:eastAsia="zh-CN"/>
              </w:rPr>
              <w:t>塑料边角料及不合格产品（t/a）</w:t>
            </w:r>
          </w:p>
        </w:tc>
        <w:tc>
          <w:tcPr>
            <w:tcW w:w="1332" w:type="dxa"/>
            <w:noWrap w:val="0"/>
            <w:vAlign w:val="center"/>
          </w:tcPr>
          <w:p w14:paraId="1890CA1C">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3AECA964">
            <w:pPr>
              <w:pStyle w:val="78"/>
              <w:bidi w:val="0"/>
              <w:rPr>
                <w:rFonts w:hint="default"/>
                <w:color w:val="auto"/>
                <w:lang w:val="en-US" w:eastAsia="zh-CN"/>
              </w:rPr>
            </w:pPr>
            <w:r>
              <w:rPr>
                <w:rFonts w:hint="eastAsia"/>
                <w:color w:val="auto"/>
                <w:lang w:val="en-US" w:eastAsia="zh-CN"/>
              </w:rPr>
              <w:t>/</w:t>
            </w:r>
          </w:p>
        </w:tc>
        <w:tc>
          <w:tcPr>
            <w:tcW w:w="1701" w:type="dxa"/>
            <w:noWrap w:val="0"/>
            <w:vAlign w:val="center"/>
          </w:tcPr>
          <w:p w14:paraId="0C7BA6F9">
            <w:pPr>
              <w:pStyle w:val="78"/>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15FBA85D">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14.5</w:t>
            </w:r>
          </w:p>
        </w:tc>
        <w:tc>
          <w:tcPr>
            <w:tcW w:w="1761" w:type="dxa"/>
            <w:noWrap w:val="0"/>
            <w:vAlign w:val="center"/>
          </w:tcPr>
          <w:p w14:paraId="1104E2E9">
            <w:pPr>
              <w:pStyle w:val="78"/>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344E62A7">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14.5</w:t>
            </w:r>
          </w:p>
        </w:tc>
        <w:tc>
          <w:tcPr>
            <w:tcW w:w="1122" w:type="dxa"/>
            <w:shd w:val="clear" w:color="auto" w:fill="auto"/>
            <w:noWrap w:val="0"/>
            <w:vAlign w:val="center"/>
          </w:tcPr>
          <w:p w14:paraId="19AD01EB">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+14.5</w:t>
            </w:r>
          </w:p>
        </w:tc>
      </w:tr>
      <w:tr w14:paraId="4D424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7DCB407A">
            <w:pPr>
              <w:pStyle w:val="78"/>
              <w:bidi w:val="0"/>
              <w:rPr>
                <w:color w:val="auto"/>
              </w:rPr>
            </w:pPr>
          </w:p>
        </w:tc>
        <w:tc>
          <w:tcPr>
            <w:tcW w:w="2145" w:type="dxa"/>
            <w:noWrap w:val="0"/>
            <w:vAlign w:val="center"/>
          </w:tcPr>
          <w:p w14:paraId="0BF48AC1">
            <w:pPr>
              <w:pStyle w:val="78"/>
              <w:bidi w:val="0"/>
              <w:rPr>
                <w:rFonts w:hint="default"/>
                <w:color w:val="auto"/>
                <w:lang w:val="en-US" w:eastAsia="zh-CN"/>
              </w:rPr>
            </w:pPr>
            <w:r>
              <w:rPr>
                <w:rFonts w:hint="eastAsia"/>
                <w:color w:val="auto"/>
                <w:lang w:val="en-US" w:eastAsia="zh-CN"/>
              </w:rPr>
              <w:t>废包装材料（t/a）</w:t>
            </w:r>
          </w:p>
        </w:tc>
        <w:tc>
          <w:tcPr>
            <w:tcW w:w="1332" w:type="dxa"/>
            <w:noWrap w:val="0"/>
            <w:vAlign w:val="center"/>
          </w:tcPr>
          <w:p w14:paraId="0ED781AA">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2F32DB3C">
            <w:pPr>
              <w:pStyle w:val="78"/>
              <w:bidi w:val="0"/>
              <w:rPr>
                <w:rFonts w:hint="default"/>
                <w:color w:val="auto"/>
                <w:lang w:val="en-US" w:eastAsia="zh-CN"/>
              </w:rPr>
            </w:pPr>
            <w:r>
              <w:rPr>
                <w:rFonts w:hint="eastAsia"/>
                <w:color w:val="auto"/>
                <w:lang w:val="en-US" w:eastAsia="zh-CN"/>
              </w:rPr>
              <w:t>/</w:t>
            </w:r>
          </w:p>
        </w:tc>
        <w:tc>
          <w:tcPr>
            <w:tcW w:w="1701" w:type="dxa"/>
            <w:noWrap w:val="0"/>
            <w:vAlign w:val="center"/>
          </w:tcPr>
          <w:p w14:paraId="332D5BD5">
            <w:pPr>
              <w:pStyle w:val="78"/>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655868D0">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0.6</w:t>
            </w:r>
          </w:p>
        </w:tc>
        <w:tc>
          <w:tcPr>
            <w:tcW w:w="1761" w:type="dxa"/>
            <w:noWrap w:val="0"/>
            <w:vAlign w:val="center"/>
          </w:tcPr>
          <w:p w14:paraId="05BA9F7E">
            <w:pPr>
              <w:pStyle w:val="78"/>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3162F7AD">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0.6</w:t>
            </w:r>
          </w:p>
        </w:tc>
        <w:tc>
          <w:tcPr>
            <w:tcW w:w="1122" w:type="dxa"/>
            <w:shd w:val="clear" w:color="auto" w:fill="auto"/>
            <w:noWrap w:val="0"/>
            <w:vAlign w:val="center"/>
          </w:tcPr>
          <w:p w14:paraId="7EC39E08">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+0.6</w:t>
            </w:r>
          </w:p>
        </w:tc>
      </w:tr>
      <w:tr w14:paraId="73450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5DE319EA">
            <w:pPr>
              <w:pStyle w:val="78"/>
              <w:bidi w:val="0"/>
              <w:rPr>
                <w:color w:val="auto"/>
              </w:rPr>
            </w:pPr>
            <w:r>
              <w:rPr>
                <w:color w:val="auto"/>
              </w:rPr>
              <w:t>危险废物</w:t>
            </w:r>
          </w:p>
        </w:tc>
        <w:tc>
          <w:tcPr>
            <w:tcW w:w="2145" w:type="dxa"/>
            <w:noWrap w:val="0"/>
            <w:vAlign w:val="center"/>
          </w:tcPr>
          <w:p w14:paraId="22EB6F7B">
            <w:pPr>
              <w:pStyle w:val="78"/>
              <w:bidi w:val="0"/>
              <w:rPr>
                <w:color w:val="auto"/>
                <w:lang w:val="en-US" w:eastAsia="zh-CN"/>
              </w:rPr>
            </w:pPr>
            <w:r>
              <w:rPr>
                <w:rFonts w:hint="eastAsia"/>
                <w:color w:val="auto"/>
                <w:lang w:val="en-US" w:eastAsia="zh-CN"/>
              </w:rPr>
              <w:t>废活性炭（t/a）</w:t>
            </w:r>
          </w:p>
        </w:tc>
        <w:tc>
          <w:tcPr>
            <w:tcW w:w="1332" w:type="dxa"/>
            <w:noWrap w:val="0"/>
            <w:vAlign w:val="center"/>
          </w:tcPr>
          <w:p w14:paraId="701C19CF">
            <w:pPr>
              <w:pStyle w:val="78"/>
              <w:bidi w:val="0"/>
              <w:rPr>
                <w:rFonts w:hint="eastAsia"/>
                <w:color w:val="auto"/>
                <w:lang w:eastAsia="zh-CN"/>
              </w:rPr>
            </w:pPr>
            <w:r>
              <w:rPr>
                <w:rFonts w:hint="eastAsia"/>
                <w:color w:val="auto"/>
                <w:lang w:val="en-US" w:eastAsia="zh-CN"/>
              </w:rPr>
              <w:t>/</w:t>
            </w:r>
          </w:p>
        </w:tc>
        <w:tc>
          <w:tcPr>
            <w:tcW w:w="1276" w:type="dxa"/>
            <w:noWrap w:val="0"/>
            <w:vAlign w:val="center"/>
          </w:tcPr>
          <w:p w14:paraId="14AB3B43">
            <w:pPr>
              <w:pStyle w:val="78"/>
              <w:bidi w:val="0"/>
              <w:rPr>
                <w:color w:val="auto"/>
              </w:rPr>
            </w:pPr>
            <w:r>
              <w:rPr>
                <w:rFonts w:hint="eastAsia"/>
                <w:color w:val="auto"/>
                <w:lang w:val="en-US" w:eastAsia="zh-CN"/>
              </w:rPr>
              <w:t>/</w:t>
            </w:r>
          </w:p>
        </w:tc>
        <w:tc>
          <w:tcPr>
            <w:tcW w:w="1701" w:type="dxa"/>
            <w:noWrap w:val="0"/>
            <w:vAlign w:val="center"/>
          </w:tcPr>
          <w:p w14:paraId="4E4F8D4D">
            <w:pPr>
              <w:pStyle w:val="78"/>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4F579546">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24.102</w:t>
            </w:r>
          </w:p>
        </w:tc>
        <w:tc>
          <w:tcPr>
            <w:tcW w:w="1761" w:type="dxa"/>
            <w:noWrap w:val="0"/>
            <w:vAlign w:val="center"/>
          </w:tcPr>
          <w:p w14:paraId="7D0DB365">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6E00E9E0">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24.102</w:t>
            </w:r>
          </w:p>
        </w:tc>
        <w:tc>
          <w:tcPr>
            <w:tcW w:w="1122" w:type="dxa"/>
            <w:shd w:val="clear" w:color="auto" w:fill="auto"/>
            <w:noWrap w:val="0"/>
            <w:vAlign w:val="center"/>
          </w:tcPr>
          <w:p w14:paraId="01D6F24A">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+24.102</w:t>
            </w:r>
          </w:p>
        </w:tc>
      </w:tr>
      <w:tr w14:paraId="3221D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8C021F0">
            <w:pPr>
              <w:pStyle w:val="78"/>
              <w:bidi w:val="0"/>
              <w:rPr>
                <w:color w:val="auto"/>
              </w:rPr>
            </w:pPr>
          </w:p>
        </w:tc>
        <w:tc>
          <w:tcPr>
            <w:tcW w:w="2145" w:type="dxa"/>
            <w:noWrap w:val="0"/>
            <w:vAlign w:val="center"/>
          </w:tcPr>
          <w:p w14:paraId="08C996F0">
            <w:pPr>
              <w:pStyle w:val="55"/>
              <w:bidi w:val="0"/>
              <w:rPr>
                <w:rFonts w:hint="eastAsia"/>
                <w:color w:val="auto"/>
                <w:lang w:val="en-US" w:eastAsia="zh-CN"/>
              </w:rPr>
            </w:pPr>
            <w:r>
              <w:rPr>
                <w:rFonts w:hint="eastAsia"/>
                <w:color w:val="auto"/>
                <w:lang w:val="en-US" w:eastAsia="zh-CN"/>
              </w:rPr>
              <w:t>废机油（t/a）</w:t>
            </w:r>
          </w:p>
        </w:tc>
        <w:tc>
          <w:tcPr>
            <w:tcW w:w="1332" w:type="dxa"/>
            <w:noWrap w:val="0"/>
            <w:vAlign w:val="center"/>
          </w:tcPr>
          <w:p w14:paraId="7B198C5A">
            <w:pPr>
              <w:pStyle w:val="78"/>
              <w:bidi w:val="0"/>
              <w:rPr>
                <w:rFonts w:hint="eastAsia"/>
                <w:color w:val="auto"/>
                <w:lang w:val="en-US" w:eastAsia="zh-CN"/>
              </w:rPr>
            </w:pPr>
            <w:r>
              <w:rPr>
                <w:rFonts w:hint="eastAsia"/>
                <w:color w:val="auto"/>
                <w:lang w:val="en-US" w:eastAsia="zh-CN"/>
              </w:rPr>
              <w:t>/</w:t>
            </w:r>
          </w:p>
        </w:tc>
        <w:tc>
          <w:tcPr>
            <w:tcW w:w="1276" w:type="dxa"/>
            <w:noWrap w:val="0"/>
            <w:vAlign w:val="center"/>
          </w:tcPr>
          <w:p w14:paraId="6BAD7C13">
            <w:pPr>
              <w:pStyle w:val="78"/>
              <w:bidi w:val="0"/>
              <w:rPr>
                <w:rFonts w:hint="eastAsia"/>
                <w:color w:val="auto"/>
                <w:lang w:val="en-US" w:eastAsia="zh-CN"/>
              </w:rPr>
            </w:pPr>
            <w:r>
              <w:rPr>
                <w:rFonts w:hint="eastAsia"/>
                <w:color w:val="auto"/>
                <w:lang w:val="en-US" w:eastAsia="zh-CN"/>
              </w:rPr>
              <w:t>/</w:t>
            </w:r>
          </w:p>
        </w:tc>
        <w:tc>
          <w:tcPr>
            <w:tcW w:w="1701" w:type="dxa"/>
            <w:noWrap w:val="0"/>
            <w:vAlign w:val="center"/>
          </w:tcPr>
          <w:p w14:paraId="613EA760">
            <w:pPr>
              <w:pStyle w:val="78"/>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79AEA46C">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761" w:type="dxa"/>
            <w:noWrap w:val="0"/>
            <w:vAlign w:val="center"/>
          </w:tcPr>
          <w:p w14:paraId="19D0F543">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4D5726CF">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122" w:type="dxa"/>
            <w:shd w:val="clear" w:color="auto" w:fill="auto"/>
            <w:noWrap w:val="0"/>
            <w:vAlign w:val="center"/>
          </w:tcPr>
          <w:p w14:paraId="39D2CF15">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r>
      <w:tr w14:paraId="191FD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28A1AA50">
            <w:pPr>
              <w:pStyle w:val="78"/>
              <w:bidi w:val="0"/>
              <w:rPr>
                <w:color w:val="auto"/>
              </w:rPr>
            </w:pPr>
          </w:p>
        </w:tc>
        <w:tc>
          <w:tcPr>
            <w:tcW w:w="2145" w:type="dxa"/>
            <w:noWrap w:val="0"/>
            <w:vAlign w:val="center"/>
          </w:tcPr>
          <w:p w14:paraId="5B1DEEB7">
            <w:pPr>
              <w:keepNext w:val="0"/>
              <w:keepLines w:val="0"/>
              <w:pageBreakBefore w:val="0"/>
              <w:widowControl w:val="0"/>
              <w:kinsoku/>
              <w:wordWrap/>
              <w:overflowPunct/>
              <w:topLinePunct/>
              <w:autoSpaceDE/>
              <w:autoSpaceDN/>
              <w:bidi w:val="0"/>
              <w:jc w:val="center"/>
              <w:textAlignment w:val="auto"/>
              <w:rPr>
                <w:rFonts w:hint="default"/>
                <w:color w:val="auto"/>
                <w:lang w:val="en-US" w:eastAsia="zh-CN"/>
              </w:rPr>
            </w:pPr>
            <w:r>
              <w:rPr>
                <w:rFonts w:hint="default" w:ascii="Times New Roman" w:hAnsi="Times New Roman" w:eastAsia="宋体" w:cs="Times New Roman"/>
                <w:color w:val="000000"/>
                <w:kern w:val="0"/>
                <w:sz w:val="21"/>
                <w:szCs w:val="21"/>
                <w:lang w:eastAsia="zh-CN"/>
              </w:rPr>
              <w:t>沾染油墨的抹布</w:t>
            </w:r>
          </w:p>
        </w:tc>
        <w:tc>
          <w:tcPr>
            <w:tcW w:w="1332" w:type="dxa"/>
            <w:noWrap w:val="0"/>
            <w:vAlign w:val="center"/>
          </w:tcPr>
          <w:p w14:paraId="026938AD">
            <w:pPr>
              <w:pStyle w:val="78"/>
              <w:bidi w:val="0"/>
              <w:rPr>
                <w:rFonts w:hint="eastAsia"/>
                <w:color w:val="auto"/>
                <w:lang w:val="en-US" w:eastAsia="zh-CN"/>
              </w:rPr>
            </w:pPr>
            <w:r>
              <w:rPr>
                <w:rFonts w:hint="eastAsia"/>
                <w:color w:val="auto"/>
                <w:lang w:val="en-US" w:eastAsia="zh-CN"/>
              </w:rPr>
              <w:t>/</w:t>
            </w:r>
          </w:p>
        </w:tc>
        <w:tc>
          <w:tcPr>
            <w:tcW w:w="1276" w:type="dxa"/>
            <w:noWrap w:val="0"/>
            <w:vAlign w:val="center"/>
          </w:tcPr>
          <w:p w14:paraId="2332F7B5">
            <w:pPr>
              <w:pStyle w:val="78"/>
              <w:bidi w:val="0"/>
              <w:rPr>
                <w:rFonts w:hint="eastAsia"/>
                <w:color w:val="auto"/>
                <w:lang w:val="en-US" w:eastAsia="zh-CN"/>
              </w:rPr>
            </w:pPr>
            <w:r>
              <w:rPr>
                <w:rFonts w:hint="eastAsia"/>
                <w:color w:val="auto"/>
                <w:lang w:val="en-US" w:eastAsia="zh-CN"/>
              </w:rPr>
              <w:t>/</w:t>
            </w:r>
          </w:p>
        </w:tc>
        <w:tc>
          <w:tcPr>
            <w:tcW w:w="1701" w:type="dxa"/>
            <w:noWrap w:val="0"/>
            <w:vAlign w:val="center"/>
          </w:tcPr>
          <w:p w14:paraId="27F56A4C">
            <w:pPr>
              <w:pStyle w:val="78"/>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00458025">
            <w:pPr>
              <w:pStyle w:val="78"/>
              <w:bidi w:val="0"/>
              <w:rPr>
                <w:rFonts w:hint="default"/>
                <w:color w:val="auto"/>
                <w:lang w:val="en-US" w:eastAsia="zh-CN"/>
              </w:rPr>
            </w:pPr>
            <w:r>
              <w:rPr>
                <w:rFonts w:hint="eastAsia"/>
                <w:color w:val="auto"/>
                <w:lang w:val="en-US" w:eastAsia="zh-CN"/>
              </w:rPr>
              <w:t>0.6</w:t>
            </w:r>
          </w:p>
        </w:tc>
        <w:tc>
          <w:tcPr>
            <w:tcW w:w="1761" w:type="dxa"/>
            <w:noWrap w:val="0"/>
            <w:vAlign w:val="center"/>
          </w:tcPr>
          <w:p w14:paraId="1DAC5078">
            <w:pPr>
              <w:pStyle w:val="78"/>
              <w:bidi w:val="0"/>
              <w:rPr>
                <w:rFonts w:hint="eastAsia"/>
                <w:color w:val="auto"/>
                <w:lang w:val="en-US" w:eastAsia="zh-CN"/>
              </w:rPr>
            </w:pPr>
            <w:r>
              <w:rPr>
                <w:rFonts w:hint="eastAsia"/>
                <w:color w:val="auto"/>
                <w:lang w:val="en-US" w:eastAsia="zh-CN"/>
              </w:rPr>
              <w:t>/</w:t>
            </w:r>
          </w:p>
        </w:tc>
        <w:tc>
          <w:tcPr>
            <w:tcW w:w="1959" w:type="dxa"/>
            <w:shd w:val="clear" w:color="auto" w:fill="auto"/>
            <w:noWrap w:val="0"/>
            <w:vAlign w:val="center"/>
          </w:tcPr>
          <w:p w14:paraId="5C0E383B">
            <w:pPr>
              <w:pStyle w:val="78"/>
              <w:bidi w:val="0"/>
              <w:rPr>
                <w:rFonts w:hint="eastAsia"/>
                <w:color w:val="auto"/>
                <w:lang w:val="en-US" w:eastAsia="zh-CN"/>
              </w:rPr>
            </w:pPr>
            <w:r>
              <w:rPr>
                <w:rFonts w:hint="eastAsia"/>
                <w:color w:val="auto"/>
                <w:lang w:val="en-US" w:eastAsia="zh-CN"/>
              </w:rPr>
              <w:t>0.6</w:t>
            </w:r>
          </w:p>
        </w:tc>
        <w:tc>
          <w:tcPr>
            <w:tcW w:w="1122" w:type="dxa"/>
            <w:shd w:val="clear" w:color="auto" w:fill="auto"/>
            <w:noWrap w:val="0"/>
            <w:vAlign w:val="center"/>
          </w:tcPr>
          <w:p w14:paraId="0E2269D9">
            <w:pPr>
              <w:pStyle w:val="78"/>
              <w:bidi w:val="0"/>
              <w:rPr>
                <w:rFonts w:hint="eastAsia"/>
                <w:color w:val="auto"/>
                <w:lang w:val="en-US" w:eastAsia="zh-CN"/>
              </w:rPr>
            </w:pPr>
            <w:r>
              <w:rPr>
                <w:rFonts w:hint="eastAsia"/>
                <w:color w:val="auto"/>
                <w:lang w:val="en-US" w:eastAsia="zh-CN"/>
              </w:rPr>
              <w:t>+0.6</w:t>
            </w:r>
          </w:p>
        </w:tc>
      </w:tr>
      <w:tr w14:paraId="1F061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64BB540F">
            <w:pPr>
              <w:pStyle w:val="78"/>
              <w:bidi w:val="0"/>
              <w:rPr>
                <w:color w:val="auto"/>
              </w:rPr>
            </w:pPr>
          </w:p>
        </w:tc>
        <w:tc>
          <w:tcPr>
            <w:tcW w:w="2145" w:type="dxa"/>
            <w:noWrap w:val="0"/>
            <w:vAlign w:val="center"/>
          </w:tcPr>
          <w:p w14:paraId="7A1B651F">
            <w:pPr>
              <w:keepNext w:val="0"/>
              <w:keepLines w:val="0"/>
              <w:pageBreakBefore w:val="0"/>
              <w:widowControl w:val="0"/>
              <w:kinsoku/>
              <w:wordWrap/>
              <w:overflowPunct/>
              <w:topLinePunct/>
              <w:autoSpaceDE/>
              <w:autoSpaceDN/>
              <w:bidi w:val="0"/>
              <w:jc w:val="center"/>
              <w:textAlignment w:val="auto"/>
              <w:rPr>
                <w:rFonts w:hint="default"/>
                <w:color w:val="auto"/>
                <w:lang w:val="en-US" w:eastAsia="zh-CN"/>
              </w:rPr>
            </w:pPr>
            <w:r>
              <w:rPr>
                <w:rFonts w:hint="default" w:ascii="Times New Roman" w:hAnsi="Times New Roman" w:eastAsia="宋体" w:cs="Times New Roman"/>
                <w:color w:val="000000"/>
                <w:kern w:val="0"/>
                <w:sz w:val="21"/>
                <w:szCs w:val="21"/>
                <w:lang w:eastAsia="zh-CN"/>
              </w:rPr>
              <w:t>油墨空桶、稀释剂空桶、胶水空桶</w:t>
            </w:r>
          </w:p>
        </w:tc>
        <w:tc>
          <w:tcPr>
            <w:tcW w:w="1332" w:type="dxa"/>
            <w:noWrap w:val="0"/>
            <w:vAlign w:val="center"/>
          </w:tcPr>
          <w:p w14:paraId="5BDBB288">
            <w:pPr>
              <w:pStyle w:val="78"/>
              <w:bidi w:val="0"/>
              <w:rPr>
                <w:rFonts w:hint="eastAsia"/>
                <w:color w:val="auto"/>
                <w:lang w:val="en-US" w:eastAsia="zh-CN"/>
              </w:rPr>
            </w:pPr>
            <w:r>
              <w:rPr>
                <w:rFonts w:hint="eastAsia"/>
                <w:color w:val="auto"/>
                <w:lang w:val="en-US" w:eastAsia="zh-CN"/>
              </w:rPr>
              <w:t>/</w:t>
            </w:r>
          </w:p>
        </w:tc>
        <w:tc>
          <w:tcPr>
            <w:tcW w:w="1276" w:type="dxa"/>
            <w:noWrap w:val="0"/>
            <w:vAlign w:val="center"/>
          </w:tcPr>
          <w:p w14:paraId="5799E812">
            <w:pPr>
              <w:pStyle w:val="78"/>
              <w:bidi w:val="0"/>
              <w:rPr>
                <w:rFonts w:hint="eastAsia"/>
                <w:color w:val="auto"/>
                <w:lang w:val="en-US" w:eastAsia="zh-CN"/>
              </w:rPr>
            </w:pPr>
            <w:r>
              <w:rPr>
                <w:rFonts w:hint="eastAsia"/>
                <w:color w:val="auto"/>
                <w:lang w:val="en-US" w:eastAsia="zh-CN"/>
              </w:rPr>
              <w:t>/</w:t>
            </w:r>
          </w:p>
        </w:tc>
        <w:tc>
          <w:tcPr>
            <w:tcW w:w="1701" w:type="dxa"/>
            <w:noWrap w:val="0"/>
            <w:vAlign w:val="center"/>
          </w:tcPr>
          <w:p w14:paraId="79A2BFF7">
            <w:pPr>
              <w:pStyle w:val="78"/>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65A73534">
            <w:pPr>
              <w:pStyle w:val="78"/>
              <w:bidi w:val="0"/>
              <w:rPr>
                <w:rFonts w:hint="default"/>
                <w:color w:val="auto"/>
                <w:lang w:val="en-US" w:eastAsia="zh-CN"/>
              </w:rPr>
            </w:pPr>
            <w:r>
              <w:rPr>
                <w:rFonts w:hint="eastAsia"/>
                <w:color w:val="auto"/>
                <w:lang w:val="en-US" w:eastAsia="zh-CN"/>
              </w:rPr>
              <w:t>0.5</w:t>
            </w:r>
          </w:p>
        </w:tc>
        <w:tc>
          <w:tcPr>
            <w:tcW w:w="1761" w:type="dxa"/>
            <w:noWrap w:val="0"/>
            <w:vAlign w:val="center"/>
          </w:tcPr>
          <w:p w14:paraId="44694901">
            <w:pPr>
              <w:pStyle w:val="78"/>
              <w:bidi w:val="0"/>
              <w:rPr>
                <w:rFonts w:hint="eastAsia"/>
                <w:color w:val="auto"/>
                <w:lang w:val="en-US" w:eastAsia="zh-CN"/>
              </w:rPr>
            </w:pPr>
            <w:r>
              <w:rPr>
                <w:rFonts w:hint="eastAsia"/>
                <w:color w:val="auto"/>
                <w:lang w:val="en-US" w:eastAsia="zh-CN"/>
              </w:rPr>
              <w:t>/</w:t>
            </w:r>
          </w:p>
        </w:tc>
        <w:tc>
          <w:tcPr>
            <w:tcW w:w="1959" w:type="dxa"/>
            <w:shd w:val="clear" w:color="auto" w:fill="auto"/>
            <w:noWrap w:val="0"/>
            <w:vAlign w:val="center"/>
          </w:tcPr>
          <w:p w14:paraId="4D90D8A3">
            <w:pPr>
              <w:pStyle w:val="78"/>
              <w:bidi w:val="0"/>
              <w:rPr>
                <w:rFonts w:hint="eastAsia"/>
                <w:color w:val="auto"/>
                <w:lang w:val="en-US" w:eastAsia="zh-CN"/>
              </w:rPr>
            </w:pPr>
            <w:r>
              <w:rPr>
                <w:rFonts w:hint="eastAsia"/>
                <w:color w:val="auto"/>
                <w:lang w:val="en-US" w:eastAsia="zh-CN"/>
              </w:rPr>
              <w:t>0.5</w:t>
            </w:r>
          </w:p>
        </w:tc>
        <w:tc>
          <w:tcPr>
            <w:tcW w:w="1122" w:type="dxa"/>
            <w:shd w:val="clear" w:color="auto" w:fill="auto"/>
            <w:noWrap w:val="0"/>
            <w:vAlign w:val="center"/>
          </w:tcPr>
          <w:p w14:paraId="3F2A6925">
            <w:pPr>
              <w:pStyle w:val="78"/>
              <w:bidi w:val="0"/>
              <w:rPr>
                <w:rFonts w:hint="eastAsia"/>
                <w:color w:val="auto"/>
                <w:lang w:val="en-US" w:eastAsia="zh-CN"/>
              </w:rPr>
            </w:pPr>
            <w:r>
              <w:rPr>
                <w:rFonts w:hint="eastAsia"/>
                <w:color w:val="auto"/>
                <w:lang w:val="en-US" w:eastAsia="zh-CN"/>
              </w:rPr>
              <w:t>+0.5</w:t>
            </w:r>
          </w:p>
        </w:tc>
      </w:tr>
      <w:tr w14:paraId="0876D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noWrap w:val="0"/>
            <w:vAlign w:val="center"/>
          </w:tcPr>
          <w:p w14:paraId="60037590">
            <w:pPr>
              <w:pStyle w:val="78"/>
              <w:bidi w:val="0"/>
              <w:rPr>
                <w:rFonts w:hint="eastAsia"/>
                <w:color w:val="auto"/>
                <w:lang w:val="en-US" w:eastAsia="zh-CN"/>
              </w:rPr>
            </w:pPr>
            <w:r>
              <w:rPr>
                <w:rFonts w:hint="eastAsia"/>
                <w:color w:val="auto"/>
                <w:lang w:val="en-US" w:eastAsia="zh-CN"/>
              </w:rPr>
              <w:t>生活垃圾</w:t>
            </w:r>
          </w:p>
        </w:tc>
        <w:tc>
          <w:tcPr>
            <w:tcW w:w="2145" w:type="dxa"/>
            <w:noWrap w:val="0"/>
            <w:vAlign w:val="center"/>
          </w:tcPr>
          <w:p w14:paraId="38B8BB9D">
            <w:pPr>
              <w:pStyle w:val="78"/>
              <w:bidi w:val="0"/>
              <w:rPr>
                <w:rFonts w:hint="eastAsia"/>
                <w:color w:val="auto"/>
                <w:lang w:val="en-US" w:eastAsia="zh-CN"/>
              </w:rPr>
            </w:pPr>
            <w:r>
              <w:rPr>
                <w:rFonts w:hint="eastAsia"/>
                <w:color w:val="auto"/>
                <w:lang w:val="en-US" w:eastAsia="zh-CN"/>
              </w:rPr>
              <w:t>生活垃圾</w:t>
            </w:r>
          </w:p>
        </w:tc>
        <w:tc>
          <w:tcPr>
            <w:tcW w:w="1332" w:type="dxa"/>
            <w:noWrap w:val="0"/>
            <w:vAlign w:val="center"/>
          </w:tcPr>
          <w:p w14:paraId="72B402E3">
            <w:pPr>
              <w:pStyle w:val="78"/>
              <w:bidi w:val="0"/>
              <w:rPr>
                <w:rFonts w:hint="default"/>
                <w:color w:val="auto"/>
                <w:lang w:val="en-US" w:eastAsia="zh-CN"/>
              </w:rPr>
            </w:pPr>
            <w:r>
              <w:rPr>
                <w:rFonts w:hint="eastAsia"/>
                <w:color w:val="auto"/>
                <w:lang w:val="en-US" w:eastAsia="zh-CN"/>
              </w:rPr>
              <w:t>/</w:t>
            </w:r>
          </w:p>
        </w:tc>
        <w:tc>
          <w:tcPr>
            <w:tcW w:w="1276" w:type="dxa"/>
            <w:noWrap w:val="0"/>
            <w:vAlign w:val="center"/>
          </w:tcPr>
          <w:p w14:paraId="3027CEEB">
            <w:pPr>
              <w:pStyle w:val="78"/>
              <w:bidi w:val="0"/>
              <w:rPr>
                <w:rFonts w:hint="eastAsia"/>
                <w:color w:val="auto"/>
              </w:rPr>
            </w:pPr>
            <w:r>
              <w:rPr>
                <w:rFonts w:hint="eastAsia"/>
                <w:color w:val="auto"/>
                <w:lang w:val="en-US" w:eastAsia="zh-CN"/>
              </w:rPr>
              <w:t>/</w:t>
            </w:r>
          </w:p>
        </w:tc>
        <w:tc>
          <w:tcPr>
            <w:tcW w:w="1701" w:type="dxa"/>
            <w:noWrap w:val="0"/>
            <w:vAlign w:val="center"/>
          </w:tcPr>
          <w:p w14:paraId="243BBAC8">
            <w:pPr>
              <w:pStyle w:val="78"/>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5052D42B">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9</w:t>
            </w:r>
          </w:p>
        </w:tc>
        <w:tc>
          <w:tcPr>
            <w:tcW w:w="1761" w:type="dxa"/>
            <w:noWrap w:val="0"/>
            <w:vAlign w:val="center"/>
          </w:tcPr>
          <w:p w14:paraId="104D1B3D">
            <w:pPr>
              <w:pStyle w:val="78"/>
              <w:bidi w:val="0"/>
              <w:rPr>
                <w:rFonts w:hint="eastAsia"/>
                <w:color w:val="auto"/>
              </w:rPr>
            </w:pPr>
            <w:r>
              <w:rPr>
                <w:rFonts w:hint="eastAsia"/>
                <w:color w:val="auto"/>
                <w:lang w:val="en-US" w:eastAsia="zh-CN"/>
              </w:rPr>
              <w:t>/</w:t>
            </w:r>
          </w:p>
        </w:tc>
        <w:tc>
          <w:tcPr>
            <w:tcW w:w="1959" w:type="dxa"/>
            <w:shd w:val="clear" w:color="auto" w:fill="auto"/>
            <w:noWrap w:val="0"/>
            <w:vAlign w:val="center"/>
          </w:tcPr>
          <w:p w14:paraId="0CCE8DAD">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9</w:t>
            </w:r>
          </w:p>
        </w:tc>
        <w:tc>
          <w:tcPr>
            <w:tcW w:w="1122" w:type="dxa"/>
            <w:shd w:val="clear" w:color="auto" w:fill="auto"/>
            <w:noWrap w:val="0"/>
            <w:vAlign w:val="center"/>
          </w:tcPr>
          <w:p w14:paraId="6046A677">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+9</w:t>
            </w:r>
          </w:p>
        </w:tc>
      </w:tr>
    </w:tbl>
    <w:p w14:paraId="6E308452">
      <w:pPr>
        <w:pStyle w:val="16"/>
        <w:bidi w:val="0"/>
        <w:rPr>
          <w:color w:val="auto"/>
        </w:rPr>
        <w:sectPr>
          <w:footerReference r:id="rId5" w:type="default"/>
          <w:pgSz w:w="16838" w:h="11906" w:orient="landscape"/>
          <w:pgMar w:top="1417" w:right="1417"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p w14:paraId="3187A0B1">
      <w:pPr>
        <w:pStyle w:val="4"/>
        <w:bidi w:val="0"/>
        <w:rPr>
          <w:rFonts w:hint="default"/>
          <w:lang w:val="en-US" w:eastAsia="zh-CN"/>
        </w:rPr>
      </w:pPr>
      <w:r>
        <w:rPr>
          <w:rFonts w:hint="eastAsia"/>
          <w:lang w:val="en-US" w:eastAsia="zh-CN"/>
        </w:rPr>
        <w:t>附件：关于环评文件公开文本的删除依据和理由说明</w:t>
      </w:r>
    </w:p>
    <w:p w14:paraId="01BA1713">
      <w:pPr>
        <w:rPr>
          <w:rFonts w:hint="default"/>
          <w:lang w:val="en-US" w:eastAsia="zh-CN"/>
        </w:rPr>
      </w:pPr>
      <w:r>
        <w:rPr>
          <w:rFonts w:hint="default"/>
          <w:lang w:val="en-US" w:eastAsia="zh-CN"/>
        </w:rPr>
        <w:drawing>
          <wp:inline distT="0" distB="0" distL="114300" distR="114300">
            <wp:extent cx="5744210" cy="8122285"/>
            <wp:effectExtent l="0" t="0" r="8890" b="12065"/>
            <wp:docPr id="205" name="图片 205" descr="环评签字材料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环评签字材料_08"/>
                    <pic:cNvPicPr>
                      <a:picLocks noChangeAspect="1"/>
                    </pic:cNvPicPr>
                  </pic:nvPicPr>
                  <pic:blipFill>
                    <a:blip r:embed="rId43"/>
                    <a:stretch>
                      <a:fillRect/>
                    </a:stretch>
                  </pic:blipFill>
                  <pic:spPr>
                    <a:xfrm>
                      <a:off x="0" y="0"/>
                      <a:ext cx="5744210" cy="8122285"/>
                    </a:xfrm>
                    <a:prstGeom prst="rect">
                      <a:avLst/>
                    </a:prstGeom>
                  </pic:spPr>
                </pic:pic>
              </a:graphicData>
            </a:graphic>
          </wp:inline>
        </w:drawing>
      </w:r>
      <w:r>
        <w:rPr>
          <w:rFonts w:hint="default"/>
          <w:lang w:val="en-US" w:eastAsia="zh-CN"/>
        </w:rPr>
        <w:drawing>
          <wp:inline distT="0" distB="0" distL="114300" distR="114300">
            <wp:extent cx="5744210" cy="8122285"/>
            <wp:effectExtent l="0" t="0" r="8890" b="12065"/>
            <wp:docPr id="206" name="图片 206" descr="环评签字材料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环评签字材料_06"/>
                    <pic:cNvPicPr>
                      <a:picLocks noChangeAspect="1"/>
                    </pic:cNvPicPr>
                  </pic:nvPicPr>
                  <pic:blipFill>
                    <a:blip r:embed="rId44"/>
                    <a:stretch>
                      <a:fillRect/>
                    </a:stretch>
                  </pic:blipFill>
                  <pic:spPr>
                    <a:xfrm>
                      <a:off x="0" y="0"/>
                      <a:ext cx="5744210" cy="8122285"/>
                    </a:xfrm>
                    <a:prstGeom prst="rect">
                      <a:avLst/>
                    </a:prstGeom>
                  </pic:spPr>
                </pic:pic>
              </a:graphicData>
            </a:graphic>
          </wp:inline>
        </w:drawing>
      </w:r>
    </w:p>
    <w:p w14:paraId="58327653">
      <w:pPr>
        <w:rPr>
          <w:rFonts w:hint="default"/>
          <w:lang w:val="en-US" w:eastAsia="zh-CN"/>
        </w:rPr>
      </w:pPr>
    </w:p>
    <w:sectPr>
      <w:footerReference r:id="rId6"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2FBBC">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078D">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B5009">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14:paraId="6CCB5009">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E6530">
    <w:pPr>
      <w:pStyle w:val="1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B860F">
                          <w:pPr>
                            <w:pStyle w:val="18"/>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14:paraId="2ADB860F">
                    <w:pPr>
                      <w:pStyle w:val="1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6088">
    <w:pPr>
      <w:pStyle w:val="18"/>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34ABD">
                          <w:pPr>
                            <w:pStyle w:val="18"/>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14:paraId="78534ABD">
                    <w:pPr>
                      <w:pStyle w:val="1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6ACC"/>
    <w:multiLevelType w:val="singleLevel"/>
    <w:tmpl w:val="89B46ACC"/>
    <w:lvl w:ilvl="0" w:tentative="0">
      <w:start w:val="2"/>
      <w:numFmt w:val="chineseCounting"/>
      <w:suff w:val="nothing"/>
      <w:lvlText w:val="%1、"/>
      <w:lvlJc w:val="left"/>
      <w:rPr>
        <w:rFonts w:hint="eastAsia"/>
      </w:rPr>
    </w:lvl>
  </w:abstractNum>
  <w:abstractNum w:abstractNumId="1">
    <w:nsid w:val="8A89E824"/>
    <w:multiLevelType w:val="singleLevel"/>
    <w:tmpl w:val="8A89E824"/>
    <w:lvl w:ilvl="0" w:tentative="0">
      <w:start w:val="2"/>
      <w:numFmt w:val="chineseCounting"/>
      <w:suff w:val="nothing"/>
      <w:lvlText w:val="（%1）"/>
      <w:lvlJc w:val="left"/>
      <w:rPr>
        <w:rFonts w:hint="eastAsia"/>
      </w:rPr>
    </w:lvl>
  </w:abstractNum>
  <w:abstractNum w:abstractNumId="2">
    <w:nsid w:val="E17324D8"/>
    <w:multiLevelType w:val="singleLevel"/>
    <w:tmpl w:val="E17324D8"/>
    <w:lvl w:ilvl="0" w:tentative="0">
      <w:start w:val="1"/>
      <w:numFmt w:val="decimal"/>
      <w:lvlText w:val="(%1)"/>
      <w:lvlJc w:val="left"/>
      <w:pPr>
        <w:ind w:left="425" w:hanging="425"/>
      </w:pPr>
      <w:rPr>
        <w:rFonts w:hint="default"/>
      </w:rPr>
    </w:lvl>
  </w:abstractNum>
  <w:abstractNum w:abstractNumId="3">
    <w:nsid w:val="002B350F"/>
    <w:multiLevelType w:val="singleLevel"/>
    <w:tmpl w:val="002B350F"/>
    <w:lvl w:ilvl="0" w:tentative="0">
      <w:start w:val="1"/>
      <w:numFmt w:val="decimal"/>
      <w:suff w:val="nothing"/>
      <w:lvlText w:val="%1、"/>
      <w:lvlJc w:val="left"/>
    </w:lvl>
  </w:abstractNum>
  <w:abstractNum w:abstractNumId="4">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6833FA05"/>
    <w:multiLevelType w:val="singleLevel"/>
    <w:tmpl w:val="6833FA05"/>
    <w:lvl w:ilvl="0" w:tentative="0">
      <w:start w:val="1"/>
      <w:numFmt w:val="decimal"/>
      <w:suff w:val="nothing"/>
      <w:lvlText w:val="%1、"/>
      <w:lvlJc w:val="left"/>
    </w:lvl>
  </w:abstractNum>
  <w:abstractNum w:abstractNumId="6">
    <w:nsid w:val="6D196F0D"/>
    <w:multiLevelType w:val="multilevel"/>
    <w:tmpl w:val="6D196F0D"/>
    <w:lvl w:ilvl="0" w:tentative="0">
      <w:start w:val="1"/>
      <w:numFmt w:val="chineseCounting"/>
      <w:suff w:val="nothing"/>
      <w:lvlText w:val="%1、"/>
      <w:lvlJc w:val="left"/>
      <w:pPr>
        <w:tabs>
          <w:tab w:val="left" w:pos="0"/>
        </w:tabs>
        <w:ind w:left="432" w:hanging="432"/>
      </w:pPr>
      <w:rPr>
        <w:rFonts w:hint="eastAsia" w:ascii="宋体" w:hAnsi="宋体" w:eastAsia="宋体" w:cs="宋体"/>
        <w:b/>
        <w:bCs/>
        <w:sz w:val="32"/>
        <w:szCs w:val="32"/>
      </w:rPr>
    </w:lvl>
    <w:lvl w:ilvl="1" w:tentative="0">
      <w:start w:val="1"/>
      <w:numFmt w:val="decimal"/>
      <w:isLgl/>
      <w:suff w:val="space"/>
      <w:lvlText w:val="%1.%2"/>
      <w:lvlJc w:val="left"/>
      <w:pPr>
        <w:tabs>
          <w:tab w:val="left" w:pos="420"/>
        </w:tabs>
        <w:ind w:left="0" w:firstLine="0"/>
      </w:pPr>
      <w:rPr>
        <w:rFonts w:hint="default" w:ascii="Times New Roman" w:hAnsi="Times New Roman" w:eastAsia="宋体" w:cs="Times New Roman"/>
        <w:b/>
        <w:bCs/>
        <w:sz w:val="30"/>
        <w:szCs w:val="30"/>
      </w:rPr>
    </w:lvl>
    <w:lvl w:ilvl="2" w:tentative="0">
      <w:start w:val="1"/>
      <w:numFmt w:val="decimal"/>
      <w:isLgl/>
      <w:suff w:val="space"/>
      <w:lvlText w:val="%1.%2.%3"/>
      <w:lvlJc w:val="left"/>
      <w:pPr>
        <w:tabs>
          <w:tab w:val="left" w:pos="0"/>
        </w:tabs>
        <w:ind w:left="720" w:hanging="720"/>
      </w:pPr>
      <w:rPr>
        <w:rFonts w:hint="default" w:ascii="Times New Roman" w:hAnsi="Times New Roman" w:eastAsia="宋体" w:cs="Times New Roman"/>
        <w:b/>
        <w:bCs/>
        <w:sz w:val="24"/>
        <w:szCs w:val="28"/>
      </w:rPr>
    </w:lvl>
    <w:lvl w:ilvl="3" w:tentative="0">
      <w:start w:val="1"/>
      <w:numFmt w:val="decimal"/>
      <w:isLgl/>
      <w:suff w:val="space"/>
      <w:lvlText w:val="%1.%2.%3.%4"/>
      <w:lvlJc w:val="left"/>
      <w:pPr>
        <w:tabs>
          <w:tab w:val="left" w:pos="0"/>
        </w:tabs>
        <w:ind w:left="864" w:hanging="864"/>
      </w:pPr>
      <w:rPr>
        <w:rFonts w:hint="default" w:ascii="Times New Roman" w:hAnsi="Times New Roman" w:eastAsia="宋体" w:cs="Times New Roman"/>
        <w:sz w:val="24"/>
        <w:szCs w:val="24"/>
      </w:rPr>
    </w:lvl>
    <w:lvl w:ilvl="4" w:tentative="0">
      <w:start w:val="1"/>
      <w:numFmt w:val="decimal"/>
      <w:isLgl/>
      <w:suff w:val="nothing"/>
      <w:lvlText w:val="   （%5）"/>
      <w:lvlJc w:val="left"/>
      <w:pPr>
        <w:tabs>
          <w:tab w:val="left" w:pos="420"/>
        </w:tabs>
        <w:ind w:left="0" w:firstLine="0"/>
      </w:pPr>
      <w:rPr>
        <w:rFonts w:hint="eastAsia"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center"/>
      <w:pPr>
        <w:tabs>
          <w:tab w:val="left" w:pos="0"/>
        </w:tabs>
        <w:ind w:left="0" w:leftChars="0" w:firstLine="0" w:firstLineChars="0"/>
      </w:pPr>
      <w:rPr>
        <w:rFonts w:hint="eastAsia" w:ascii="宋体" w:hAnsi="宋体" w:eastAsia="宋体" w:cs="宋体"/>
      </w:rPr>
    </w:lvl>
    <w:lvl w:ilvl="7" w:tentative="0">
      <w:start w:val="1"/>
      <w:numFmt w:val="decimal"/>
      <w:lvlRestart w:val="2"/>
      <w:isLgl/>
      <w:suff w:val="space"/>
      <w:lvlText w:val="表%1.%2-%8"/>
      <w:lvlJc w:val="center"/>
      <w:pPr>
        <w:tabs>
          <w:tab w:val="left" w:pos="0"/>
        </w:tabs>
        <w:ind w:left="630" w:leftChars="0" w:firstLine="0" w:firstLineChars="0"/>
      </w:pPr>
      <w:rPr>
        <w:rFonts w:hint="eastAsia" w:ascii="Times New Roman" w:hAnsi="Times New Roman" w:eastAsia="宋体" w:cs="宋体"/>
      </w:rPr>
    </w:lvl>
    <w:lvl w:ilvl="8" w:tentative="0">
      <w:start w:val="1"/>
      <w:numFmt w:val="decimal"/>
      <w:lvlRestart w:val="2"/>
      <w:isLgl/>
      <w:suff w:val="space"/>
      <w:lvlText w:val="图%1.%2-%9"/>
      <w:lvlJc w:val="left"/>
      <w:pPr>
        <w:tabs>
          <w:tab w:val="left" w:pos="420"/>
        </w:tabs>
        <w:ind w:left="1583" w:hanging="1583"/>
      </w:pPr>
      <w:rPr>
        <w:rFonts w:hint="eastAsia" w:ascii="Times New Roman" w:hAnsi="Times New Roman" w:eastAsia="宋体" w:cs="宋体"/>
      </w:rPr>
    </w:lvl>
  </w:abstractNum>
  <w:abstractNum w:abstractNumId="7">
    <w:nsid w:val="76E68910"/>
    <w:multiLevelType w:val="singleLevel"/>
    <w:tmpl w:val="76E68910"/>
    <w:lvl w:ilvl="0" w:tentative="0">
      <w:start w:val="1"/>
      <w:numFmt w:val="decimal"/>
      <w:suff w:val="nothing"/>
      <w:lvlText w:val="（%1）"/>
      <w:lvlJc w:val="left"/>
    </w:lvl>
  </w:abstractNum>
  <w:abstractNum w:abstractNumId="8">
    <w:nsid w:val="7E752F05"/>
    <w:multiLevelType w:val="singleLevel"/>
    <w:tmpl w:val="7E752F05"/>
    <w:lvl w:ilvl="0" w:tentative="0">
      <w:start w:val="1"/>
      <w:numFmt w:val="decimal"/>
      <w:suff w:val="nothing"/>
      <w:lvlText w:val="%1、"/>
      <w:lvlJc w:val="left"/>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8"/>
  </w:num>
  <w:num w:numId="6">
    <w:abstractNumId w:val="5"/>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MDYyMDI5MmUxMWQ1MWU2OWQzMjM3NzU0YjVkY2EifQ=="/>
  </w:docVars>
  <w:rsids>
    <w:rsidRoot w:val="00000000"/>
    <w:rsid w:val="0042528A"/>
    <w:rsid w:val="0075388E"/>
    <w:rsid w:val="008E39B3"/>
    <w:rsid w:val="00B65805"/>
    <w:rsid w:val="00D91EDB"/>
    <w:rsid w:val="01162A8A"/>
    <w:rsid w:val="012855CE"/>
    <w:rsid w:val="01312D03"/>
    <w:rsid w:val="014D056D"/>
    <w:rsid w:val="01633E9B"/>
    <w:rsid w:val="016C7A79"/>
    <w:rsid w:val="021D693B"/>
    <w:rsid w:val="02213438"/>
    <w:rsid w:val="0265792B"/>
    <w:rsid w:val="02B80216"/>
    <w:rsid w:val="02E1776D"/>
    <w:rsid w:val="03501EED"/>
    <w:rsid w:val="035A6E90"/>
    <w:rsid w:val="03B373C8"/>
    <w:rsid w:val="03B633B1"/>
    <w:rsid w:val="03F434D0"/>
    <w:rsid w:val="04762237"/>
    <w:rsid w:val="04BD38C2"/>
    <w:rsid w:val="04E11367"/>
    <w:rsid w:val="05184F9C"/>
    <w:rsid w:val="05410997"/>
    <w:rsid w:val="05467935"/>
    <w:rsid w:val="0599625C"/>
    <w:rsid w:val="05B16FE4"/>
    <w:rsid w:val="05DD246D"/>
    <w:rsid w:val="060F45F1"/>
    <w:rsid w:val="06336531"/>
    <w:rsid w:val="06B01635"/>
    <w:rsid w:val="06D60D20"/>
    <w:rsid w:val="06FE0CEC"/>
    <w:rsid w:val="074F7AC9"/>
    <w:rsid w:val="077A1300"/>
    <w:rsid w:val="079013E3"/>
    <w:rsid w:val="07FB6BDB"/>
    <w:rsid w:val="08506999"/>
    <w:rsid w:val="09704E33"/>
    <w:rsid w:val="09BB5BCC"/>
    <w:rsid w:val="0AAF4780"/>
    <w:rsid w:val="0AB8410F"/>
    <w:rsid w:val="0B431F62"/>
    <w:rsid w:val="0C14470F"/>
    <w:rsid w:val="0C565288"/>
    <w:rsid w:val="0CD658CB"/>
    <w:rsid w:val="0CE71E24"/>
    <w:rsid w:val="0D735559"/>
    <w:rsid w:val="0DC962E6"/>
    <w:rsid w:val="0E697FB4"/>
    <w:rsid w:val="0E94387A"/>
    <w:rsid w:val="0EA0672E"/>
    <w:rsid w:val="0ED87858"/>
    <w:rsid w:val="0F005480"/>
    <w:rsid w:val="0F120ABD"/>
    <w:rsid w:val="0F27519E"/>
    <w:rsid w:val="0F2B709E"/>
    <w:rsid w:val="0F947289"/>
    <w:rsid w:val="0FA45DAA"/>
    <w:rsid w:val="0FB3423F"/>
    <w:rsid w:val="103D34C7"/>
    <w:rsid w:val="10686559"/>
    <w:rsid w:val="10D50163"/>
    <w:rsid w:val="10FE0470"/>
    <w:rsid w:val="10FF7000"/>
    <w:rsid w:val="114762E6"/>
    <w:rsid w:val="119E6CF5"/>
    <w:rsid w:val="11C67CFA"/>
    <w:rsid w:val="12320CA3"/>
    <w:rsid w:val="12396910"/>
    <w:rsid w:val="123C2076"/>
    <w:rsid w:val="125B4B29"/>
    <w:rsid w:val="128F266A"/>
    <w:rsid w:val="12E2773F"/>
    <w:rsid w:val="12E50BB3"/>
    <w:rsid w:val="12EB50C2"/>
    <w:rsid w:val="12F21BA5"/>
    <w:rsid w:val="130A6291"/>
    <w:rsid w:val="13DB3C17"/>
    <w:rsid w:val="142976A3"/>
    <w:rsid w:val="143B75BD"/>
    <w:rsid w:val="14ED0523"/>
    <w:rsid w:val="151A35DC"/>
    <w:rsid w:val="153636E4"/>
    <w:rsid w:val="15447000"/>
    <w:rsid w:val="15E440F6"/>
    <w:rsid w:val="16016621"/>
    <w:rsid w:val="16922E00"/>
    <w:rsid w:val="17852A72"/>
    <w:rsid w:val="17E70DF8"/>
    <w:rsid w:val="181E2472"/>
    <w:rsid w:val="184077D8"/>
    <w:rsid w:val="19392E3F"/>
    <w:rsid w:val="195065E6"/>
    <w:rsid w:val="19AF5431"/>
    <w:rsid w:val="1A0969D3"/>
    <w:rsid w:val="1A381F10"/>
    <w:rsid w:val="1A7167E6"/>
    <w:rsid w:val="1A750A6F"/>
    <w:rsid w:val="1A9611D4"/>
    <w:rsid w:val="1AC02C88"/>
    <w:rsid w:val="1AEF1640"/>
    <w:rsid w:val="1B0678E6"/>
    <w:rsid w:val="1B20658C"/>
    <w:rsid w:val="1B5E1503"/>
    <w:rsid w:val="1B851185"/>
    <w:rsid w:val="1B9D1ACE"/>
    <w:rsid w:val="1BA55384"/>
    <w:rsid w:val="1BC97D3B"/>
    <w:rsid w:val="1C136A38"/>
    <w:rsid w:val="1C723D3B"/>
    <w:rsid w:val="1C9B17A9"/>
    <w:rsid w:val="1CA81259"/>
    <w:rsid w:val="1CAB69CA"/>
    <w:rsid w:val="1CC34BB0"/>
    <w:rsid w:val="1D175E0D"/>
    <w:rsid w:val="1D1D0F4A"/>
    <w:rsid w:val="1D7644E2"/>
    <w:rsid w:val="1DAA1998"/>
    <w:rsid w:val="1DFB74DD"/>
    <w:rsid w:val="1E34479D"/>
    <w:rsid w:val="1E506756"/>
    <w:rsid w:val="1E7855D7"/>
    <w:rsid w:val="1E9B481C"/>
    <w:rsid w:val="1ED50A3D"/>
    <w:rsid w:val="1F6C1AC3"/>
    <w:rsid w:val="1F953961"/>
    <w:rsid w:val="205D0A19"/>
    <w:rsid w:val="20C35DB4"/>
    <w:rsid w:val="21652233"/>
    <w:rsid w:val="21E872AF"/>
    <w:rsid w:val="224A458F"/>
    <w:rsid w:val="22561186"/>
    <w:rsid w:val="22796B9E"/>
    <w:rsid w:val="22F97F47"/>
    <w:rsid w:val="22FD6FFC"/>
    <w:rsid w:val="236553F8"/>
    <w:rsid w:val="24000D54"/>
    <w:rsid w:val="24423C0B"/>
    <w:rsid w:val="246E3BEE"/>
    <w:rsid w:val="24B148C0"/>
    <w:rsid w:val="258778A8"/>
    <w:rsid w:val="25F10744"/>
    <w:rsid w:val="268D24CB"/>
    <w:rsid w:val="26E66850"/>
    <w:rsid w:val="26FF1810"/>
    <w:rsid w:val="26FF2560"/>
    <w:rsid w:val="27E762EC"/>
    <w:rsid w:val="27F645D9"/>
    <w:rsid w:val="282C4737"/>
    <w:rsid w:val="28897B1C"/>
    <w:rsid w:val="28A12B3E"/>
    <w:rsid w:val="29035282"/>
    <w:rsid w:val="290556B4"/>
    <w:rsid w:val="2A1803B1"/>
    <w:rsid w:val="2A701750"/>
    <w:rsid w:val="2AAC3C25"/>
    <w:rsid w:val="2AE01F34"/>
    <w:rsid w:val="2B465B0F"/>
    <w:rsid w:val="2B536BAA"/>
    <w:rsid w:val="2C041C52"/>
    <w:rsid w:val="2C0F4FCD"/>
    <w:rsid w:val="2D6C0914"/>
    <w:rsid w:val="2D81692A"/>
    <w:rsid w:val="2D984ECD"/>
    <w:rsid w:val="2DB0578E"/>
    <w:rsid w:val="2DBB0A37"/>
    <w:rsid w:val="2E183793"/>
    <w:rsid w:val="2E250044"/>
    <w:rsid w:val="2E355705"/>
    <w:rsid w:val="2E4647A4"/>
    <w:rsid w:val="2E717347"/>
    <w:rsid w:val="2ECE4F81"/>
    <w:rsid w:val="2F511D30"/>
    <w:rsid w:val="2F6464B4"/>
    <w:rsid w:val="2F686C4D"/>
    <w:rsid w:val="2FF17069"/>
    <w:rsid w:val="305D5210"/>
    <w:rsid w:val="307A6631"/>
    <w:rsid w:val="321F5BEE"/>
    <w:rsid w:val="32405F41"/>
    <w:rsid w:val="325D030E"/>
    <w:rsid w:val="327D450D"/>
    <w:rsid w:val="331E49BC"/>
    <w:rsid w:val="332E2F85"/>
    <w:rsid w:val="343A7B15"/>
    <w:rsid w:val="349074EA"/>
    <w:rsid w:val="34DF5D43"/>
    <w:rsid w:val="34E7011E"/>
    <w:rsid w:val="350F349A"/>
    <w:rsid w:val="35135D6B"/>
    <w:rsid w:val="353636EA"/>
    <w:rsid w:val="35366BF5"/>
    <w:rsid w:val="35B93AAE"/>
    <w:rsid w:val="35C222B8"/>
    <w:rsid w:val="35CA5CBB"/>
    <w:rsid w:val="35CC39DD"/>
    <w:rsid w:val="36262D3E"/>
    <w:rsid w:val="362C2FB9"/>
    <w:rsid w:val="36632AEA"/>
    <w:rsid w:val="368B560A"/>
    <w:rsid w:val="36B77716"/>
    <w:rsid w:val="36EE057B"/>
    <w:rsid w:val="36F46607"/>
    <w:rsid w:val="3716170E"/>
    <w:rsid w:val="372D2697"/>
    <w:rsid w:val="379F0A81"/>
    <w:rsid w:val="37BC5AD7"/>
    <w:rsid w:val="37CF2348"/>
    <w:rsid w:val="38062414"/>
    <w:rsid w:val="389F71E0"/>
    <w:rsid w:val="38CA5FD2"/>
    <w:rsid w:val="38DC3EDC"/>
    <w:rsid w:val="39721E98"/>
    <w:rsid w:val="39B06F76"/>
    <w:rsid w:val="3A0D43C8"/>
    <w:rsid w:val="3A2A31D8"/>
    <w:rsid w:val="3A7B3269"/>
    <w:rsid w:val="3B3E6803"/>
    <w:rsid w:val="3B5F50F7"/>
    <w:rsid w:val="3BDE2BA6"/>
    <w:rsid w:val="3BE94483"/>
    <w:rsid w:val="3C0F6B8E"/>
    <w:rsid w:val="3C8E01DC"/>
    <w:rsid w:val="3C9B3F0D"/>
    <w:rsid w:val="3CB46C57"/>
    <w:rsid w:val="3CC01BC6"/>
    <w:rsid w:val="3CCE564F"/>
    <w:rsid w:val="3CE04016"/>
    <w:rsid w:val="3CE45C48"/>
    <w:rsid w:val="3CF86493"/>
    <w:rsid w:val="3D2F28A7"/>
    <w:rsid w:val="3D6C74FD"/>
    <w:rsid w:val="3D962E9A"/>
    <w:rsid w:val="3DF13936"/>
    <w:rsid w:val="3E271818"/>
    <w:rsid w:val="3E6671E3"/>
    <w:rsid w:val="3EAA56FE"/>
    <w:rsid w:val="3EE020AB"/>
    <w:rsid w:val="3F0F1503"/>
    <w:rsid w:val="3F127E08"/>
    <w:rsid w:val="3F9D450B"/>
    <w:rsid w:val="3FB633FB"/>
    <w:rsid w:val="3FB9596C"/>
    <w:rsid w:val="4077259B"/>
    <w:rsid w:val="40FD5B5C"/>
    <w:rsid w:val="41596C87"/>
    <w:rsid w:val="416835C8"/>
    <w:rsid w:val="4186530E"/>
    <w:rsid w:val="41E756B8"/>
    <w:rsid w:val="426024C3"/>
    <w:rsid w:val="42644CFC"/>
    <w:rsid w:val="42712D90"/>
    <w:rsid w:val="428E37C9"/>
    <w:rsid w:val="42BF022A"/>
    <w:rsid w:val="42CD0B98"/>
    <w:rsid w:val="42F425C9"/>
    <w:rsid w:val="431557C4"/>
    <w:rsid w:val="43250271"/>
    <w:rsid w:val="438A7C97"/>
    <w:rsid w:val="43D43925"/>
    <w:rsid w:val="43D852A4"/>
    <w:rsid w:val="441F174E"/>
    <w:rsid w:val="443133A9"/>
    <w:rsid w:val="44647233"/>
    <w:rsid w:val="449657A6"/>
    <w:rsid w:val="45712D55"/>
    <w:rsid w:val="45EF24D9"/>
    <w:rsid w:val="46084AF2"/>
    <w:rsid w:val="46644A35"/>
    <w:rsid w:val="46E44703"/>
    <w:rsid w:val="476B4E24"/>
    <w:rsid w:val="47B257FA"/>
    <w:rsid w:val="481E59F2"/>
    <w:rsid w:val="48B545A9"/>
    <w:rsid w:val="48C14817"/>
    <w:rsid w:val="48E56510"/>
    <w:rsid w:val="4933371F"/>
    <w:rsid w:val="49460182"/>
    <w:rsid w:val="4972249A"/>
    <w:rsid w:val="4A430135"/>
    <w:rsid w:val="4A69389D"/>
    <w:rsid w:val="4B1E03C7"/>
    <w:rsid w:val="4B517646"/>
    <w:rsid w:val="4B7D0C82"/>
    <w:rsid w:val="4C44431E"/>
    <w:rsid w:val="4CBC43F6"/>
    <w:rsid w:val="4D5C1497"/>
    <w:rsid w:val="4DAD76E3"/>
    <w:rsid w:val="4E453CD9"/>
    <w:rsid w:val="4E761BF7"/>
    <w:rsid w:val="4EA73979"/>
    <w:rsid w:val="4EBB3F9B"/>
    <w:rsid w:val="4F2A1121"/>
    <w:rsid w:val="4F457D08"/>
    <w:rsid w:val="4F7C26F1"/>
    <w:rsid w:val="4F7C6D36"/>
    <w:rsid w:val="4FD62F76"/>
    <w:rsid w:val="4FF51023"/>
    <w:rsid w:val="506D7517"/>
    <w:rsid w:val="508566C8"/>
    <w:rsid w:val="50BA09B0"/>
    <w:rsid w:val="50C01D3C"/>
    <w:rsid w:val="50F41DB2"/>
    <w:rsid w:val="51052079"/>
    <w:rsid w:val="51152D85"/>
    <w:rsid w:val="514566E6"/>
    <w:rsid w:val="51CC5C50"/>
    <w:rsid w:val="52145E79"/>
    <w:rsid w:val="523302EC"/>
    <w:rsid w:val="52676984"/>
    <w:rsid w:val="5288019F"/>
    <w:rsid w:val="529F3508"/>
    <w:rsid w:val="52AD5CF4"/>
    <w:rsid w:val="5367649F"/>
    <w:rsid w:val="538D60DF"/>
    <w:rsid w:val="53B06098"/>
    <w:rsid w:val="53C47D96"/>
    <w:rsid w:val="53ED7E15"/>
    <w:rsid w:val="54092EF7"/>
    <w:rsid w:val="54316AAD"/>
    <w:rsid w:val="550C1AC2"/>
    <w:rsid w:val="55DD6EED"/>
    <w:rsid w:val="561C01EA"/>
    <w:rsid w:val="562464C8"/>
    <w:rsid w:val="56856B80"/>
    <w:rsid w:val="56D219CC"/>
    <w:rsid w:val="58134E48"/>
    <w:rsid w:val="58A50B7E"/>
    <w:rsid w:val="59854F6F"/>
    <w:rsid w:val="598F6523"/>
    <w:rsid w:val="59931BA0"/>
    <w:rsid w:val="59A12058"/>
    <w:rsid w:val="59AD4E28"/>
    <w:rsid w:val="59C9643D"/>
    <w:rsid w:val="5A551748"/>
    <w:rsid w:val="5A6A34FF"/>
    <w:rsid w:val="5ABC7EE5"/>
    <w:rsid w:val="5AC97A40"/>
    <w:rsid w:val="5AD2718F"/>
    <w:rsid w:val="5AF96577"/>
    <w:rsid w:val="5B0D3DD0"/>
    <w:rsid w:val="5B8633F6"/>
    <w:rsid w:val="5BB14AA5"/>
    <w:rsid w:val="5BE049C1"/>
    <w:rsid w:val="5C3B007A"/>
    <w:rsid w:val="5C3B6762"/>
    <w:rsid w:val="5C574E82"/>
    <w:rsid w:val="5CD252D1"/>
    <w:rsid w:val="5CF76AE6"/>
    <w:rsid w:val="5D1475BA"/>
    <w:rsid w:val="5D2A7EA5"/>
    <w:rsid w:val="5E352B67"/>
    <w:rsid w:val="5F94195C"/>
    <w:rsid w:val="5FB574FE"/>
    <w:rsid w:val="5FF82CFA"/>
    <w:rsid w:val="604C4F0B"/>
    <w:rsid w:val="6065645C"/>
    <w:rsid w:val="60B06C30"/>
    <w:rsid w:val="60BB31B3"/>
    <w:rsid w:val="60BE4E23"/>
    <w:rsid w:val="6134186F"/>
    <w:rsid w:val="61C342E5"/>
    <w:rsid w:val="61E433B1"/>
    <w:rsid w:val="61EC6729"/>
    <w:rsid w:val="620E2129"/>
    <w:rsid w:val="62287742"/>
    <w:rsid w:val="626B2804"/>
    <w:rsid w:val="628C1E57"/>
    <w:rsid w:val="62F2581B"/>
    <w:rsid w:val="633167EB"/>
    <w:rsid w:val="639926E5"/>
    <w:rsid w:val="643313A9"/>
    <w:rsid w:val="64C67634"/>
    <w:rsid w:val="652C5425"/>
    <w:rsid w:val="653D3504"/>
    <w:rsid w:val="65613696"/>
    <w:rsid w:val="65764C68"/>
    <w:rsid w:val="65775B6D"/>
    <w:rsid w:val="65A90B99"/>
    <w:rsid w:val="65F8742B"/>
    <w:rsid w:val="65FF4C5D"/>
    <w:rsid w:val="66801F8E"/>
    <w:rsid w:val="66DE09F2"/>
    <w:rsid w:val="67000C8D"/>
    <w:rsid w:val="67320619"/>
    <w:rsid w:val="677B14E7"/>
    <w:rsid w:val="678F3DBF"/>
    <w:rsid w:val="67DF3732"/>
    <w:rsid w:val="685C6397"/>
    <w:rsid w:val="685D400B"/>
    <w:rsid w:val="688356D2"/>
    <w:rsid w:val="689E3902"/>
    <w:rsid w:val="69112CDD"/>
    <w:rsid w:val="69434E61"/>
    <w:rsid w:val="69537901"/>
    <w:rsid w:val="69585E75"/>
    <w:rsid w:val="695A2772"/>
    <w:rsid w:val="69602F7D"/>
    <w:rsid w:val="69BB75A3"/>
    <w:rsid w:val="69E079CB"/>
    <w:rsid w:val="6A1330F2"/>
    <w:rsid w:val="6AA7522F"/>
    <w:rsid w:val="6AE30E7D"/>
    <w:rsid w:val="6B5E5F82"/>
    <w:rsid w:val="6BF57752"/>
    <w:rsid w:val="6C3F3B3F"/>
    <w:rsid w:val="6C7E734F"/>
    <w:rsid w:val="6D284A9A"/>
    <w:rsid w:val="6D6B0293"/>
    <w:rsid w:val="6DA07A76"/>
    <w:rsid w:val="6E2F5A53"/>
    <w:rsid w:val="6E3D0876"/>
    <w:rsid w:val="6E4B4EE4"/>
    <w:rsid w:val="6E91728B"/>
    <w:rsid w:val="6EB17135"/>
    <w:rsid w:val="6EC90F3F"/>
    <w:rsid w:val="6EE37A6B"/>
    <w:rsid w:val="6F6211D8"/>
    <w:rsid w:val="6F69100D"/>
    <w:rsid w:val="6F6F4C02"/>
    <w:rsid w:val="6FB57106"/>
    <w:rsid w:val="6FB87AD8"/>
    <w:rsid w:val="6FF9096F"/>
    <w:rsid w:val="70335223"/>
    <w:rsid w:val="707903FB"/>
    <w:rsid w:val="70935EC8"/>
    <w:rsid w:val="71281524"/>
    <w:rsid w:val="71333633"/>
    <w:rsid w:val="71B92164"/>
    <w:rsid w:val="71D64AC4"/>
    <w:rsid w:val="72137A0F"/>
    <w:rsid w:val="72146479"/>
    <w:rsid w:val="722A2C74"/>
    <w:rsid w:val="72A845A9"/>
    <w:rsid w:val="72C2205A"/>
    <w:rsid w:val="72D2323B"/>
    <w:rsid w:val="734E65AD"/>
    <w:rsid w:val="73730B78"/>
    <w:rsid w:val="73AE3231"/>
    <w:rsid w:val="73F67ACD"/>
    <w:rsid w:val="74161AF0"/>
    <w:rsid w:val="74F82FA3"/>
    <w:rsid w:val="75D43A11"/>
    <w:rsid w:val="76261D92"/>
    <w:rsid w:val="76640175"/>
    <w:rsid w:val="76E75934"/>
    <w:rsid w:val="773A5AF5"/>
    <w:rsid w:val="77C840CC"/>
    <w:rsid w:val="77D870BC"/>
    <w:rsid w:val="77D926FB"/>
    <w:rsid w:val="78443ABA"/>
    <w:rsid w:val="785E0CFE"/>
    <w:rsid w:val="78972AD3"/>
    <w:rsid w:val="78CD4648"/>
    <w:rsid w:val="79705494"/>
    <w:rsid w:val="79765E0F"/>
    <w:rsid w:val="797E5570"/>
    <w:rsid w:val="799E34B2"/>
    <w:rsid w:val="79B56793"/>
    <w:rsid w:val="7A4A482E"/>
    <w:rsid w:val="7A904A94"/>
    <w:rsid w:val="7AC202DC"/>
    <w:rsid w:val="7B1D47C7"/>
    <w:rsid w:val="7BED0F85"/>
    <w:rsid w:val="7C06069C"/>
    <w:rsid w:val="7C531BCF"/>
    <w:rsid w:val="7CF718EF"/>
    <w:rsid w:val="7D466F15"/>
    <w:rsid w:val="7D697A68"/>
    <w:rsid w:val="7DC861E9"/>
    <w:rsid w:val="7DE22616"/>
    <w:rsid w:val="7E9E1D43"/>
    <w:rsid w:val="7ED24865"/>
    <w:rsid w:val="7ED37F08"/>
    <w:rsid w:val="7EEF18BB"/>
    <w:rsid w:val="7F1C3D32"/>
    <w:rsid w:val="7FB30510"/>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3"/>
    <w:next w:val="1"/>
    <w:link w:val="83"/>
    <w:autoRedefine/>
    <w:qFormat/>
    <w:uiPriority w:val="0"/>
    <w:pPr>
      <w:keepNext/>
      <w:keepLines/>
      <w:spacing w:line="240" w:lineRule="auto"/>
      <w:outlineLvl w:val="1"/>
    </w:pPr>
    <w:rPr>
      <w:rFonts w:ascii="Times New Roman" w:hAnsi="Times New Roman" w:eastAsia="宋体"/>
      <w:sz w:val="24"/>
      <w:szCs w:val="32"/>
    </w:rPr>
  </w:style>
  <w:style w:type="paragraph" w:styleId="5">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autoRedefine/>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6">
    <w:name w:val="Default Paragraph Font"/>
    <w:autoRedefine/>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style>
  <w:style w:type="paragraph" w:styleId="7">
    <w:name w:val="table of authorities"/>
    <w:basedOn w:val="1"/>
    <w:next w:val="1"/>
    <w:autoRedefine/>
    <w:semiHidden/>
    <w:qFormat/>
    <w:uiPriority w:val="0"/>
    <w:pPr>
      <w:ind w:left="420" w:leftChars="200"/>
    </w:pPr>
  </w:style>
  <w:style w:type="paragraph" w:styleId="8">
    <w:name w:val="Note Heading"/>
    <w:basedOn w:val="1"/>
    <w:next w:val="1"/>
    <w:qFormat/>
    <w:uiPriority w:val="0"/>
    <w:pPr>
      <w:jc w:val="left"/>
    </w:pPr>
  </w:style>
  <w:style w:type="paragraph" w:styleId="9">
    <w:name w:val="annotation text"/>
    <w:basedOn w:val="1"/>
    <w:qFormat/>
    <w:uiPriority w:val="0"/>
    <w:pPr>
      <w:jc w:val="left"/>
    </w:pPr>
  </w:style>
  <w:style w:type="paragraph" w:styleId="10">
    <w:name w:val="Salutation"/>
    <w:basedOn w:val="1"/>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8"/>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69"/>
    <w:qFormat/>
    <w:uiPriority w:val="0"/>
    <w:pPr>
      <w:spacing w:after="120"/>
      <w:ind w:left="420" w:leftChars="200"/>
    </w:pPr>
    <w:rPr>
      <w:kern w:val="0"/>
      <w:sz w:val="24"/>
      <w:szCs w:val="20"/>
    </w:rPr>
  </w:style>
  <w:style w:type="paragraph" w:styleId="13">
    <w:name w:val="Body Text First Indent 2"/>
    <w:basedOn w:val="12"/>
    <w:next w:val="14"/>
    <w:autoRedefine/>
    <w:qFormat/>
    <w:uiPriority w:val="0"/>
    <w:pPr>
      <w:spacing w:after="120"/>
      <w:ind w:left="420" w:leftChars="200" w:firstLine="210" w:firstLineChars="200"/>
    </w:pPr>
    <w:rPr>
      <w:sz w:val="21"/>
    </w:rPr>
  </w:style>
  <w:style w:type="paragraph" w:styleId="14">
    <w:name w:val="Body Text First Indent"/>
    <w:basedOn w:val="11"/>
    <w:next w:val="1"/>
    <w:qFormat/>
    <w:uiPriority w:val="0"/>
    <w:pPr>
      <w:spacing w:line="480" w:lineRule="auto"/>
      <w:ind w:firstLine="630" w:firstLineChars="225"/>
    </w:pPr>
    <w:rPr>
      <w:rFonts w:ascii="宋体" w:hAnsi="宋体"/>
      <w:sz w:val="28"/>
      <w:szCs w:val="28"/>
      <w:u w:val="single"/>
      <w:lang w:val="en-US" w:eastAsia="zh-CN" w:bidi="ar-SA"/>
    </w:rPr>
  </w:style>
  <w:style w:type="paragraph" w:styleId="15">
    <w:name w:val="toc 3"/>
    <w:basedOn w:val="1"/>
    <w:next w:val="1"/>
    <w:qFormat/>
    <w:uiPriority w:val="0"/>
    <w:pPr>
      <w:ind w:left="840" w:leftChars="400"/>
    </w:pPr>
  </w:style>
  <w:style w:type="paragraph" w:styleId="16">
    <w:name w:val="Plain Text"/>
    <w:basedOn w:val="1"/>
    <w:autoRedefine/>
    <w:qFormat/>
    <w:uiPriority w:val="0"/>
    <w:rPr>
      <w:rFonts w:ascii="Times New Roman" w:hAnsi="Times New Roman" w:eastAsia="宋体" w:cs="Courier New"/>
      <w:szCs w:val="21"/>
    </w:rPr>
  </w:style>
  <w:style w:type="paragraph" w:styleId="17">
    <w:name w:val="Balloon Text"/>
    <w:basedOn w:val="1"/>
    <w:next w:val="11"/>
    <w:semiHidden/>
    <w:qFormat/>
    <w:uiPriority w:val="0"/>
    <w:rPr>
      <w:kern w:val="0"/>
      <w:sz w:val="18"/>
      <w:szCs w:val="20"/>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0"/>
  </w:style>
  <w:style w:type="paragraph" w:styleId="21">
    <w:name w:val="List"/>
    <w:basedOn w:val="1"/>
    <w:autoRedefine/>
    <w:qFormat/>
    <w:uiPriority w:val="0"/>
    <w:pPr>
      <w:ind w:left="200" w:hanging="200" w:hangingChars="200"/>
    </w:p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autoRedefine/>
    <w:qFormat/>
    <w:uiPriority w:val="0"/>
  </w:style>
  <w:style w:type="character" w:styleId="29">
    <w:name w:val="Hyperlink"/>
    <w:basedOn w:val="26"/>
    <w:qFormat/>
    <w:uiPriority w:val="0"/>
    <w:rPr>
      <w:color w:val="0000FF"/>
      <w:u w:val="single"/>
    </w:rPr>
  </w:style>
  <w:style w:type="paragraph" w:customStyle="1" w:styleId="30">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31">
    <w:name w:val=" Char Char Char Char Char Char Char Char Char1 Char"/>
    <w:basedOn w:val="1"/>
    <w:autoRedefine/>
    <w:semiHidden/>
    <w:qFormat/>
    <w:uiPriority w:val="0"/>
    <w:pPr>
      <w:ind w:firstLine="0"/>
    </w:pPr>
    <w:rPr>
      <w:rFonts w:ascii="宋体" w:hAnsi="宋体" w:eastAsia="宋体" w:cs="Courier New"/>
      <w:sz w:val="32"/>
      <w:szCs w:val="32"/>
    </w:rPr>
  </w:style>
  <w:style w:type="paragraph" w:customStyle="1" w:styleId="32">
    <w:name w:val="章1正文样式"/>
    <w:basedOn w:val="1"/>
    <w:autoRedefine/>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3">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4">
    <w:name w:val="Table Text"/>
    <w:basedOn w:val="1"/>
    <w:semiHidden/>
    <w:qFormat/>
    <w:uiPriority w:val="0"/>
    <w:rPr>
      <w:rFonts w:ascii="宋体" w:hAnsi="宋体" w:eastAsia="宋体" w:cs="宋体"/>
      <w:sz w:val="24"/>
      <w:szCs w:val="24"/>
      <w:lang w:val="en-US" w:eastAsia="en-US" w:bidi="ar-SA"/>
    </w:rPr>
  </w:style>
  <w:style w:type="paragraph" w:customStyle="1" w:styleId="35">
    <w:name w:val="表内容"/>
    <w:autoRedefine/>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6">
    <w:name w:val="H图表内容"/>
    <w:basedOn w:val="1"/>
    <w:qFormat/>
    <w:uiPriority w:val="0"/>
    <w:rPr>
      <w:szCs w:val="20"/>
    </w:rPr>
  </w:style>
  <w:style w:type="paragraph" w:customStyle="1" w:styleId="37">
    <w:name w:val="正文（）"/>
    <w:basedOn w:val="1"/>
    <w:autoRedefine/>
    <w:qFormat/>
    <w:uiPriority w:val="0"/>
    <w:pPr>
      <w:adjustRightInd w:val="0"/>
      <w:snapToGrid w:val="0"/>
      <w:spacing w:line="360" w:lineRule="auto"/>
      <w:ind w:firstLine="200" w:firstLineChars="200"/>
    </w:pPr>
    <w:rPr>
      <w:color w:val="5B9BD5"/>
      <w:sz w:val="24"/>
      <w:szCs w:val="20"/>
    </w:rPr>
  </w:style>
  <w:style w:type="paragraph" w:customStyle="1" w:styleId="38">
    <w:name w:val="6表格"/>
    <w:basedOn w:val="1"/>
    <w:qFormat/>
    <w:uiPriority w:val="0"/>
    <w:pPr>
      <w:jc w:val="center"/>
    </w:pPr>
  </w:style>
  <w:style w:type="paragraph" w:customStyle="1" w:styleId="39">
    <w:name w:val="表格内容（）"/>
    <w:basedOn w:val="1"/>
    <w:autoRedefine/>
    <w:qFormat/>
    <w:uiPriority w:val="0"/>
    <w:pPr>
      <w:widowControl w:val="0"/>
      <w:spacing w:line="240" w:lineRule="auto"/>
      <w:ind w:firstLine="0" w:firstLineChars="0"/>
      <w:jc w:val="center"/>
    </w:pPr>
    <w:rPr>
      <w:color w:val="00B0F0"/>
      <w:sz w:val="21"/>
      <w:szCs w:val="21"/>
    </w:rPr>
  </w:style>
  <w:style w:type="paragraph" w:customStyle="1" w:styleId="40">
    <w:name w:val="表格固定文字"/>
    <w:basedOn w:val="1"/>
    <w:qFormat/>
    <w:uiPriority w:val="0"/>
    <w:pPr>
      <w:ind w:firstLine="0"/>
    </w:pPr>
    <w:rPr>
      <w:rFonts w:eastAsia="宋体"/>
      <w:sz w:val="21"/>
      <w:szCs w:val="24"/>
    </w:rPr>
  </w:style>
  <w:style w:type="paragraph" w:customStyle="1" w:styleId="41">
    <w:name w:val="个人  标题2"/>
    <w:basedOn w:val="1"/>
    <w:autoRedefine/>
    <w:qFormat/>
    <w:uiPriority w:val="0"/>
    <w:pPr>
      <w:ind w:firstLine="0" w:firstLineChars="0"/>
      <w:outlineLvl w:val="1"/>
    </w:pPr>
    <w:rPr>
      <w:b/>
      <w:sz w:val="30"/>
    </w:rPr>
  </w:style>
  <w:style w:type="paragraph" w:customStyle="1" w:styleId="42">
    <w:name w:val="正文_10"/>
    <w:qFormat/>
    <w:uiPriority w:val="0"/>
    <w:pPr>
      <w:widowControl w:val="0"/>
      <w:spacing w:line="360" w:lineRule="auto"/>
      <w:jc w:val="both"/>
    </w:pPr>
    <w:rPr>
      <w:rFonts w:ascii="Times New Roman" w:hAnsi="Times New Roman" w:eastAsia="宋体" w:cs="Times New Roman"/>
      <w:kern w:val="2"/>
      <w:sz w:val="21"/>
      <w:szCs w:val="22"/>
      <w:lang w:val="en-US" w:eastAsia="zh-CN" w:bidi="ar-SA"/>
    </w:rPr>
  </w:style>
  <w:style w:type="paragraph" w:customStyle="1" w:styleId="43">
    <w:name w:val="表格表头"/>
    <w:basedOn w:val="44"/>
    <w:qFormat/>
    <w:uiPriority w:val="0"/>
    <w:pPr>
      <w:spacing w:before="50" w:beforeLines="50" w:line="240" w:lineRule="auto"/>
      <w:ind w:firstLine="0"/>
      <w:jc w:val="center"/>
    </w:pPr>
    <w:rPr>
      <w:rFonts w:eastAsia="黑体"/>
    </w:rPr>
  </w:style>
  <w:style w:type="paragraph" w:customStyle="1" w:styleId="44">
    <w:name w:val="zhang正文"/>
    <w:basedOn w:val="12"/>
    <w:next w:val="1"/>
    <w:link w:val="68"/>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5">
    <w:name w:val="表正文"/>
    <w:basedOn w:val="1"/>
    <w:qFormat/>
    <w:uiPriority w:val="0"/>
    <w:pPr>
      <w:spacing w:line="360" w:lineRule="auto"/>
      <w:ind w:firstLine="200" w:firstLineChars="200"/>
    </w:pPr>
    <w:rPr>
      <w:sz w:val="24"/>
    </w:rPr>
  </w:style>
  <w:style w:type="paragraph" w:customStyle="1" w:styleId="46">
    <w:name w:val="个人标题3"/>
    <w:basedOn w:val="1"/>
    <w:qFormat/>
    <w:uiPriority w:val="0"/>
    <w:pPr>
      <w:ind w:firstLine="0" w:firstLineChars="0"/>
      <w:outlineLvl w:val="2"/>
    </w:pPr>
    <w:rPr>
      <w:b/>
      <w:sz w:val="28"/>
    </w:rPr>
  </w:style>
  <w:style w:type="paragraph" w:customStyle="1" w:styleId="47">
    <w:name w:val="正文内容"/>
    <w:basedOn w:val="1"/>
    <w:autoRedefine/>
    <w:qFormat/>
    <w:uiPriority w:val="0"/>
    <w:pPr>
      <w:adjustRightInd w:val="0"/>
      <w:spacing w:line="360" w:lineRule="auto"/>
      <w:ind w:firstLine="480" w:firstLineChars="200"/>
    </w:pPr>
    <w:rPr>
      <w:rFonts w:ascii="宋体" w:hAnsi="宋体" w:cs="宋体"/>
      <w:sz w:val="24"/>
    </w:rPr>
  </w:style>
  <w:style w:type="paragraph" w:customStyle="1" w:styleId="48">
    <w:name w:val="三级aaa"/>
    <w:basedOn w:val="5"/>
    <w:next w:val="1"/>
    <w:autoRedefine/>
    <w:qFormat/>
    <w:uiPriority w:val="0"/>
    <w:pPr>
      <w:keepNext w:val="0"/>
      <w:keepLines w:val="0"/>
      <w:widowControl w:val="0"/>
      <w:adjustRightInd w:val="0"/>
      <w:snapToGrid w:val="0"/>
      <w:spacing w:before="0" w:after="0" w:line="360" w:lineRule="auto"/>
    </w:pPr>
    <w:rPr>
      <w:sz w:val="28"/>
    </w:rPr>
  </w:style>
  <w:style w:type="paragraph" w:customStyle="1" w:styleId="49">
    <w:name w:val="正文hhhhhh"/>
    <w:basedOn w:val="1"/>
    <w:next w:val="6"/>
    <w:qFormat/>
    <w:uiPriority w:val="0"/>
    <w:pPr>
      <w:widowControl w:val="0"/>
      <w:adjustRightInd w:val="0"/>
      <w:snapToGrid w:val="0"/>
      <w:spacing w:line="360" w:lineRule="auto"/>
      <w:ind w:firstLine="200" w:firstLineChars="200"/>
    </w:pPr>
    <w:rPr>
      <w:sz w:val="24"/>
    </w:rPr>
  </w:style>
  <w:style w:type="paragraph" w:customStyle="1" w:styleId="50">
    <w:name w:val="正文（无网格）"/>
    <w:basedOn w:val="1"/>
    <w:autoRedefine/>
    <w:qFormat/>
    <w:uiPriority w:val="0"/>
    <w:pPr>
      <w:adjustRightInd w:val="0"/>
      <w:snapToGrid w:val="0"/>
      <w:spacing w:line="360" w:lineRule="auto"/>
      <w:ind w:firstLine="480" w:firstLineChars="200"/>
    </w:pPr>
    <w:rPr>
      <w:rFonts w:cs="宋体"/>
      <w:sz w:val="24"/>
      <w:szCs w:val="20"/>
    </w:rPr>
  </w:style>
  <w:style w:type="paragraph" w:customStyle="1" w:styleId="51">
    <w:name w:val="常用"/>
    <w:basedOn w:val="1"/>
    <w:autoRedefine/>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52">
    <w:name w:val="闽创报告正文"/>
    <w:basedOn w:val="53"/>
    <w:qFormat/>
    <w:uiPriority w:val="0"/>
    <w:pPr>
      <w:tabs>
        <w:tab w:val="left" w:pos="0"/>
      </w:tabs>
      <w:spacing w:line="360" w:lineRule="auto"/>
      <w:ind w:firstLine="200" w:firstLineChars="200"/>
    </w:pPr>
    <w:rPr>
      <w:color w:val="000000"/>
      <w:sz w:val="24"/>
      <w:szCs w:val="20"/>
    </w:rPr>
  </w:style>
  <w:style w:type="paragraph" w:customStyle="1" w:styleId="53">
    <w:name w:val="0正文"/>
    <w:basedOn w:val="12"/>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54">
    <w:name w:val="表格名称1"/>
    <w:basedOn w:val="1"/>
    <w:autoRedefine/>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5">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6">
    <w:name w:val="22标题2"/>
    <w:basedOn w:val="57"/>
    <w:autoRedefine/>
    <w:qFormat/>
    <w:uiPriority w:val="0"/>
    <w:pPr>
      <w:adjustRightInd w:val="0"/>
      <w:snapToGrid w:val="0"/>
    </w:pPr>
    <w:rPr>
      <w:color w:val="0000FF"/>
    </w:rPr>
  </w:style>
  <w:style w:type="paragraph" w:customStyle="1" w:styleId="57">
    <w:name w:val="标题2"/>
    <w:basedOn w:val="7"/>
    <w:qFormat/>
    <w:uiPriority w:val="0"/>
    <w:pPr>
      <w:spacing w:line="360" w:lineRule="auto"/>
      <w:outlineLvl w:val="1"/>
    </w:pPr>
    <w:rPr>
      <w:rFonts w:ascii="Times New Roman" w:hAnsi="Times New Roman" w:eastAsia="黑体" w:cs="Times New Roman"/>
      <w:sz w:val="30"/>
      <w:szCs w:val="30"/>
    </w:rPr>
  </w:style>
  <w:style w:type="paragraph" w:customStyle="1" w:styleId="58">
    <w:name w:val="样式 首行缩进:  2 字符1"/>
    <w:basedOn w:val="1"/>
    <w:autoRedefine/>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9">
    <w:name w:val="样式6"/>
    <w:basedOn w:val="24"/>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60">
    <w:name w:val="样式 样式 正文01 + 黑色 首行缩进:  2 字符 段前: 0 磅 行距: 1.5 倍行距 + 首行缩进:  2 字符"/>
    <w:basedOn w:val="61"/>
    <w:autoRedefine/>
    <w:qFormat/>
    <w:uiPriority w:val="0"/>
    <w:pPr>
      <w:spacing w:line="440" w:lineRule="exact"/>
      <w:ind w:firstLine="200"/>
    </w:pPr>
    <w:rPr>
      <w:rFonts w:eastAsia="宋体"/>
      <w:bCs/>
    </w:rPr>
  </w:style>
  <w:style w:type="paragraph" w:customStyle="1" w:styleId="61">
    <w:name w:val="样式 正文（首行缩进两字） + (中文) 仿宋_GB2312 小四 行距: 1.5 倍行距"/>
    <w:basedOn w:val="2"/>
    <w:qFormat/>
    <w:uiPriority w:val="0"/>
    <w:pPr>
      <w:adjustRightInd/>
      <w:spacing w:line="360" w:lineRule="auto"/>
      <w:ind w:firstLine="480" w:firstLineChars="200"/>
      <w:textAlignment w:val="auto"/>
    </w:pPr>
    <w:rPr>
      <w:rFonts w:eastAsia="仿宋_GB2312"/>
      <w:kern w:val="2"/>
      <w:sz w:val="24"/>
    </w:rPr>
  </w:style>
  <w:style w:type="paragraph" w:customStyle="1" w:styleId="62">
    <w:name w:val="表格标题（）"/>
    <w:basedOn w:val="1"/>
    <w:autoRedefine/>
    <w:qFormat/>
    <w:uiPriority w:val="0"/>
    <w:pPr>
      <w:widowControl w:val="0"/>
      <w:spacing w:line="240" w:lineRule="auto"/>
      <w:ind w:firstLine="0" w:firstLineChars="0"/>
      <w:jc w:val="center"/>
    </w:pPr>
    <w:rPr>
      <w:rFonts w:eastAsia="黑体"/>
      <w:color w:val="000000"/>
      <w:lang w:val="zh-CN" w:bidi="he-IL"/>
    </w:rPr>
  </w:style>
  <w:style w:type="paragraph" w:customStyle="1" w:styleId="63">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4">
    <w:name w:val="表格标题"/>
    <w:basedOn w:val="47"/>
    <w:next w:val="1"/>
    <w:qFormat/>
    <w:uiPriority w:val="0"/>
    <w:pPr>
      <w:tabs>
        <w:tab w:val="left" w:pos="4507"/>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5">
    <w:name w:val="表格内容"/>
    <w:basedOn w:val="21"/>
    <w:next w:val="1"/>
    <w:qFormat/>
    <w:uiPriority w:val="0"/>
    <w:pPr>
      <w:autoSpaceDE w:val="0"/>
      <w:autoSpaceDN w:val="0"/>
      <w:ind w:firstLine="0"/>
      <w:jc w:val="center"/>
    </w:pPr>
    <w:rPr>
      <w:kern w:val="0"/>
      <w:sz w:val="24"/>
      <w:lang w:bidi="he-IL"/>
    </w:rPr>
  </w:style>
  <w:style w:type="paragraph" w:customStyle="1" w:styleId="66">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7">
    <w:name w:val="样式 zhang正文 + 宋体 小四 Char"/>
    <w:basedOn w:val="68"/>
    <w:link w:val="70"/>
    <w:qFormat/>
    <w:uiPriority w:val="0"/>
    <w:rPr>
      <w:rFonts w:ascii="宋体" w:hAnsi="宋体" w:eastAsia="宋体"/>
      <w:sz w:val="24"/>
    </w:rPr>
  </w:style>
  <w:style w:type="character" w:customStyle="1" w:styleId="68">
    <w:name w:val="zhang正文 Char1"/>
    <w:basedOn w:val="69"/>
    <w:link w:val="44"/>
    <w:autoRedefine/>
    <w:qFormat/>
    <w:uiPriority w:val="0"/>
    <w:rPr>
      <w:rFonts w:eastAsia="楷体_GB2312"/>
      <w:sz w:val="28"/>
    </w:rPr>
  </w:style>
  <w:style w:type="character" w:customStyle="1" w:styleId="69">
    <w:name w:val="正文文本缩进 Char1"/>
    <w:basedOn w:val="26"/>
    <w:link w:val="12"/>
    <w:autoRedefine/>
    <w:qFormat/>
    <w:uiPriority w:val="0"/>
    <w:rPr>
      <w:kern w:val="0"/>
      <w:sz w:val="24"/>
      <w:szCs w:val="20"/>
    </w:rPr>
  </w:style>
  <w:style w:type="paragraph" w:customStyle="1" w:styleId="70">
    <w:name w:val="样式 zhang正文 + 宋体 小四"/>
    <w:basedOn w:val="44"/>
    <w:link w:val="67"/>
    <w:autoRedefine/>
    <w:qFormat/>
    <w:uiPriority w:val="0"/>
    <w:rPr>
      <w:rFonts w:ascii="宋体" w:hAnsi="宋体" w:eastAsia="宋体"/>
      <w:sz w:val="24"/>
    </w:rPr>
  </w:style>
  <w:style w:type="paragraph" w:customStyle="1" w:styleId="71">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72">
    <w:name w:val="屠彪标题"/>
    <w:basedOn w:val="1"/>
    <w:autoRedefine/>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73">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4">
    <w:name w:val="表格样式1"/>
    <w:basedOn w:val="24"/>
    <w:autoRedefine/>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5">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6">
    <w:name w:val="标题111"/>
    <w:basedOn w:val="23"/>
    <w:autoRedefine/>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7">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8">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table" w:customStyle="1" w:styleId="79">
    <w:name w:val="Table Normal"/>
    <w:semiHidden/>
    <w:unhideWhenUsed/>
    <w:qFormat/>
    <w:uiPriority w:val="0"/>
    <w:tblPr>
      <w:tblCellMar>
        <w:top w:w="0" w:type="dxa"/>
        <w:left w:w="0" w:type="dxa"/>
        <w:bottom w:w="0" w:type="dxa"/>
        <w:right w:w="0" w:type="dxa"/>
      </w:tblCellMar>
    </w:tblPr>
  </w:style>
  <w:style w:type="paragraph" w:customStyle="1" w:styleId="80">
    <w:name w:val="Table Paragraph"/>
    <w:basedOn w:val="1"/>
    <w:qFormat/>
    <w:uiPriority w:val="1"/>
    <w:pPr>
      <w:jc w:val="center"/>
    </w:pPr>
    <w:rPr>
      <w:rFonts w:ascii="宋体" w:hAnsi="宋体" w:cs="宋体"/>
      <w:lang w:val="zh-CN" w:bidi="zh-CN"/>
    </w:rPr>
  </w:style>
  <w:style w:type="paragraph" w:customStyle="1" w:styleId="81">
    <w:name w:val="表格的字"/>
    <w:basedOn w:val="82"/>
    <w:next w:val="1"/>
    <w:qFormat/>
    <w:uiPriority w:val="0"/>
    <w:pPr>
      <w:jc w:val="center"/>
    </w:pPr>
    <w:rPr>
      <w:szCs w:val="21"/>
      <w:lang w:val="en-US" w:eastAsia="zh-CN" w:bidi="ar-SA"/>
    </w:rPr>
  </w:style>
  <w:style w:type="paragraph" w:customStyle="1" w:styleId="82">
    <w:name w:val="项目基本情况的字"/>
    <w:basedOn w:val="1"/>
    <w:qFormat/>
    <w:uiPriority w:val="0"/>
    <w:pPr>
      <w:jc w:val="center"/>
    </w:pPr>
    <w:rPr>
      <w:rFonts w:cs="宋体"/>
    </w:rPr>
  </w:style>
  <w:style w:type="character" w:customStyle="1" w:styleId="83">
    <w:name w:val="标题 2 Char"/>
    <w:link w:val="4"/>
    <w:qFormat/>
    <w:uiPriority w:val="0"/>
    <w:rPr>
      <w:rFonts w:ascii="Times New Roman" w:hAnsi="Times New Roman" w:eastAsia="宋体"/>
      <w:b/>
      <w:bCs/>
      <w:sz w:val="24"/>
      <w:szCs w:val="32"/>
    </w:rPr>
  </w:style>
  <w:style w:type="paragraph" w:customStyle="1" w:styleId="84">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85">
    <w:name w:val="111正文的格式"/>
    <w:basedOn w:val="1"/>
    <w:qFormat/>
    <w:uiPriority w:val="0"/>
    <w:pPr>
      <w:adjustRightInd w:val="0"/>
      <w:snapToGrid w:val="0"/>
      <w:spacing w:line="360" w:lineRule="auto"/>
      <w:ind w:firstLine="480" w:firstLineChars="200"/>
    </w:pPr>
    <w:rPr>
      <w:color w:val="0000FF"/>
      <w:sz w:val="24"/>
    </w:rPr>
  </w:style>
  <w:style w:type="paragraph" w:customStyle="1" w:styleId="86">
    <w:name w:val="盈众正文"/>
    <w:basedOn w:val="1"/>
    <w:qFormat/>
    <w:uiPriority w:val="0"/>
    <w:pPr>
      <w:spacing w:line="360" w:lineRule="auto"/>
      <w:ind w:firstLine="720" w:firstLineChars="200"/>
    </w:pPr>
    <w:rPr>
      <w:rFonts w:ascii="Times New Roman" w:hAnsi="Times New Roman" w:eastAsia="宋体"/>
    </w:rPr>
  </w:style>
  <w:style w:type="paragraph" w:customStyle="1" w:styleId="87">
    <w:name w:val="表格内文字"/>
    <w:basedOn w:val="1"/>
    <w:qFormat/>
    <w:uiPriority w:val="0"/>
    <w:pPr>
      <w:tabs>
        <w:tab w:val="left" w:pos="0"/>
      </w:tabs>
      <w:adjustRightInd w:val="0"/>
      <w:snapToGrid w:val="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jpeg"/><Relationship Id="rId36" Type="http://schemas.openxmlformats.org/officeDocument/2006/relationships/image" Target="file:///C:\Users\Admin\AppData\Local\Temp\ksohtml12936\wps12.png" TargetMode="External"/><Relationship Id="rId35" Type="http://schemas.openxmlformats.org/officeDocument/2006/relationships/image" Target="media/image17.png"/><Relationship Id="rId34" Type="http://schemas.openxmlformats.org/officeDocument/2006/relationships/image" Target="file:///C:\Users\Admin\AppData\Local\Temp\ksohtml12936\wps11.png" TargetMode="External"/><Relationship Id="rId33" Type="http://schemas.openxmlformats.org/officeDocument/2006/relationships/image" Target="media/image16.png"/><Relationship Id="rId32" Type="http://schemas.openxmlformats.org/officeDocument/2006/relationships/image" Target="file:///C:\Users\Admin\AppData\Local\Temp\ksohtml12936\wps10.png" TargetMode="External"/><Relationship Id="rId31" Type="http://schemas.openxmlformats.org/officeDocument/2006/relationships/image" Target="media/image15.png"/><Relationship Id="rId30" Type="http://schemas.openxmlformats.org/officeDocument/2006/relationships/image" Target="file:///C:\Users\Admin\AppData\Local\Temp\ksohtml12936\wps9.png" TargetMode="External"/><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file:///C:\Users\Admin\AppData\Local\Temp\ksohtml12936\wps8.png" TargetMode="External"/><Relationship Id="rId27" Type="http://schemas.openxmlformats.org/officeDocument/2006/relationships/image" Target="media/image13.png"/><Relationship Id="rId26" Type="http://schemas.openxmlformats.org/officeDocument/2006/relationships/image" Target="file:///C:\Users\Admin\AppData\Local\Temp\ksohtml12936\wps7.png" TargetMode="External"/><Relationship Id="rId25" Type="http://schemas.openxmlformats.org/officeDocument/2006/relationships/image" Target="media/image12.png"/><Relationship Id="rId24" Type="http://schemas.openxmlformats.org/officeDocument/2006/relationships/image" Target="file:///C:\Users\Admin\AppData\Local\Temp\ksohtml12936\wps6.png" TargetMode="External"/><Relationship Id="rId23" Type="http://schemas.openxmlformats.org/officeDocument/2006/relationships/image" Target="media/image11.png"/><Relationship Id="rId22" Type="http://schemas.openxmlformats.org/officeDocument/2006/relationships/image" Target="file:///C:\Users\Admin\AppData\Local\Temp\ksohtml12936\wps5.png" TargetMode="External"/><Relationship Id="rId21" Type="http://schemas.openxmlformats.org/officeDocument/2006/relationships/image" Target="media/image10.png"/><Relationship Id="rId20" Type="http://schemas.openxmlformats.org/officeDocument/2006/relationships/image" Target="file:///C:\Users\Admin\AppData\Local\Temp\ksohtml12936\wps4.png"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file:///C:\Users\Admin\AppData\Local\Temp\ksohtml12936\wps3.png" TargetMode="External"/><Relationship Id="rId17" Type="http://schemas.openxmlformats.org/officeDocument/2006/relationships/image" Target="media/image8.png"/><Relationship Id="rId16" Type="http://schemas.openxmlformats.org/officeDocument/2006/relationships/image" Target="file:///C:\Users\Admin\AppData\Local\Temp\ksohtml12936\wps2.png" TargetMode="Externa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g3NDAxMDEyNDA5IiwKCSJHcm91cElkIiA6ICIxMTIxNzI2MjI1IiwKCSJJbWFnZSIgOiAiaVZCT1J3MEtHZ29BQUFBTlNVaEVVZ0FBQkdJQUFBRVJDQVlBQUFBd3ZRRlhBQUFBQVhOU1IwSUFyczRjNlFBQUlBQkpSRUZVZUp6czNYbDhVMVg2UC9EUGMyOUs5N0x2UlJBUWFLRnBrb29LaXJnTjMxRVJSbHpBQVVVRUY0UnhBZms2Q3JnQUtpcUtLSWlLeUl6b2R4VDlNZUlvTTdpQm9yaGdzeFFzb2d4V0tZcVdTcUdGYnNrOXZ6K2FoQ1JOdWxGSVd6N3YxNHVYdmVlZWUrOFRKTGZKYzg5NURr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TFLYjhId0tNTGpuaHhkb3BBQUFBQUVsRlRrU3VRbUNDIiwKCSJUaGVtZSIgOiAiIiwKCSJUeXBlIiA6ICJmbG93IiwKCSJVc2VySWQiIDogIjEwNTQxMjg3MzciLAoJIlZlcnNpb24iIDogIjE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4557</Words>
  <Characters>4933</Characters>
  <Lines>0</Lines>
  <Paragraphs>0</Paragraphs>
  <TotalTime>4</TotalTime>
  <ScaleCrop>false</ScaleCrop>
  <LinksUpToDate>false</LinksUpToDate>
  <CharactersWithSpaces>4970</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2026-03-24T02:53:00Z</cp:lastPrinted>
  <dcterms:modified xsi:type="dcterms:W3CDTF">2026-03-26T02:32:49Z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eyJoZGlkIjoiODIxOTQwYmRmYmY3YWI0ZmJiMDI1ZTBkNDIyN2Q3YzgiLCJ1c2VySWQiOiIxMDU0MTI4NzM3In0=</vt:lpwstr>
  </property>
  <property fmtid="{D5CDD505-2E9C-101B-9397-08002B2CF9AE}" pid="4" name="ICV">
    <vt:lpwstr>3833A5D204404E3286D8FE85DC7847CB_13</vt:lpwstr>
  </property>
</Properties>
</file>